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79" w:rsidRDefault="00E21A79" w:rsidP="00E21A7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Analysis of Oil Price </w:t>
      </w:r>
      <w:r w:rsidR="007017FB">
        <w:rPr>
          <w:rFonts w:ascii="Times New Roman" w:hAnsi="Times New Roman" w:cs="Times New Roman"/>
          <w:b/>
          <w:sz w:val="24"/>
          <w:szCs w:val="24"/>
        </w:rPr>
        <w:t>Oscillations</w:t>
      </w:r>
      <w:r w:rsidRPr="007B6582">
        <w:rPr>
          <w:rFonts w:ascii="Times New Roman" w:hAnsi="Times New Roman" w:cs="Times New Roman"/>
          <w:b/>
          <w:sz w:val="24"/>
          <w:szCs w:val="24"/>
        </w:rPr>
        <w:t xml:space="preserve">, Exchange Rate </w:t>
      </w:r>
      <w:r>
        <w:rPr>
          <w:rFonts w:ascii="Times New Roman" w:hAnsi="Times New Roman" w:cs="Times New Roman"/>
          <w:b/>
          <w:sz w:val="24"/>
          <w:szCs w:val="24"/>
        </w:rPr>
        <w:t>Dynamics</w:t>
      </w:r>
      <w:r w:rsidRPr="007B6582">
        <w:rPr>
          <w:rFonts w:ascii="Times New Roman" w:hAnsi="Times New Roman" w:cs="Times New Roman"/>
          <w:b/>
          <w:sz w:val="24"/>
          <w:szCs w:val="24"/>
        </w:rPr>
        <w:t xml:space="preserve"> and Economic </w:t>
      </w:r>
      <w:r w:rsidR="007017FB">
        <w:rPr>
          <w:rFonts w:ascii="Times New Roman" w:hAnsi="Times New Roman" w:cs="Times New Roman"/>
          <w:b/>
          <w:sz w:val="24"/>
          <w:szCs w:val="24"/>
        </w:rPr>
        <w:t xml:space="preserve">Performance </w:t>
      </w:r>
    </w:p>
    <w:p w:rsidR="00E21A79" w:rsidRDefault="00E21A79" w:rsidP="00F048FE">
      <w:pPr>
        <w:autoSpaceDE w:val="0"/>
        <w:autoSpaceDN w:val="0"/>
        <w:adjustRightInd w:val="0"/>
        <w:spacing w:after="0" w:line="240" w:lineRule="auto"/>
        <w:jc w:val="center"/>
        <w:rPr>
          <w:rFonts w:ascii="Times New Roman" w:hAnsi="Times New Roman" w:cs="Times New Roman"/>
          <w:b/>
          <w:sz w:val="24"/>
          <w:szCs w:val="24"/>
        </w:rPr>
      </w:pPr>
    </w:p>
    <w:p w:rsidR="00CA7B2C" w:rsidRDefault="00F92A57" w:rsidP="004D3E97">
      <w:pPr>
        <w:spacing w:after="0" w:line="240" w:lineRule="auto"/>
        <w:jc w:val="center"/>
        <w:rPr>
          <w:rFonts w:ascii="Times New Roman" w:hAnsi="Times New Roman" w:cs="Times New Roman"/>
          <w:sz w:val="24"/>
          <w:szCs w:val="24"/>
        </w:rPr>
      </w:pPr>
      <w:r w:rsidRPr="00840B18">
        <w:rPr>
          <w:rFonts w:ascii="Times New Roman" w:hAnsi="Times New Roman" w:cs="Times New Roman"/>
          <w:sz w:val="24"/>
          <w:szCs w:val="24"/>
        </w:rPr>
        <w:t>Charles O</w:t>
      </w:r>
      <w:r w:rsidR="00074A7E" w:rsidRPr="00840B18">
        <w:rPr>
          <w:rFonts w:ascii="Times New Roman" w:hAnsi="Times New Roman" w:cs="Times New Roman"/>
          <w:sz w:val="24"/>
          <w:szCs w:val="24"/>
        </w:rPr>
        <w:t>. Manasseh</w:t>
      </w:r>
      <w:r w:rsidR="00CA7B2C">
        <w:rPr>
          <w:rFonts w:ascii="Times New Roman" w:hAnsi="Times New Roman" w:cs="Times New Roman"/>
          <w:b/>
          <w:sz w:val="24"/>
          <w:szCs w:val="24"/>
          <w:vertAlign w:val="superscript"/>
        </w:rPr>
        <w:t>*1</w:t>
      </w:r>
      <w:r w:rsidR="00CA7B2C">
        <w:rPr>
          <w:rFonts w:ascii="Times New Roman" w:hAnsi="Times New Roman" w:cs="Times New Roman"/>
          <w:sz w:val="24"/>
          <w:szCs w:val="24"/>
        </w:rPr>
        <w:t xml:space="preserve">, </w:t>
      </w:r>
      <w:r w:rsidR="004D3E97" w:rsidRPr="00840B18">
        <w:rPr>
          <w:rFonts w:ascii="Times New Roman" w:hAnsi="Times New Roman" w:cs="Times New Roman"/>
          <w:bCs/>
          <w:color w:val="000000"/>
          <w:sz w:val="24"/>
          <w:szCs w:val="24"/>
        </w:rPr>
        <w:t>Jonathan E. Ogbuabor</w:t>
      </w:r>
      <w:r w:rsidR="00CA7B2C" w:rsidRPr="00CA7B2C">
        <w:rPr>
          <w:rFonts w:ascii="Times New Roman" w:hAnsi="Times New Roman" w:cs="Times New Roman"/>
          <w:b/>
          <w:bCs/>
          <w:color w:val="000000"/>
          <w:sz w:val="24"/>
          <w:szCs w:val="24"/>
          <w:vertAlign w:val="superscript"/>
        </w:rPr>
        <w:t>2</w:t>
      </w:r>
      <w:r w:rsidR="00CA7B2C">
        <w:rPr>
          <w:rFonts w:ascii="Times New Roman" w:hAnsi="Times New Roman" w:cs="Times New Roman"/>
          <w:bCs/>
          <w:color w:val="000000"/>
          <w:sz w:val="24"/>
          <w:szCs w:val="24"/>
        </w:rPr>
        <w:t xml:space="preserve"> and </w:t>
      </w:r>
      <w:r w:rsidR="004D3E97" w:rsidRPr="00840B18">
        <w:rPr>
          <w:rFonts w:ascii="Times New Roman" w:hAnsi="Times New Roman" w:cs="Times New Roman"/>
          <w:sz w:val="24"/>
          <w:szCs w:val="24"/>
        </w:rPr>
        <w:t>Chinasa E. Urama</w:t>
      </w:r>
      <w:r w:rsidR="00CA7B2C" w:rsidRPr="00CA7B2C">
        <w:rPr>
          <w:rFonts w:ascii="Times New Roman" w:hAnsi="Times New Roman" w:cs="Times New Roman"/>
          <w:b/>
          <w:sz w:val="24"/>
          <w:szCs w:val="24"/>
          <w:vertAlign w:val="superscript"/>
        </w:rPr>
        <w:t>3</w:t>
      </w:r>
      <w:r w:rsidR="004D3E97">
        <w:rPr>
          <w:rFonts w:ascii="Times New Roman" w:hAnsi="Times New Roman" w:cs="Times New Roman"/>
          <w:sz w:val="24"/>
          <w:szCs w:val="24"/>
        </w:rPr>
        <w:t xml:space="preserve"> </w:t>
      </w:r>
    </w:p>
    <w:p w:rsidR="004D3E97" w:rsidRPr="003171F4" w:rsidRDefault="004D3E97" w:rsidP="004D3E97">
      <w:pPr>
        <w:spacing w:after="0" w:line="240" w:lineRule="auto"/>
        <w:jc w:val="center"/>
        <w:rPr>
          <w:rFonts w:ascii="Times New Roman" w:hAnsi="Times New Roman" w:cs="Times New Roman"/>
          <w:bCs/>
          <w:color w:val="000000"/>
          <w:sz w:val="24"/>
          <w:szCs w:val="24"/>
        </w:rPr>
      </w:pPr>
      <w:r w:rsidRPr="00840B18">
        <w:rPr>
          <w:rFonts w:ascii="Times New Roman" w:hAnsi="Times New Roman" w:cs="Times New Roman"/>
          <w:bCs/>
          <w:sz w:val="24"/>
          <w:szCs w:val="24"/>
        </w:rPr>
        <w:t>Ambrose N</w:t>
      </w:r>
      <w:r>
        <w:rPr>
          <w:rFonts w:ascii="Times New Roman" w:hAnsi="Times New Roman" w:cs="Times New Roman"/>
          <w:bCs/>
          <w:sz w:val="24"/>
          <w:szCs w:val="24"/>
        </w:rPr>
        <w:t>.</w:t>
      </w:r>
      <w:r w:rsidRPr="00840B18">
        <w:rPr>
          <w:rFonts w:ascii="Times New Roman" w:hAnsi="Times New Roman" w:cs="Times New Roman"/>
          <w:bCs/>
          <w:sz w:val="24"/>
          <w:szCs w:val="24"/>
        </w:rPr>
        <w:t xml:space="preserve"> Omeje</w:t>
      </w:r>
      <w:r w:rsidR="00CA7B2C" w:rsidRPr="00CA7B2C">
        <w:rPr>
          <w:rFonts w:ascii="Times New Roman" w:hAnsi="Times New Roman" w:cs="Times New Roman"/>
          <w:b/>
          <w:bCs/>
          <w:sz w:val="24"/>
          <w:szCs w:val="24"/>
          <w:vertAlign w:val="superscript"/>
        </w:rPr>
        <w:t>4</w:t>
      </w:r>
      <w:r w:rsidR="00CA7B2C">
        <w:rPr>
          <w:rFonts w:ascii="Times New Roman" w:hAnsi="Times New Roman" w:cs="Times New Roman"/>
          <w:bCs/>
          <w:sz w:val="24"/>
          <w:szCs w:val="24"/>
        </w:rPr>
        <w:t>,</w:t>
      </w:r>
      <w:r w:rsidR="00D611A2">
        <w:rPr>
          <w:rFonts w:ascii="Times New Roman" w:hAnsi="Times New Roman" w:cs="Times New Roman"/>
          <w:bCs/>
          <w:sz w:val="24"/>
          <w:szCs w:val="24"/>
        </w:rPr>
        <w:t xml:space="preserve"> Felicia </w:t>
      </w:r>
      <w:r w:rsidR="00D611A2" w:rsidRPr="00E83BA5">
        <w:rPr>
          <w:rFonts w:ascii="Times New Roman" w:hAnsi="Times New Roman" w:cs="Times New Roman"/>
          <w:sz w:val="24"/>
          <w:szCs w:val="24"/>
          <w:lang w:val="en-GB"/>
        </w:rPr>
        <w:t>C</w:t>
      </w:r>
      <w:r w:rsidR="00D611A2">
        <w:rPr>
          <w:rFonts w:ascii="Times New Roman" w:hAnsi="Times New Roman" w:cs="Times New Roman"/>
          <w:sz w:val="24"/>
          <w:szCs w:val="24"/>
          <w:lang w:val="en-GB"/>
        </w:rPr>
        <w:t>.</w:t>
      </w:r>
      <w:r w:rsidR="00D611A2">
        <w:rPr>
          <w:rFonts w:ascii="Times New Roman" w:hAnsi="Times New Roman" w:cs="Times New Roman"/>
          <w:bCs/>
          <w:sz w:val="24"/>
          <w:szCs w:val="24"/>
        </w:rPr>
        <w:t xml:space="preserve"> Abada</w:t>
      </w:r>
      <w:r w:rsidR="00D611A2" w:rsidRPr="00D611A2">
        <w:rPr>
          <w:rFonts w:ascii="Times New Roman" w:hAnsi="Times New Roman" w:cs="Times New Roman"/>
          <w:b/>
          <w:bCs/>
          <w:sz w:val="24"/>
          <w:szCs w:val="24"/>
          <w:vertAlign w:val="superscript"/>
        </w:rPr>
        <w:t>5</w:t>
      </w:r>
      <w:r w:rsidR="00D611A2">
        <w:rPr>
          <w:rFonts w:ascii="Times New Roman" w:hAnsi="Times New Roman" w:cs="Times New Roman"/>
          <w:bCs/>
          <w:sz w:val="24"/>
          <w:szCs w:val="24"/>
        </w:rPr>
        <w:t xml:space="preserve"> and Okoro</w:t>
      </w:r>
      <w:r w:rsidR="00CA7B2C">
        <w:rPr>
          <w:rFonts w:ascii="Times New Roman" w:hAnsi="Times New Roman" w:cs="Times New Roman"/>
          <w:bCs/>
          <w:sz w:val="24"/>
          <w:szCs w:val="24"/>
        </w:rPr>
        <w:t xml:space="preserve"> </w:t>
      </w:r>
      <w:r w:rsidR="003171F4">
        <w:rPr>
          <w:rFonts w:ascii="Times New Roman" w:hAnsi="Times New Roman" w:cs="Times New Roman"/>
          <w:bCs/>
          <w:sz w:val="24"/>
          <w:szCs w:val="24"/>
        </w:rPr>
        <w:t xml:space="preserve">E. </w:t>
      </w:r>
      <w:r w:rsidR="00CA7B2C">
        <w:rPr>
          <w:rFonts w:ascii="Times New Roman" w:hAnsi="Times New Roman" w:cs="Times New Roman"/>
          <w:bCs/>
          <w:sz w:val="24"/>
          <w:szCs w:val="24"/>
        </w:rPr>
        <w:t>Okoro</w:t>
      </w:r>
      <w:r w:rsidR="00D611A2" w:rsidRPr="00D611A2">
        <w:rPr>
          <w:rFonts w:ascii="Times New Roman" w:hAnsi="Times New Roman" w:cs="Times New Roman"/>
          <w:b/>
          <w:bCs/>
          <w:sz w:val="24"/>
          <w:szCs w:val="24"/>
          <w:vertAlign w:val="superscript"/>
        </w:rPr>
        <w:t>6</w:t>
      </w:r>
      <w:r w:rsidR="003171F4" w:rsidRPr="003171F4">
        <w:rPr>
          <w:rFonts w:ascii="Times New Roman" w:hAnsi="Times New Roman" w:cs="Times New Roman"/>
          <w:bCs/>
          <w:sz w:val="24"/>
          <w:szCs w:val="24"/>
        </w:rPr>
        <w:t xml:space="preserve"> </w:t>
      </w:r>
    </w:p>
    <w:p w:rsidR="00944A0C" w:rsidRPr="00712305" w:rsidRDefault="00944A0C" w:rsidP="0016142B">
      <w:pPr>
        <w:spacing w:after="0" w:line="240" w:lineRule="auto"/>
        <w:jc w:val="center"/>
        <w:rPr>
          <w:rFonts w:ascii="Times New Roman" w:hAnsi="Times New Roman" w:cs="Times New Roman"/>
          <w:bCs/>
          <w:color w:val="000000"/>
          <w:sz w:val="18"/>
          <w:szCs w:val="24"/>
        </w:rPr>
      </w:pPr>
    </w:p>
    <w:p w:rsidR="0016142B" w:rsidRDefault="00944A0C" w:rsidP="00712305">
      <w:pPr>
        <w:spacing w:after="0" w:line="240" w:lineRule="auto"/>
        <w:jc w:val="center"/>
        <w:outlineLvl w:val="0"/>
        <w:rPr>
          <w:rFonts w:ascii="Times New Roman" w:hAnsi="Times New Roman" w:cs="Times New Roman"/>
          <w:sz w:val="24"/>
          <w:szCs w:val="24"/>
        </w:rPr>
      </w:pPr>
      <w:r w:rsidRPr="00A158A3">
        <w:rPr>
          <w:rFonts w:ascii="Times New Roman" w:hAnsi="Times New Roman" w:cs="Times New Roman"/>
          <w:b/>
          <w:sz w:val="24"/>
          <w:szCs w:val="24"/>
          <w:vertAlign w:val="superscript"/>
        </w:rPr>
        <w:t>1</w:t>
      </w:r>
      <w:r>
        <w:rPr>
          <w:rFonts w:ascii="Times New Roman" w:hAnsi="Times New Roman" w:cs="Times New Roman"/>
          <w:sz w:val="24"/>
          <w:szCs w:val="24"/>
        </w:rPr>
        <w:t>Department of Economics,</w:t>
      </w:r>
      <w:r w:rsidR="00D611A2">
        <w:rPr>
          <w:rFonts w:ascii="Times New Roman" w:hAnsi="Times New Roman" w:cs="Times New Roman"/>
          <w:sz w:val="24"/>
          <w:szCs w:val="24"/>
        </w:rPr>
        <w:t xml:space="preserve"> </w:t>
      </w:r>
    </w:p>
    <w:p w:rsidR="00944A0C" w:rsidRDefault="00944A0C" w:rsidP="00712305">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Coal City University Enugu, </w:t>
      </w:r>
      <w:r w:rsidR="00D611A2">
        <w:rPr>
          <w:rFonts w:ascii="Times New Roman" w:hAnsi="Times New Roman" w:cs="Times New Roman"/>
          <w:sz w:val="24"/>
          <w:szCs w:val="24"/>
        </w:rPr>
        <w:t>Enugu-</w:t>
      </w:r>
      <w:r w:rsidRPr="00A158A3">
        <w:rPr>
          <w:rFonts w:ascii="Times New Roman" w:hAnsi="Times New Roman" w:cs="Times New Roman"/>
          <w:sz w:val="24"/>
          <w:szCs w:val="24"/>
        </w:rPr>
        <w:t>Abakaliki Express Way Emene</w:t>
      </w:r>
      <w:r w:rsidR="00D611A2">
        <w:rPr>
          <w:rFonts w:ascii="Times New Roman" w:hAnsi="Times New Roman" w:cs="Times New Roman"/>
          <w:sz w:val="24"/>
          <w:szCs w:val="24"/>
        </w:rPr>
        <w:t>, Enugu State</w:t>
      </w:r>
    </w:p>
    <w:p w:rsidR="00D611A2" w:rsidRPr="0016142B" w:rsidRDefault="00D611A2" w:rsidP="00D611A2">
      <w:pPr>
        <w:spacing w:after="0" w:line="240" w:lineRule="auto"/>
        <w:jc w:val="center"/>
        <w:outlineLvl w:val="0"/>
        <w:rPr>
          <w:rFonts w:ascii="Times New Roman" w:hAnsi="Times New Roman" w:cs="Times New Roman"/>
          <w:sz w:val="18"/>
          <w:szCs w:val="18"/>
        </w:rPr>
      </w:pPr>
    </w:p>
    <w:p w:rsidR="0016142B" w:rsidRDefault="0016142B" w:rsidP="00D611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vertAlign w:val="superscript"/>
        </w:rPr>
        <w:t xml:space="preserve">2, 3 &amp; </w:t>
      </w:r>
      <w:r w:rsidR="00CA7B2C">
        <w:rPr>
          <w:rFonts w:ascii="Times New Roman" w:hAnsi="Times New Roman" w:cs="Times New Roman"/>
          <w:b/>
          <w:sz w:val="24"/>
          <w:szCs w:val="24"/>
          <w:vertAlign w:val="superscript"/>
        </w:rPr>
        <w:t>4</w:t>
      </w:r>
      <w:r>
        <w:rPr>
          <w:rFonts w:ascii="Times New Roman" w:hAnsi="Times New Roman" w:cs="Times New Roman"/>
          <w:b/>
          <w:sz w:val="24"/>
          <w:szCs w:val="24"/>
          <w:vertAlign w:val="superscript"/>
        </w:rPr>
        <w:t xml:space="preserve"> </w:t>
      </w:r>
      <w:r w:rsidR="00CA7B2C" w:rsidRPr="005B2CCA">
        <w:rPr>
          <w:rFonts w:ascii="Times New Roman" w:hAnsi="Times New Roman" w:cs="Times New Roman"/>
          <w:sz w:val="24"/>
          <w:szCs w:val="24"/>
        </w:rPr>
        <w:t>Department of Economics,</w:t>
      </w:r>
      <w:r w:rsidR="00D611A2">
        <w:rPr>
          <w:rFonts w:ascii="Times New Roman" w:hAnsi="Times New Roman" w:cs="Times New Roman"/>
          <w:sz w:val="24"/>
          <w:szCs w:val="24"/>
        </w:rPr>
        <w:t xml:space="preserve"> </w:t>
      </w:r>
    </w:p>
    <w:p w:rsidR="00CA7B2C" w:rsidRDefault="00CA7B2C" w:rsidP="00D611A2">
      <w:pPr>
        <w:spacing w:after="0" w:line="240" w:lineRule="auto"/>
        <w:jc w:val="center"/>
        <w:rPr>
          <w:rFonts w:ascii="Times New Roman" w:hAnsi="Times New Roman" w:cs="Times New Roman"/>
          <w:bCs/>
          <w:sz w:val="24"/>
          <w:szCs w:val="24"/>
        </w:rPr>
      </w:pPr>
      <w:r w:rsidRPr="00074A7E">
        <w:rPr>
          <w:rFonts w:ascii="Times New Roman" w:hAnsi="Times New Roman" w:cs="Times New Roman"/>
          <w:sz w:val="24"/>
          <w:szCs w:val="24"/>
        </w:rPr>
        <w:t>University of Nigeria Nsukka</w:t>
      </w:r>
      <w:r w:rsidR="00D611A2">
        <w:rPr>
          <w:rFonts w:ascii="Times New Roman" w:hAnsi="Times New Roman" w:cs="Times New Roman"/>
          <w:sz w:val="24"/>
          <w:szCs w:val="24"/>
        </w:rPr>
        <w:t>,</w:t>
      </w:r>
      <w:r w:rsidRPr="00074A7E">
        <w:rPr>
          <w:rFonts w:ascii="Times New Roman" w:hAnsi="Times New Roman" w:cs="Times New Roman"/>
          <w:sz w:val="24"/>
          <w:szCs w:val="24"/>
        </w:rPr>
        <w:t xml:space="preserve"> </w:t>
      </w:r>
      <w:r w:rsidRPr="00074A7E">
        <w:rPr>
          <w:rFonts w:ascii="Times New Roman" w:hAnsi="Times New Roman" w:cs="Times New Roman"/>
          <w:bCs/>
          <w:sz w:val="24"/>
          <w:szCs w:val="24"/>
        </w:rPr>
        <w:t>Enugu State</w:t>
      </w:r>
    </w:p>
    <w:p w:rsidR="0016142B" w:rsidRPr="0016142B" w:rsidRDefault="0016142B" w:rsidP="0016142B">
      <w:pPr>
        <w:spacing w:after="0" w:line="240" w:lineRule="auto"/>
        <w:jc w:val="center"/>
        <w:rPr>
          <w:rFonts w:ascii="Times New Roman" w:hAnsi="Times New Roman" w:cs="Times New Roman"/>
          <w:bCs/>
          <w:sz w:val="18"/>
          <w:szCs w:val="18"/>
        </w:rPr>
      </w:pPr>
    </w:p>
    <w:p w:rsidR="0016142B" w:rsidRPr="00E83BA5" w:rsidRDefault="0016142B" w:rsidP="0016142B">
      <w:pPr>
        <w:pStyle w:val="NoSpacing"/>
        <w:jc w:val="center"/>
        <w:rPr>
          <w:rFonts w:ascii="Times New Roman" w:hAnsi="Times New Roman" w:cs="Times New Roman"/>
          <w:sz w:val="24"/>
          <w:szCs w:val="24"/>
          <w:lang w:val="en-GB"/>
        </w:rPr>
      </w:pPr>
      <w:r w:rsidRPr="0016142B">
        <w:rPr>
          <w:rFonts w:ascii="Times New Roman" w:hAnsi="Times New Roman" w:cs="Times New Roman"/>
          <w:b/>
          <w:sz w:val="24"/>
          <w:szCs w:val="24"/>
          <w:vertAlign w:val="superscript"/>
          <w:lang w:val="en-GB"/>
        </w:rPr>
        <w:t>5</w:t>
      </w:r>
      <w:r w:rsidRPr="00E83BA5">
        <w:rPr>
          <w:rFonts w:ascii="Times New Roman" w:hAnsi="Times New Roman" w:cs="Times New Roman"/>
          <w:sz w:val="24"/>
          <w:szCs w:val="24"/>
          <w:lang w:val="en-GB"/>
        </w:rPr>
        <w:t>Social Science Unit</w:t>
      </w:r>
    </w:p>
    <w:p w:rsidR="0016142B" w:rsidRPr="00E83BA5" w:rsidRDefault="0016142B" w:rsidP="0016142B">
      <w:pPr>
        <w:pStyle w:val="NoSpacing"/>
        <w:jc w:val="center"/>
        <w:rPr>
          <w:rFonts w:ascii="Times New Roman" w:hAnsi="Times New Roman" w:cs="Times New Roman"/>
          <w:sz w:val="24"/>
          <w:szCs w:val="24"/>
          <w:lang w:val="en-GB"/>
        </w:rPr>
      </w:pPr>
      <w:r w:rsidRPr="00E83BA5">
        <w:rPr>
          <w:rFonts w:ascii="Times New Roman" w:hAnsi="Times New Roman" w:cs="Times New Roman"/>
          <w:sz w:val="24"/>
          <w:szCs w:val="24"/>
          <w:lang w:val="en-GB"/>
        </w:rPr>
        <w:t>School of General Studies</w:t>
      </w:r>
    </w:p>
    <w:p w:rsidR="0016142B" w:rsidRPr="00E83BA5" w:rsidRDefault="0016142B" w:rsidP="0016142B">
      <w:pPr>
        <w:pStyle w:val="NoSpacing"/>
        <w:jc w:val="center"/>
        <w:rPr>
          <w:rFonts w:ascii="Times New Roman" w:hAnsi="Times New Roman" w:cs="Times New Roman"/>
          <w:sz w:val="24"/>
          <w:szCs w:val="24"/>
          <w:lang w:val="en-GB"/>
        </w:rPr>
      </w:pPr>
      <w:r w:rsidRPr="00E83BA5">
        <w:rPr>
          <w:rFonts w:ascii="Times New Roman" w:hAnsi="Times New Roman" w:cs="Times New Roman"/>
          <w:sz w:val="24"/>
          <w:szCs w:val="24"/>
          <w:lang w:val="en-GB"/>
        </w:rPr>
        <w:t>University of Nigeria Nsukka, Enugu</w:t>
      </w:r>
      <w:r>
        <w:rPr>
          <w:rFonts w:ascii="Times New Roman" w:hAnsi="Times New Roman" w:cs="Times New Roman"/>
          <w:sz w:val="24"/>
          <w:szCs w:val="24"/>
          <w:lang w:val="en-GB"/>
        </w:rPr>
        <w:t xml:space="preserve"> State</w:t>
      </w:r>
    </w:p>
    <w:p w:rsidR="0016142B" w:rsidRPr="0016142B" w:rsidRDefault="0016142B" w:rsidP="00D611A2">
      <w:pPr>
        <w:spacing w:after="0" w:line="240" w:lineRule="auto"/>
        <w:jc w:val="center"/>
        <w:rPr>
          <w:rFonts w:ascii="Times New Roman" w:hAnsi="Times New Roman" w:cs="Times New Roman"/>
          <w:bCs/>
          <w:sz w:val="18"/>
          <w:szCs w:val="18"/>
        </w:rPr>
      </w:pPr>
    </w:p>
    <w:p w:rsidR="0016142B" w:rsidRDefault="0016142B" w:rsidP="00D611A2">
      <w:pPr>
        <w:spacing w:after="0" w:line="240" w:lineRule="auto"/>
        <w:jc w:val="center"/>
        <w:rPr>
          <w:rFonts w:ascii="Times New Roman" w:hAnsi="Times New Roman" w:cs="Times New Roman"/>
          <w:bCs/>
          <w:sz w:val="24"/>
          <w:szCs w:val="24"/>
        </w:rPr>
      </w:pPr>
      <w:r w:rsidRPr="0016142B">
        <w:rPr>
          <w:rFonts w:ascii="Times New Roman" w:hAnsi="Times New Roman" w:cs="Times New Roman"/>
          <w:b/>
          <w:bCs/>
          <w:sz w:val="24"/>
          <w:szCs w:val="24"/>
          <w:vertAlign w:val="superscript"/>
        </w:rPr>
        <w:t>6</w:t>
      </w:r>
      <w:r w:rsidR="00D611A2">
        <w:rPr>
          <w:rFonts w:ascii="Times New Roman" w:hAnsi="Times New Roman" w:cs="Times New Roman"/>
          <w:bCs/>
          <w:sz w:val="24"/>
          <w:szCs w:val="24"/>
        </w:rPr>
        <w:t xml:space="preserve">Department of Banking and Finance, </w:t>
      </w:r>
    </w:p>
    <w:p w:rsidR="00D611A2" w:rsidRDefault="00D611A2" w:rsidP="00D611A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University of Nigeria Enugu Campus</w:t>
      </w:r>
      <w:r w:rsidR="0016142B">
        <w:rPr>
          <w:rFonts w:ascii="Times New Roman" w:hAnsi="Times New Roman" w:cs="Times New Roman"/>
          <w:bCs/>
          <w:sz w:val="24"/>
          <w:szCs w:val="24"/>
        </w:rPr>
        <w:t>, Enugu State</w:t>
      </w:r>
    </w:p>
    <w:p w:rsidR="00CA7B2C" w:rsidRPr="0016142B" w:rsidRDefault="00CA7B2C" w:rsidP="00712305">
      <w:pPr>
        <w:spacing w:after="0" w:line="240" w:lineRule="auto"/>
        <w:jc w:val="center"/>
        <w:outlineLvl w:val="0"/>
        <w:rPr>
          <w:rFonts w:ascii="Times New Roman" w:hAnsi="Times New Roman" w:cs="Times New Roman"/>
          <w:sz w:val="2"/>
          <w:szCs w:val="24"/>
        </w:rPr>
      </w:pPr>
    </w:p>
    <w:p w:rsidR="004D3E97" w:rsidRPr="00712305" w:rsidRDefault="004D3E97" w:rsidP="00712305">
      <w:pPr>
        <w:pStyle w:val="Title"/>
        <w:spacing w:after="0"/>
        <w:rPr>
          <w:rFonts w:ascii="Times New Roman" w:hAnsi="Times New Roman" w:cs="Times New Roman"/>
          <w:sz w:val="4"/>
          <w:szCs w:val="24"/>
        </w:rPr>
      </w:pPr>
    </w:p>
    <w:p w:rsidR="00F92A57" w:rsidRPr="005B2CCA" w:rsidRDefault="0016142B" w:rsidP="0023334D">
      <w:pPr>
        <w:spacing w:after="0"/>
        <w:rPr>
          <w:rFonts w:ascii="Times New Roman" w:hAnsi="Times New Roman" w:cs="Times New Roman"/>
          <w:sz w:val="24"/>
          <w:szCs w:val="24"/>
        </w:rPr>
      </w:pPr>
      <w:r>
        <w:rPr>
          <w:rFonts w:ascii="Times New Roman" w:hAnsi="Times New Roman" w:cs="Times New Roman"/>
          <w:b/>
          <w:sz w:val="24"/>
          <w:szCs w:val="24"/>
          <w:vertAlign w:val="superscript"/>
        </w:rPr>
        <w:t>*</w:t>
      </w:r>
      <w:r w:rsidR="00712305" w:rsidRPr="00712305">
        <w:rPr>
          <w:rFonts w:ascii="Times New Roman" w:hAnsi="Times New Roman" w:cs="Times New Roman"/>
          <w:b/>
          <w:sz w:val="24"/>
          <w:szCs w:val="24"/>
          <w:vertAlign w:val="superscript"/>
        </w:rPr>
        <w:t>1</w:t>
      </w:r>
      <w:r w:rsidR="00840B18">
        <w:rPr>
          <w:rFonts w:ascii="Times New Roman" w:hAnsi="Times New Roman" w:cs="Times New Roman"/>
          <w:sz w:val="24"/>
          <w:szCs w:val="24"/>
        </w:rPr>
        <w:t>Corresponding Author</w:t>
      </w:r>
      <w:r w:rsidR="00F92A57" w:rsidRPr="005B2CCA">
        <w:rPr>
          <w:rFonts w:ascii="Times New Roman" w:hAnsi="Times New Roman" w:cs="Times New Roman"/>
          <w:sz w:val="24"/>
          <w:szCs w:val="24"/>
        </w:rPr>
        <w:t xml:space="preserve">: </w:t>
      </w:r>
      <w:hyperlink r:id="rId8" w:history="1">
        <w:r w:rsidR="00F92A57" w:rsidRPr="005B2CCA">
          <w:rPr>
            <w:rStyle w:val="Hyperlink"/>
            <w:rFonts w:ascii="Times New Roman" w:hAnsi="Times New Roman" w:cs="Times New Roman"/>
            <w:color w:val="auto"/>
            <w:sz w:val="24"/>
            <w:szCs w:val="24"/>
            <w:u w:val="none"/>
          </w:rPr>
          <w:t>charssille@gmail.com</w:t>
        </w:r>
      </w:hyperlink>
    </w:p>
    <w:p w:rsidR="00F92A57" w:rsidRPr="005B2CCA" w:rsidRDefault="00F92A57" w:rsidP="00F048FE">
      <w:pPr>
        <w:spacing w:after="0" w:line="240" w:lineRule="auto"/>
        <w:jc w:val="center"/>
        <w:rPr>
          <w:rFonts w:ascii="Times New Roman" w:hAnsi="Times New Roman" w:cs="Times New Roman"/>
          <w:b/>
          <w:bCs/>
          <w:sz w:val="24"/>
          <w:szCs w:val="24"/>
        </w:rPr>
      </w:pPr>
    </w:p>
    <w:p w:rsidR="00790771" w:rsidRPr="00D45685" w:rsidRDefault="00727958" w:rsidP="00727958">
      <w:pPr>
        <w:spacing w:after="0" w:line="240" w:lineRule="auto"/>
        <w:jc w:val="both"/>
        <w:rPr>
          <w:rFonts w:ascii="Times New Roman" w:hAnsi="Times New Roman" w:cs="Times New Roman"/>
          <w:b/>
          <w:sz w:val="24"/>
          <w:szCs w:val="24"/>
        </w:rPr>
      </w:pPr>
      <w:r w:rsidRPr="00005D20">
        <w:rPr>
          <w:rFonts w:ascii="Times New Roman" w:hAnsi="Times New Roman" w:cs="Times New Roman"/>
          <w:b/>
          <w:sz w:val="24"/>
          <w:szCs w:val="24"/>
        </w:rPr>
        <w:t>Abstract</w:t>
      </w:r>
      <w:r>
        <w:rPr>
          <w:rFonts w:ascii="Times New Roman" w:hAnsi="Times New Roman" w:cs="Times New Roman"/>
          <w:b/>
          <w:sz w:val="24"/>
          <w:szCs w:val="24"/>
        </w:rPr>
        <w:t xml:space="preserve">: </w:t>
      </w:r>
      <w:r w:rsidRPr="00CB5929">
        <w:rPr>
          <w:rFonts w:ascii="Times New Roman" w:hAnsi="Times New Roman" w:cs="Times New Roman"/>
          <w:sz w:val="24"/>
          <w:szCs w:val="24"/>
        </w:rPr>
        <w:t>T</w:t>
      </w:r>
      <w:r w:rsidR="00790771" w:rsidRPr="00005D20">
        <w:rPr>
          <w:rFonts w:ascii="Times New Roman" w:eastAsia="Calibri" w:hAnsi="Times New Roman" w:cs="Times New Roman"/>
          <w:sz w:val="24"/>
          <w:szCs w:val="24"/>
        </w:rPr>
        <w:t>his study</w:t>
      </w:r>
      <w:r w:rsidR="00F3580A">
        <w:rPr>
          <w:rFonts w:ascii="Times New Roman" w:eastAsia="Calibri" w:hAnsi="Times New Roman" w:cs="Times New Roman"/>
          <w:sz w:val="24"/>
          <w:szCs w:val="24"/>
        </w:rPr>
        <w:t xml:space="preserve"> examin</w:t>
      </w:r>
      <w:r>
        <w:rPr>
          <w:rFonts w:ascii="Times New Roman" w:eastAsia="Calibri" w:hAnsi="Times New Roman" w:cs="Times New Roman"/>
          <w:sz w:val="24"/>
          <w:szCs w:val="24"/>
        </w:rPr>
        <w:t>ed</w:t>
      </w:r>
      <w:r w:rsidR="00F3580A">
        <w:rPr>
          <w:rFonts w:ascii="Times New Roman" w:eastAsia="Calibri" w:hAnsi="Times New Roman" w:cs="Times New Roman"/>
          <w:sz w:val="24"/>
          <w:szCs w:val="24"/>
        </w:rPr>
        <w:t xml:space="preserve"> </w:t>
      </w:r>
      <w:r w:rsidR="00790771" w:rsidRPr="00005D20">
        <w:rPr>
          <w:rFonts w:ascii="Times New Roman" w:eastAsia="Calibri" w:hAnsi="Times New Roman" w:cs="Times New Roman"/>
          <w:sz w:val="24"/>
          <w:szCs w:val="24"/>
        </w:rPr>
        <w:t xml:space="preserve">the influence of oil price </w:t>
      </w:r>
      <w:r>
        <w:rPr>
          <w:rFonts w:ascii="Times New Roman" w:eastAsia="Calibri" w:hAnsi="Times New Roman" w:cs="Times New Roman"/>
          <w:sz w:val="24"/>
          <w:szCs w:val="24"/>
        </w:rPr>
        <w:t>oscillation</w:t>
      </w:r>
      <w:r w:rsidR="00F3580A">
        <w:rPr>
          <w:rFonts w:ascii="Times New Roman" w:eastAsia="Calibri" w:hAnsi="Times New Roman" w:cs="Times New Roman"/>
          <w:sz w:val="24"/>
          <w:szCs w:val="24"/>
        </w:rPr>
        <w:t xml:space="preserve"> and exchange rate</w:t>
      </w:r>
      <w:r w:rsidR="00790771" w:rsidRPr="00005D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dynamics </w:t>
      </w:r>
      <w:r w:rsidR="00F3580A">
        <w:rPr>
          <w:rFonts w:ascii="Times New Roman" w:eastAsia="Calibri" w:hAnsi="Times New Roman" w:cs="Times New Roman"/>
          <w:sz w:val="24"/>
          <w:szCs w:val="24"/>
        </w:rPr>
        <w:t xml:space="preserve">on economic </w:t>
      </w:r>
      <w:r w:rsidR="00221B80">
        <w:rPr>
          <w:rFonts w:ascii="Times New Roman" w:eastAsia="Calibri" w:hAnsi="Times New Roman" w:cs="Times New Roman"/>
          <w:sz w:val="24"/>
          <w:szCs w:val="24"/>
        </w:rPr>
        <w:t>performance</w:t>
      </w:r>
      <w:r>
        <w:rPr>
          <w:rFonts w:ascii="Times New Roman" w:eastAsia="Calibri" w:hAnsi="Times New Roman" w:cs="Times New Roman"/>
          <w:sz w:val="24"/>
          <w:szCs w:val="24"/>
        </w:rPr>
        <w:t xml:space="preserve">. </w:t>
      </w:r>
      <w:r w:rsidR="000B7A31">
        <w:rPr>
          <w:rFonts w:ascii="Times New Roman" w:eastAsia="Calibri" w:hAnsi="Times New Roman" w:cs="Times New Roman"/>
          <w:sz w:val="24"/>
          <w:szCs w:val="24"/>
        </w:rPr>
        <w:t xml:space="preserve">While multiple regression </w:t>
      </w:r>
      <w:r w:rsidR="0062726E">
        <w:rPr>
          <w:rFonts w:ascii="Times New Roman" w:eastAsia="Calibri" w:hAnsi="Times New Roman" w:cs="Times New Roman"/>
          <w:sz w:val="24"/>
          <w:szCs w:val="24"/>
        </w:rPr>
        <w:t>models</w:t>
      </w:r>
      <w:r w:rsidR="000B7A31">
        <w:rPr>
          <w:rFonts w:ascii="Times New Roman" w:eastAsia="Calibri" w:hAnsi="Times New Roman" w:cs="Times New Roman"/>
          <w:sz w:val="24"/>
          <w:szCs w:val="24"/>
        </w:rPr>
        <w:t xml:space="preserve"> was adopted to examine </w:t>
      </w:r>
      <w:r w:rsidR="000B7A31" w:rsidRPr="0092105B">
        <w:rPr>
          <w:rFonts w:ascii="Times New Roman" w:eastAsia="Calibri" w:hAnsi="Times New Roman" w:cs="Times New Roman"/>
          <w:sz w:val="24"/>
          <w:szCs w:val="24"/>
        </w:rPr>
        <w:t xml:space="preserve">the </w:t>
      </w:r>
      <w:r w:rsidR="000B7A31">
        <w:rPr>
          <w:rFonts w:ascii="Times New Roman" w:eastAsia="Calibri" w:hAnsi="Times New Roman" w:cs="Times New Roman"/>
          <w:sz w:val="24"/>
          <w:szCs w:val="24"/>
        </w:rPr>
        <w:t>effect</w:t>
      </w:r>
      <w:r w:rsidR="000B7A31" w:rsidRPr="0092105B">
        <w:rPr>
          <w:rFonts w:ascii="Times New Roman" w:eastAsia="Calibri" w:hAnsi="Times New Roman" w:cs="Times New Roman"/>
          <w:sz w:val="24"/>
          <w:szCs w:val="24"/>
        </w:rPr>
        <w:t xml:space="preserve"> of oil price and exchange rate dynamics on economic performance</w:t>
      </w:r>
      <w:r w:rsidR="000B7A31">
        <w:rPr>
          <w:rFonts w:ascii="Times New Roman" w:eastAsia="Calibri" w:hAnsi="Times New Roman" w:cs="Times New Roman"/>
          <w:sz w:val="24"/>
          <w:szCs w:val="24"/>
        </w:rPr>
        <w:t xml:space="preserve">, we employed </w:t>
      </w:r>
      <w:r w:rsidR="000B7A31" w:rsidRPr="0092105B">
        <w:rPr>
          <w:rFonts w:ascii="Times New Roman" w:eastAsia="Calibri" w:hAnsi="Times New Roman" w:cs="Times New Roman"/>
          <w:sz w:val="24"/>
          <w:szCs w:val="24"/>
        </w:rPr>
        <w:t xml:space="preserve">Exponential Generalized Autoregressive Conditional Heteroschedasticity (EGARCH) </w:t>
      </w:r>
      <w:r w:rsidR="00784320" w:rsidRPr="0092105B">
        <w:rPr>
          <w:rFonts w:ascii="Times New Roman" w:eastAsia="Calibri" w:hAnsi="Times New Roman" w:cs="Times New Roman"/>
          <w:sz w:val="24"/>
          <w:szCs w:val="24"/>
        </w:rPr>
        <w:t xml:space="preserve">to </w:t>
      </w:r>
      <w:r w:rsidR="000B7A31">
        <w:rPr>
          <w:rFonts w:ascii="Times New Roman" w:eastAsia="Calibri" w:hAnsi="Times New Roman" w:cs="Times New Roman"/>
          <w:sz w:val="24"/>
          <w:szCs w:val="24"/>
        </w:rPr>
        <w:t>investigate</w:t>
      </w:r>
      <w:r w:rsidR="00784320" w:rsidRPr="0092105B">
        <w:rPr>
          <w:rFonts w:ascii="Times New Roman" w:eastAsia="Calibri" w:hAnsi="Times New Roman" w:cs="Times New Roman"/>
          <w:sz w:val="24"/>
          <w:szCs w:val="24"/>
        </w:rPr>
        <w:t xml:space="preserve"> the effect of </w:t>
      </w:r>
      <w:r w:rsidR="00B56E43" w:rsidRPr="0092105B">
        <w:rPr>
          <w:rFonts w:ascii="Times New Roman" w:eastAsia="Calibri" w:hAnsi="Times New Roman" w:cs="Times New Roman"/>
          <w:sz w:val="24"/>
          <w:szCs w:val="24"/>
        </w:rPr>
        <w:t xml:space="preserve">oil price </w:t>
      </w:r>
      <w:r w:rsidR="000B7A31">
        <w:rPr>
          <w:rFonts w:ascii="Times New Roman" w:eastAsia="Calibri" w:hAnsi="Times New Roman" w:cs="Times New Roman"/>
          <w:sz w:val="24"/>
          <w:szCs w:val="24"/>
        </w:rPr>
        <w:t>oscillation</w:t>
      </w:r>
      <w:r w:rsidR="00B56E43" w:rsidRPr="0092105B">
        <w:rPr>
          <w:rFonts w:ascii="Times New Roman" w:eastAsia="Calibri" w:hAnsi="Times New Roman" w:cs="Times New Roman"/>
          <w:sz w:val="24"/>
          <w:szCs w:val="24"/>
        </w:rPr>
        <w:t xml:space="preserve"> on </w:t>
      </w:r>
      <w:r w:rsidR="00784320" w:rsidRPr="0092105B">
        <w:rPr>
          <w:rFonts w:ascii="Times New Roman" w:eastAsia="Calibri" w:hAnsi="Times New Roman" w:cs="Times New Roman"/>
          <w:sz w:val="24"/>
          <w:szCs w:val="24"/>
        </w:rPr>
        <w:t xml:space="preserve">exchange rate </w:t>
      </w:r>
      <w:r w:rsidR="000B7A31">
        <w:rPr>
          <w:rFonts w:ascii="Times New Roman" w:eastAsia="Calibri" w:hAnsi="Times New Roman" w:cs="Times New Roman"/>
          <w:sz w:val="24"/>
          <w:szCs w:val="24"/>
        </w:rPr>
        <w:t xml:space="preserve">dynamic </w:t>
      </w:r>
      <w:r w:rsidR="00784320" w:rsidRPr="0092105B">
        <w:rPr>
          <w:rFonts w:ascii="Times New Roman" w:eastAsia="Calibri" w:hAnsi="Times New Roman" w:cs="Times New Roman"/>
          <w:sz w:val="24"/>
          <w:szCs w:val="24"/>
        </w:rPr>
        <w:t xml:space="preserve">using </w:t>
      </w:r>
      <w:r w:rsidR="000B7A31">
        <w:rPr>
          <w:rFonts w:ascii="Times New Roman" w:eastAsia="Calibri" w:hAnsi="Times New Roman" w:cs="Times New Roman"/>
          <w:sz w:val="24"/>
          <w:szCs w:val="24"/>
        </w:rPr>
        <w:t xml:space="preserve">annual </w:t>
      </w:r>
      <w:r w:rsidR="00F3580A" w:rsidRPr="0092105B">
        <w:rPr>
          <w:rFonts w:ascii="Times New Roman" w:eastAsia="Calibri" w:hAnsi="Times New Roman" w:cs="Times New Roman"/>
          <w:sz w:val="24"/>
          <w:szCs w:val="24"/>
        </w:rPr>
        <w:t xml:space="preserve">time series data that </w:t>
      </w:r>
      <w:r w:rsidRPr="0092105B">
        <w:rPr>
          <w:rFonts w:ascii="Times New Roman" w:eastAsia="Calibri" w:hAnsi="Times New Roman" w:cs="Times New Roman"/>
          <w:sz w:val="24"/>
          <w:szCs w:val="24"/>
        </w:rPr>
        <w:t>covers</w:t>
      </w:r>
      <w:r w:rsidR="00F3580A" w:rsidRPr="0092105B">
        <w:rPr>
          <w:rFonts w:ascii="Times New Roman" w:eastAsia="Calibri" w:hAnsi="Times New Roman" w:cs="Times New Roman"/>
          <w:sz w:val="24"/>
          <w:szCs w:val="24"/>
        </w:rPr>
        <w:t xml:space="preserve"> the period 1970 to 201</w:t>
      </w:r>
      <w:r w:rsidR="00B15054" w:rsidRPr="0092105B">
        <w:rPr>
          <w:rFonts w:ascii="Times New Roman" w:eastAsia="Calibri" w:hAnsi="Times New Roman" w:cs="Times New Roman"/>
          <w:sz w:val="24"/>
          <w:szCs w:val="24"/>
        </w:rPr>
        <w:t>3</w:t>
      </w:r>
      <w:r w:rsidR="00F3580A" w:rsidRPr="0092105B">
        <w:rPr>
          <w:rFonts w:ascii="Times New Roman" w:eastAsia="Calibri" w:hAnsi="Times New Roman" w:cs="Times New Roman"/>
          <w:sz w:val="24"/>
          <w:szCs w:val="24"/>
        </w:rPr>
        <w:t>.</w:t>
      </w:r>
      <w:r w:rsidR="007D68B9" w:rsidRPr="0092105B">
        <w:rPr>
          <w:rFonts w:ascii="Times New Roman" w:eastAsia="Calibri" w:hAnsi="Times New Roman" w:cs="Times New Roman"/>
          <w:sz w:val="24"/>
          <w:szCs w:val="24"/>
        </w:rPr>
        <w:t xml:space="preserve"> However, t</w:t>
      </w:r>
      <w:r w:rsidR="00790771" w:rsidRPr="0092105B">
        <w:rPr>
          <w:rFonts w:ascii="Times New Roman" w:eastAsia="Calibri" w:hAnsi="Times New Roman" w:cs="Times New Roman"/>
          <w:sz w:val="24"/>
          <w:szCs w:val="24"/>
        </w:rPr>
        <w:t>he result</w:t>
      </w:r>
      <w:r w:rsidR="007D68B9" w:rsidRPr="0092105B">
        <w:rPr>
          <w:rFonts w:ascii="Times New Roman" w:eastAsia="Calibri" w:hAnsi="Times New Roman" w:cs="Times New Roman"/>
          <w:sz w:val="24"/>
          <w:szCs w:val="24"/>
        </w:rPr>
        <w:t xml:space="preserve">s of the study </w:t>
      </w:r>
      <w:r w:rsidR="00790771" w:rsidRPr="0092105B">
        <w:rPr>
          <w:rFonts w:ascii="Times New Roman" w:eastAsia="Calibri" w:hAnsi="Times New Roman" w:cs="Times New Roman"/>
          <w:sz w:val="24"/>
          <w:szCs w:val="24"/>
        </w:rPr>
        <w:t>s</w:t>
      </w:r>
      <w:r w:rsidR="007D68B9" w:rsidRPr="0092105B">
        <w:rPr>
          <w:rFonts w:ascii="Times New Roman" w:eastAsia="Calibri" w:hAnsi="Times New Roman" w:cs="Times New Roman"/>
          <w:sz w:val="24"/>
          <w:szCs w:val="24"/>
        </w:rPr>
        <w:t>uggested that</w:t>
      </w:r>
      <w:r w:rsidR="00790771" w:rsidRPr="0092105B">
        <w:rPr>
          <w:rFonts w:ascii="Times New Roman" w:eastAsia="Calibri" w:hAnsi="Times New Roman" w:cs="Times New Roman"/>
          <w:sz w:val="24"/>
          <w:szCs w:val="24"/>
        </w:rPr>
        <w:t xml:space="preserve"> real exchange rate e</w:t>
      </w:r>
      <w:r w:rsidR="007D68B9" w:rsidRPr="0092105B">
        <w:rPr>
          <w:rFonts w:ascii="Times New Roman" w:eastAsia="Calibri" w:hAnsi="Times New Roman" w:cs="Times New Roman"/>
          <w:sz w:val="24"/>
          <w:szCs w:val="24"/>
        </w:rPr>
        <w:t>xhibits</w:t>
      </w:r>
      <w:r w:rsidR="007D68B9">
        <w:rPr>
          <w:rFonts w:ascii="Times New Roman" w:eastAsia="Calibri" w:hAnsi="Times New Roman" w:cs="Times New Roman"/>
          <w:sz w:val="24"/>
          <w:szCs w:val="24"/>
        </w:rPr>
        <w:t xml:space="preserve"> volatility of about 16%. </w:t>
      </w:r>
      <w:r w:rsidR="00221B80">
        <w:rPr>
          <w:rFonts w:ascii="Times New Roman" w:eastAsia="Calibri" w:hAnsi="Times New Roman" w:cs="Times New Roman"/>
          <w:sz w:val="24"/>
          <w:szCs w:val="24"/>
        </w:rPr>
        <w:t xml:space="preserve">The result also </w:t>
      </w:r>
      <w:r w:rsidR="00B56E43">
        <w:rPr>
          <w:rFonts w:ascii="Times New Roman" w:eastAsia="Calibri" w:hAnsi="Times New Roman" w:cs="Times New Roman"/>
          <w:sz w:val="24"/>
          <w:szCs w:val="24"/>
        </w:rPr>
        <w:t>shows</w:t>
      </w:r>
      <w:r w:rsidR="007D68B9">
        <w:rPr>
          <w:rFonts w:ascii="Times New Roman" w:eastAsia="Calibri" w:hAnsi="Times New Roman" w:cs="Times New Roman"/>
          <w:sz w:val="24"/>
          <w:szCs w:val="24"/>
        </w:rPr>
        <w:t xml:space="preserve"> that 10% increase in o</w:t>
      </w:r>
      <w:r w:rsidR="00790771" w:rsidRPr="00005D20">
        <w:rPr>
          <w:rFonts w:ascii="Times New Roman" w:eastAsia="Calibri" w:hAnsi="Times New Roman" w:cs="Times New Roman"/>
          <w:sz w:val="24"/>
          <w:szCs w:val="24"/>
        </w:rPr>
        <w:t>il price leads to 19% increase in real exchange rate in the long run. Nonet</w:t>
      </w:r>
      <w:r w:rsidR="007D68B9">
        <w:rPr>
          <w:rFonts w:ascii="Times New Roman" w:eastAsia="Calibri" w:hAnsi="Times New Roman" w:cs="Times New Roman"/>
          <w:sz w:val="24"/>
          <w:szCs w:val="24"/>
        </w:rPr>
        <w:t xml:space="preserve">heless, there is no evidence of </w:t>
      </w:r>
      <w:r w:rsidR="00790771" w:rsidRPr="00005D20">
        <w:rPr>
          <w:rFonts w:ascii="Times New Roman" w:eastAsia="Calibri" w:hAnsi="Times New Roman" w:cs="Times New Roman"/>
          <w:sz w:val="24"/>
          <w:szCs w:val="24"/>
        </w:rPr>
        <w:t>fluctuation in t</w:t>
      </w:r>
      <w:r w:rsidR="007D68B9">
        <w:rPr>
          <w:rFonts w:ascii="Times New Roman" w:eastAsia="Calibri" w:hAnsi="Times New Roman" w:cs="Times New Roman"/>
          <w:sz w:val="24"/>
          <w:szCs w:val="24"/>
        </w:rPr>
        <w:t>he foreign exchange rate market, caused by changes in</w:t>
      </w:r>
      <w:r w:rsidR="00790771" w:rsidRPr="00005D20">
        <w:rPr>
          <w:rFonts w:ascii="Times New Roman" w:eastAsia="Calibri" w:hAnsi="Times New Roman" w:cs="Times New Roman"/>
          <w:sz w:val="24"/>
          <w:szCs w:val="24"/>
        </w:rPr>
        <w:t xml:space="preserve"> oil prices</w:t>
      </w:r>
      <w:r w:rsidR="007D68B9">
        <w:rPr>
          <w:rFonts w:ascii="Times New Roman" w:eastAsia="Calibri" w:hAnsi="Times New Roman" w:cs="Times New Roman"/>
          <w:sz w:val="24"/>
          <w:szCs w:val="24"/>
        </w:rPr>
        <w:t xml:space="preserve"> in Nigeria</w:t>
      </w:r>
      <w:r w:rsidR="00085107">
        <w:rPr>
          <w:rFonts w:ascii="Times New Roman" w:eastAsia="Calibri" w:hAnsi="Times New Roman" w:cs="Times New Roman"/>
          <w:sz w:val="24"/>
          <w:szCs w:val="24"/>
        </w:rPr>
        <w:t xml:space="preserve"> </w:t>
      </w:r>
      <w:r w:rsidR="00221B80">
        <w:rPr>
          <w:rFonts w:ascii="Times New Roman" w:eastAsia="Calibri" w:hAnsi="Times New Roman" w:cs="Times New Roman"/>
          <w:sz w:val="24"/>
          <w:szCs w:val="24"/>
        </w:rPr>
        <w:t xml:space="preserve">as at the time of the study </w:t>
      </w:r>
      <w:r w:rsidR="00085107">
        <w:rPr>
          <w:rFonts w:ascii="Times New Roman" w:eastAsia="Calibri" w:hAnsi="Times New Roman" w:cs="Times New Roman"/>
          <w:sz w:val="24"/>
          <w:szCs w:val="24"/>
        </w:rPr>
        <w:t xml:space="preserve">since </w:t>
      </w:r>
      <w:r w:rsidR="00085107" w:rsidRPr="00005D20">
        <w:rPr>
          <w:rFonts w:ascii="Times New Roman" w:hAnsi="Times New Roman" w:cs="Times New Roman"/>
          <w:sz w:val="24"/>
          <w:szCs w:val="24"/>
        </w:rPr>
        <w:t xml:space="preserve">the shock effect between oil price and exchange rate </w:t>
      </w:r>
      <w:r w:rsidR="00221B80">
        <w:rPr>
          <w:rFonts w:ascii="Times New Roman" w:hAnsi="Times New Roman" w:cs="Times New Roman"/>
          <w:sz w:val="24"/>
          <w:szCs w:val="24"/>
        </w:rPr>
        <w:t xml:space="preserve">dynamics </w:t>
      </w:r>
      <w:r w:rsidR="00085107" w:rsidRPr="00005D20">
        <w:rPr>
          <w:rFonts w:ascii="Times New Roman" w:hAnsi="Times New Roman" w:cs="Times New Roman"/>
          <w:sz w:val="24"/>
          <w:szCs w:val="24"/>
        </w:rPr>
        <w:t xml:space="preserve">is relatively not significant in the long </w:t>
      </w:r>
      <w:r w:rsidR="00AB6F2C">
        <w:rPr>
          <w:rFonts w:ascii="Times New Roman" w:hAnsi="Times New Roman" w:cs="Times New Roman"/>
          <w:sz w:val="24"/>
          <w:szCs w:val="24"/>
        </w:rPr>
        <w:t>run and hence,</w:t>
      </w:r>
      <w:r w:rsidR="00085107" w:rsidRPr="00005D20">
        <w:rPr>
          <w:rFonts w:ascii="Times New Roman" w:hAnsi="Times New Roman" w:cs="Times New Roman"/>
          <w:sz w:val="24"/>
          <w:szCs w:val="24"/>
        </w:rPr>
        <w:t xml:space="preserve"> in explaining the reasons for volatility in exchange rate as represented in EGARCH result</w:t>
      </w:r>
      <w:r w:rsidR="00790771" w:rsidRPr="00005D20">
        <w:rPr>
          <w:rFonts w:ascii="Times New Roman" w:eastAsia="Calibri" w:hAnsi="Times New Roman" w:cs="Times New Roman"/>
          <w:sz w:val="24"/>
          <w:szCs w:val="24"/>
        </w:rPr>
        <w:t>.</w:t>
      </w:r>
      <w:r w:rsidR="007D68B9">
        <w:rPr>
          <w:rFonts w:ascii="Times New Roman" w:eastAsia="Calibri" w:hAnsi="Times New Roman" w:cs="Times New Roman"/>
          <w:sz w:val="24"/>
          <w:szCs w:val="24"/>
        </w:rPr>
        <w:t xml:space="preserve"> </w:t>
      </w:r>
      <w:r w:rsidR="00B56E43">
        <w:rPr>
          <w:rFonts w:ascii="Times New Roman" w:eastAsia="Calibri" w:hAnsi="Times New Roman" w:cs="Times New Roman"/>
          <w:sz w:val="24"/>
          <w:szCs w:val="24"/>
        </w:rPr>
        <w:t xml:space="preserve">Also, we observed a positive relationship between </w:t>
      </w:r>
      <w:r w:rsidR="0092105B">
        <w:rPr>
          <w:rFonts w:ascii="Times New Roman" w:eastAsia="Calibri" w:hAnsi="Times New Roman" w:cs="Times New Roman"/>
          <w:sz w:val="24"/>
          <w:szCs w:val="24"/>
        </w:rPr>
        <w:t>oil price, exchange rate dynamic and economic performance (proxy; real GDP). From the empirical findings, t</w:t>
      </w:r>
      <w:r w:rsidR="007D68B9">
        <w:rPr>
          <w:rFonts w:ascii="Times New Roman" w:eastAsia="Calibri" w:hAnsi="Times New Roman" w:cs="Times New Roman"/>
          <w:sz w:val="24"/>
          <w:szCs w:val="24"/>
        </w:rPr>
        <w:t>h</w:t>
      </w:r>
      <w:r w:rsidR="00EB48FD">
        <w:rPr>
          <w:rFonts w:ascii="Times New Roman" w:eastAsia="Calibri" w:hAnsi="Times New Roman" w:cs="Times New Roman"/>
          <w:sz w:val="24"/>
          <w:szCs w:val="24"/>
        </w:rPr>
        <w:t>is</w:t>
      </w:r>
      <w:r w:rsidR="007D68B9">
        <w:rPr>
          <w:rFonts w:ascii="Times New Roman" w:eastAsia="Calibri" w:hAnsi="Times New Roman" w:cs="Times New Roman"/>
          <w:sz w:val="24"/>
          <w:szCs w:val="24"/>
        </w:rPr>
        <w:t xml:space="preserve"> study therefore recommends that</w:t>
      </w:r>
      <w:r w:rsidR="00EB48FD">
        <w:rPr>
          <w:rFonts w:ascii="Times New Roman" w:eastAsia="Calibri" w:hAnsi="Times New Roman" w:cs="Times New Roman"/>
          <w:sz w:val="24"/>
          <w:szCs w:val="24"/>
        </w:rPr>
        <w:t xml:space="preserve"> government </w:t>
      </w:r>
      <w:r w:rsidR="0092105B">
        <w:rPr>
          <w:rFonts w:ascii="Times New Roman" w:eastAsia="Calibri" w:hAnsi="Times New Roman" w:cs="Times New Roman"/>
          <w:sz w:val="24"/>
          <w:szCs w:val="24"/>
        </w:rPr>
        <w:t xml:space="preserve">should reduce the pressure on exchange rate by diversifying the economy so as to reduce the pressure on oil. This will help to stabilize oil price and promote growth. </w:t>
      </w:r>
    </w:p>
    <w:p w:rsidR="00790771" w:rsidRPr="00D45685" w:rsidRDefault="00790771" w:rsidP="00727958">
      <w:pPr>
        <w:pStyle w:val="Title"/>
        <w:spacing w:after="0"/>
        <w:rPr>
          <w:sz w:val="6"/>
          <w:szCs w:val="24"/>
        </w:rPr>
      </w:pPr>
    </w:p>
    <w:p w:rsidR="00790771" w:rsidRPr="00D3118B" w:rsidRDefault="00790771" w:rsidP="00727958">
      <w:pPr>
        <w:autoSpaceDE w:val="0"/>
        <w:autoSpaceDN w:val="0"/>
        <w:adjustRightInd w:val="0"/>
        <w:spacing w:after="0" w:line="240" w:lineRule="auto"/>
        <w:jc w:val="both"/>
        <w:rPr>
          <w:rFonts w:ascii="Times New Roman" w:hAnsi="Times New Roman" w:cs="Times New Roman"/>
          <w:b/>
          <w:sz w:val="10"/>
          <w:szCs w:val="24"/>
        </w:rPr>
      </w:pPr>
    </w:p>
    <w:p w:rsidR="000910A3" w:rsidRPr="00944A0C" w:rsidRDefault="000910A3" w:rsidP="00944A0C">
      <w:pPr>
        <w:pStyle w:val="Default"/>
        <w:rPr>
          <w:rFonts w:ascii="Times New Roman" w:hAnsi="Times New Roman" w:cs="Times New Roman"/>
          <w:b/>
          <w:i/>
        </w:rPr>
      </w:pPr>
      <w:r w:rsidRPr="00944A0C">
        <w:rPr>
          <w:rFonts w:ascii="Times New Roman" w:hAnsi="Times New Roman" w:cs="Times New Roman"/>
          <w:i/>
          <w:spacing w:val="-2"/>
        </w:rPr>
        <w:t>J</w:t>
      </w:r>
      <w:r w:rsidRPr="00944A0C">
        <w:rPr>
          <w:rFonts w:ascii="Times New Roman" w:hAnsi="Times New Roman" w:cs="Times New Roman"/>
          <w:i/>
        </w:rPr>
        <w:t>EL Class</w:t>
      </w:r>
      <w:r w:rsidRPr="00944A0C">
        <w:rPr>
          <w:rFonts w:ascii="Times New Roman" w:hAnsi="Times New Roman" w:cs="Times New Roman"/>
          <w:i/>
          <w:spacing w:val="1"/>
        </w:rPr>
        <w:t>if</w:t>
      </w:r>
      <w:r w:rsidRPr="00944A0C">
        <w:rPr>
          <w:rFonts w:ascii="Times New Roman" w:hAnsi="Times New Roman" w:cs="Times New Roman"/>
          <w:i/>
        </w:rPr>
        <w:t>ica</w:t>
      </w:r>
      <w:r w:rsidRPr="00944A0C">
        <w:rPr>
          <w:rFonts w:ascii="Times New Roman" w:hAnsi="Times New Roman" w:cs="Times New Roman"/>
          <w:i/>
          <w:spacing w:val="-1"/>
        </w:rPr>
        <w:t>t</w:t>
      </w:r>
      <w:r w:rsidRPr="00944A0C">
        <w:rPr>
          <w:rFonts w:ascii="Times New Roman" w:hAnsi="Times New Roman" w:cs="Times New Roman"/>
          <w:i/>
        </w:rPr>
        <w:t>io</w:t>
      </w:r>
      <w:r w:rsidRPr="00944A0C">
        <w:rPr>
          <w:rFonts w:ascii="Times New Roman" w:hAnsi="Times New Roman" w:cs="Times New Roman"/>
          <w:i/>
          <w:spacing w:val="1"/>
        </w:rPr>
        <w:t>n</w:t>
      </w:r>
      <w:r w:rsidRPr="00944A0C">
        <w:rPr>
          <w:rFonts w:ascii="Times New Roman" w:hAnsi="Times New Roman" w:cs="Times New Roman"/>
          <w:i/>
        </w:rPr>
        <w:t>:</w:t>
      </w:r>
      <w:r w:rsidRPr="00944A0C">
        <w:rPr>
          <w:rFonts w:ascii="Times New Roman" w:hAnsi="Times New Roman" w:cs="Times New Roman"/>
          <w:sz w:val="20"/>
          <w:szCs w:val="20"/>
        </w:rPr>
        <w:t xml:space="preserve"> </w:t>
      </w:r>
      <w:r w:rsidR="00265DD9" w:rsidRPr="00944A0C">
        <w:rPr>
          <w:rFonts w:ascii="Times New Roman" w:hAnsi="Times New Roman" w:cs="Times New Roman"/>
          <w:sz w:val="23"/>
          <w:szCs w:val="23"/>
        </w:rPr>
        <w:t xml:space="preserve">F30, </w:t>
      </w:r>
      <w:r w:rsidR="00265DD9" w:rsidRPr="00944A0C">
        <w:rPr>
          <w:rFonts w:ascii="Times New Roman" w:hAnsi="Times New Roman" w:cs="Times New Roman"/>
          <w:sz w:val="20"/>
          <w:szCs w:val="20"/>
        </w:rPr>
        <w:t xml:space="preserve">F31, </w:t>
      </w:r>
      <w:r w:rsidR="00265DD9" w:rsidRPr="00944A0C">
        <w:rPr>
          <w:rFonts w:ascii="Times New Roman" w:hAnsi="Times New Roman" w:cs="Times New Roman"/>
          <w:sz w:val="23"/>
          <w:szCs w:val="23"/>
        </w:rPr>
        <w:t>P33</w:t>
      </w:r>
    </w:p>
    <w:p w:rsidR="000910A3" w:rsidRPr="00944A0C" w:rsidRDefault="000910A3" w:rsidP="00727958">
      <w:pPr>
        <w:spacing w:after="0" w:line="240" w:lineRule="auto"/>
        <w:jc w:val="both"/>
        <w:rPr>
          <w:rFonts w:ascii="Times New Roman" w:hAnsi="Times New Roman" w:cs="Times New Roman"/>
          <w:i/>
          <w:sz w:val="24"/>
          <w:szCs w:val="24"/>
        </w:rPr>
      </w:pPr>
      <w:r w:rsidRPr="00944A0C">
        <w:rPr>
          <w:rFonts w:ascii="Times New Roman" w:hAnsi="Times New Roman" w:cs="Times New Roman"/>
          <w:i/>
          <w:spacing w:val="-2"/>
          <w:sz w:val="24"/>
          <w:szCs w:val="24"/>
        </w:rPr>
        <w:t>K</w:t>
      </w:r>
      <w:r w:rsidRPr="00944A0C">
        <w:rPr>
          <w:rFonts w:ascii="Times New Roman" w:hAnsi="Times New Roman" w:cs="Times New Roman"/>
          <w:i/>
          <w:spacing w:val="-1"/>
          <w:sz w:val="24"/>
          <w:szCs w:val="24"/>
        </w:rPr>
        <w:t>e</w:t>
      </w:r>
      <w:r w:rsidRPr="00944A0C">
        <w:rPr>
          <w:rFonts w:ascii="Times New Roman" w:hAnsi="Times New Roman" w:cs="Times New Roman"/>
          <w:i/>
          <w:sz w:val="24"/>
          <w:szCs w:val="24"/>
        </w:rPr>
        <w:t>y</w:t>
      </w:r>
      <w:r w:rsidRPr="00944A0C">
        <w:rPr>
          <w:rFonts w:ascii="Times New Roman" w:hAnsi="Times New Roman" w:cs="Times New Roman"/>
          <w:i/>
          <w:spacing w:val="2"/>
          <w:sz w:val="24"/>
          <w:szCs w:val="24"/>
        </w:rPr>
        <w:t>w</w:t>
      </w:r>
      <w:r w:rsidRPr="00944A0C">
        <w:rPr>
          <w:rFonts w:ascii="Times New Roman" w:hAnsi="Times New Roman" w:cs="Times New Roman"/>
          <w:i/>
          <w:sz w:val="24"/>
          <w:szCs w:val="24"/>
        </w:rPr>
        <w:t>o</w:t>
      </w:r>
      <w:r w:rsidRPr="00944A0C">
        <w:rPr>
          <w:rFonts w:ascii="Times New Roman" w:hAnsi="Times New Roman" w:cs="Times New Roman"/>
          <w:i/>
          <w:spacing w:val="-1"/>
          <w:sz w:val="24"/>
          <w:szCs w:val="24"/>
        </w:rPr>
        <w:t>r</w:t>
      </w:r>
      <w:r w:rsidRPr="00944A0C">
        <w:rPr>
          <w:rFonts w:ascii="Times New Roman" w:hAnsi="Times New Roman" w:cs="Times New Roman"/>
          <w:i/>
          <w:spacing w:val="1"/>
          <w:sz w:val="24"/>
          <w:szCs w:val="24"/>
        </w:rPr>
        <w:t>d</w:t>
      </w:r>
      <w:r w:rsidRPr="00944A0C">
        <w:rPr>
          <w:rFonts w:ascii="Times New Roman" w:hAnsi="Times New Roman" w:cs="Times New Roman"/>
          <w:i/>
          <w:sz w:val="24"/>
          <w:szCs w:val="24"/>
        </w:rPr>
        <w:t>:</w:t>
      </w:r>
      <w:r w:rsidR="007A4191" w:rsidRPr="00944A0C">
        <w:rPr>
          <w:rFonts w:ascii="Times New Roman" w:hAnsi="Times New Roman" w:cs="Times New Roman"/>
          <w:i/>
          <w:sz w:val="24"/>
          <w:szCs w:val="24"/>
        </w:rPr>
        <w:t xml:space="preserve"> Oil pric</w:t>
      </w:r>
      <w:r w:rsidR="00005F44" w:rsidRPr="00944A0C">
        <w:rPr>
          <w:rFonts w:ascii="Times New Roman" w:hAnsi="Times New Roman" w:cs="Times New Roman"/>
          <w:i/>
          <w:sz w:val="24"/>
          <w:szCs w:val="24"/>
        </w:rPr>
        <w:t>e</w:t>
      </w:r>
      <w:r w:rsidR="00265DD9" w:rsidRPr="00944A0C">
        <w:rPr>
          <w:rFonts w:ascii="Times New Roman" w:hAnsi="Times New Roman" w:cs="Times New Roman"/>
          <w:i/>
          <w:sz w:val="24"/>
          <w:szCs w:val="24"/>
        </w:rPr>
        <w:t xml:space="preserve"> oscillation</w:t>
      </w:r>
      <w:r w:rsidR="00777983" w:rsidRPr="00944A0C">
        <w:rPr>
          <w:rFonts w:ascii="Times New Roman" w:hAnsi="Times New Roman" w:cs="Times New Roman"/>
          <w:i/>
          <w:sz w:val="24"/>
          <w:szCs w:val="24"/>
        </w:rPr>
        <w:t>, Exchange Rate Dynamic</w:t>
      </w:r>
      <w:r w:rsidR="00265DD9" w:rsidRPr="00944A0C">
        <w:rPr>
          <w:rFonts w:ascii="Times New Roman" w:hAnsi="Times New Roman" w:cs="Times New Roman"/>
          <w:i/>
          <w:sz w:val="24"/>
          <w:szCs w:val="24"/>
        </w:rPr>
        <w:t>, economic performance</w:t>
      </w:r>
    </w:p>
    <w:p w:rsidR="00237CA5" w:rsidRPr="00944A0C" w:rsidRDefault="00237CA5" w:rsidP="0092105B">
      <w:pPr>
        <w:spacing w:after="0" w:line="240" w:lineRule="auto"/>
        <w:jc w:val="both"/>
        <w:rPr>
          <w:rFonts w:ascii="Times New Roman" w:hAnsi="Times New Roman" w:cs="Times New Roman"/>
          <w:b/>
          <w:sz w:val="24"/>
          <w:szCs w:val="24"/>
        </w:rPr>
      </w:pPr>
    </w:p>
    <w:p w:rsidR="0051433C" w:rsidRPr="005472F8" w:rsidRDefault="00E4733B" w:rsidP="005472F8">
      <w:pPr>
        <w:pStyle w:val="ListParagraph"/>
        <w:numPr>
          <w:ilvl w:val="0"/>
          <w:numId w:val="26"/>
        </w:numPr>
        <w:autoSpaceDE w:val="0"/>
        <w:autoSpaceDN w:val="0"/>
        <w:adjustRightInd w:val="0"/>
        <w:spacing w:after="0" w:line="240" w:lineRule="auto"/>
        <w:ind w:hanging="720"/>
        <w:jc w:val="both"/>
        <w:rPr>
          <w:rFonts w:ascii="Times New Roman" w:hAnsi="Times New Roman" w:cs="Times New Roman"/>
          <w:color w:val="000000"/>
          <w:sz w:val="24"/>
          <w:szCs w:val="24"/>
        </w:rPr>
      </w:pPr>
      <w:r w:rsidRPr="005472F8">
        <w:rPr>
          <w:rFonts w:ascii="Times New Roman" w:hAnsi="Times New Roman" w:cs="Times New Roman"/>
          <w:b/>
          <w:bCs/>
          <w:color w:val="000000"/>
          <w:sz w:val="24"/>
          <w:szCs w:val="24"/>
        </w:rPr>
        <w:t>Introductio</w:t>
      </w:r>
      <w:r w:rsidR="0051433C" w:rsidRPr="005472F8">
        <w:rPr>
          <w:rFonts w:ascii="Times New Roman" w:hAnsi="Times New Roman" w:cs="Times New Roman"/>
          <w:b/>
          <w:bCs/>
          <w:color w:val="000000"/>
          <w:sz w:val="24"/>
          <w:szCs w:val="24"/>
        </w:rPr>
        <w:t>n</w:t>
      </w:r>
      <w:r w:rsidR="005472F8">
        <w:rPr>
          <w:rFonts w:ascii="Times New Roman" w:hAnsi="Times New Roman" w:cs="Times New Roman"/>
          <w:b/>
          <w:bCs/>
          <w:color w:val="000000"/>
          <w:sz w:val="24"/>
          <w:szCs w:val="24"/>
        </w:rPr>
        <w:t>:</w:t>
      </w:r>
    </w:p>
    <w:p w:rsidR="00AB1735" w:rsidRPr="003806E2" w:rsidRDefault="00AB1735" w:rsidP="00D67F88">
      <w:pPr>
        <w:autoSpaceDE w:val="0"/>
        <w:autoSpaceDN w:val="0"/>
        <w:adjustRightInd w:val="0"/>
        <w:spacing w:after="0" w:line="240" w:lineRule="auto"/>
        <w:jc w:val="both"/>
        <w:rPr>
          <w:rFonts w:ascii="Times New Roman" w:hAnsi="Times New Roman" w:cs="Times New Roman"/>
          <w:sz w:val="14"/>
          <w:szCs w:val="24"/>
        </w:rPr>
      </w:pPr>
    </w:p>
    <w:p w:rsidR="00D11E9F" w:rsidRPr="00C62F80" w:rsidRDefault="006A45DA" w:rsidP="00D11E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interplay of o</w:t>
      </w:r>
      <w:r w:rsidR="00462418" w:rsidRPr="007B6582">
        <w:rPr>
          <w:rFonts w:ascii="Times New Roman" w:hAnsi="Times New Roman" w:cs="Times New Roman"/>
          <w:sz w:val="24"/>
          <w:szCs w:val="24"/>
        </w:rPr>
        <w:t>il price and exchange rate in Nigeria has</w:t>
      </w:r>
      <w:r w:rsidR="00A707A6">
        <w:rPr>
          <w:rFonts w:ascii="Times New Roman" w:hAnsi="Times New Roman" w:cs="Times New Roman"/>
          <w:sz w:val="24"/>
          <w:szCs w:val="24"/>
        </w:rPr>
        <w:t xml:space="preserve"> enormous implications </w:t>
      </w:r>
      <w:r w:rsidR="00462418" w:rsidRPr="007B6582">
        <w:rPr>
          <w:rFonts w:ascii="Times New Roman" w:hAnsi="Times New Roman" w:cs="Times New Roman"/>
          <w:sz w:val="24"/>
          <w:szCs w:val="24"/>
        </w:rPr>
        <w:t xml:space="preserve">in </w:t>
      </w:r>
      <w:r w:rsidR="005472F8">
        <w:rPr>
          <w:rFonts w:ascii="Times New Roman" w:hAnsi="Times New Roman" w:cs="Times New Roman"/>
          <w:sz w:val="24"/>
          <w:szCs w:val="24"/>
        </w:rPr>
        <w:t>Nigerian</w:t>
      </w:r>
      <w:r w:rsidR="00A707A6">
        <w:rPr>
          <w:rFonts w:ascii="Times New Roman" w:hAnsi="Times New Roman" w:cs="Times New Roman"/>
          <w:sz w:val="24"/>
          <w:szCs w:val="24"/>
        </w:rPr>
        <w:t xml:space="preserve"> economy</w:t>
      </w:r>
      <w:r w:rsidR="005472F8">
        <w:rPr>
          <w:rFonts w:ascii="Times New Roman" w:hAnsi="Times New Roman" w:cs="Times New Roman"/>
          <w:sz w:val="24"/>
          <w:szCs w:val="24"/>
        </w:rPr>
        <w:t>.</w:t>
      </w:r>
      <w:r w:rsidR="00A707A6">
        <w:rPr>
          <w:rFonts w:ascii="Times New Roman" w:hAnsi="Times New Roman" w:cs="Times New Roman"/>
          <w:sz w:val="24"/>
          <w:szCs w:val="24"/>
        </w:rPr>
        <w:t xml:space="preserve"> </w:t>
      </w:r>
      <w:r w:rsidR="00F97B8E">
        <w:rPr>
          <w:rFonts w:ascii="Times New Roman" w:hAnsi="Times New Roman" w:cs="Times New Roman"/>
          <w:sz w:val="24"/>
          <w:szCs w:val="24"/>
        </w:rPr>
        <w:t xml:space="preserve">As the </w:t>
      </w:r>
      <w:r w:rsidR="003E0D7F">
        <w:rPr>
          <w:rFonts w:ascii="Times New Roman" w:hAnsi="Times New Roman" w:cs="Times New Roman"/>
          <w:sz w:val="24"/>
          <w:szCs w:val="24"/>
        </w:rPr>
        <w:t>main stay of the Nigerian economy</w:t>
      </w:r>
      <w:r w:rsidR="0001002C">
        <w:rPr>
          <w:rFonts w:ascii="Times New Roman" w:hAnsi="Times New Roman" w:cs="Times New Roman"/>
          <w:sz w:val="24"/>
          <w:szCs w:val="24"/>
        </w:rPr>
        <w:t xml:space="preserve">, </w:t>
      </w:r>
      <w:r w:rsidR="00F97B8E">
        <w:rPr>
          <w:rFonts w:ascii="Times New Roman" w:hAnsi="Times New Roman" w:cs="Times New Roman"/>
          <w:sz w:val="24"/>
          <w:szCs w:val="24"/>
        </w:rPr>
        <w:t>oil sub-sector dominates</w:t>
      </w:r>
      <w:r w:rsidR="0001002C">
        <w:rPr>
          <w:rFonts w:ascii="Times New Roman" w:hAnsi="Times New Roman" w:cs="Times New Roman"/>
          <w:sz w:val="24"/>
          <w:szCs w:val="24"/>
        </w:rPr>
        <w:t xml:space="preserve"> the volume of the country’s export and </w:t>
      </w:r>
      <w:r w:rsidR="003E0D7F">
        <w:rPr>
          <w:rFonts w:ascii="Times New Roman" w:hAnsi="Times New Roman" w:cs="Times New Roman"/>
          <w:sz w:val="24"/>
          <w:szCs w:val="24"/>
        </w:rPr>
        <w:t xml:space="preserve">foreign exchange </w:t>
      </w:r>
      <w:r w:rsidR="0001002C">
        <w:rPr>
          <w:rFonts w:ascii="Times New Roman" w:hAnsi="Times New Roman" w:cs="Times New Roman"/>
          <w:sz w:val="24"/>
          <w:szCs w:val="24"/>
        </w:rPr>
        <w:t xml:space="preserve">earning </w:t>
      </w:r>
      <w:r w:rsidR="00DF6A86">
        <w:rPr>
          <w:rFonts w:ascii="Times New Roman" w:hAnsi="Times New Roman" w:cs="Times New Roman"/>
          <w:sz w:val="24"/>
          <w:szCs w:val="24"/>
        </w:rPr>
        <w:t>of</w:t>
      </w:r>
      <w:r w:rsidR="003E0D7F">
        <w:rPr>
          <w:rFonts w:ascii="Times New Roman" w:hAnsi="Times New Roman" w:cs="Times New Roman"/>
          <w:sz w:val="24"/>
          <w:szCs w:val="24"/>
        </w:rPr>
        <w:t xml:space="preserve"> the country. Consequently, </w:t>
      </w:r>
      <w:r w:rsidR="003E0D7F" w:rsidRPr="007B6582">
        <w:rPr>
          <w:rFonts w:ascii="Times New Roman" w:hAnsi="Times New Roman" w:cs="Times New Roman"/>
          <w:sz w:val="24"/>
          <w:szCs w:val="24"/>
        </w:rPr>
        <w:t>oil price and exch</w:t>
      </w:r>
      <w:r w:rsidR="003E0D7F">
        <w:rPr>
          <w:rFonts w:ascii="Times New Roman" w:hAnsi="Times New Roman" w:cs="Times New Roman"/>
          <w:sz w:val="24"/>
          <w:szCs w:val="24"/>
        </w:rPr>
        <w:t xml:space="preserve">ange rate </w:t>
      </w:r>
      <w:r w:rsidR="0001002C">
        <w:rPr>
          <w:rFonts w:ascii="Times New Roman" w:hAnsi="Times New Roman" w:cs="Times New Roman"/>
          <w:sz w:val="24"/>
          <w:szCs w:val="24"/>
        </w:rPr>
        <w:t xml:space="preserve">dynamics </w:t>
      </w:r>
      <w:r w:rsidR="003E0D7F">
        <w:rPr>
          <w:rFonts w:ascii="Times New Roman" w:hAnsi="Times New Roman" w:cs="Times New Roman"/>
          <w:sz w:val="24"/>
          <w:szCs w:val="24"/>
        </w:rPr>
        <w:t xml:space="preserve">in Nigeria has </w:t>
      </w:r>
      <w:r w:rsidR="0001002C">
        <w:rPr>
          <w:rFonts w:ascii="Times New Roman" w:hAnsi="Times New Roman" w:cs="Times New Roman"/>
          <w:sz w:val="24"/>
          <w:szCs w:val="24"/>
        </w:rPr>
        <w:t xml:space="preserve">been a </w:t>
      </w:r>
      <w:r w:rsidR="003E0D7F">
        <w:rPr>
          <w:rFonts w:ascii="Times New Roman" w:hAnsi="Times New Roman" w:cs="Times New Roman"/>
          <w:sz w:val="24"/>
          <w:szCs w:val="24"/>
        </w:rPr>
        <w:t xml:space="preserve">much </w:t>
      </w:r>
      <w:r w:rsidR="0001002C">
        <w:rPr>
          <w:rFonts w:ascii="Times New Roman" w:hAnsi="Times New Roman" w:cs="Times New Roman"/>
          <w:sz w:val="24"/>
          <w:szCs w:val="24"/>
        </w:rPr>
        <w:t xml:space="preserve">debated issues in </w:t>
      </w:r>
      <w:r w:rsidR="0001002C" w:rsidRPr="00C62F80">
        <w:rPr>
          <w:rFonts w:ascii="Times New Roman" w:hAnsi="Times New Roman" w:cs="Times New Roman"/>
          <w:sz w:val="24"/>
          <w:szCs w:val="24"/>
        </w:rPr>
        <w:t xml:space="preserve">the economy considering </w:t>
      </w:r>
      <w:r w:rsidR="00462418" w:rsidRPr="00C62F80">
        <w:rPr>
          <w:rFonts w:ascii="Times New Roman" w:hAnsi="Times New Roman" w:cs="Times New Roman"/>
          <w:sz w:val="24"/>
          <w:szCs w:val="24"/>
        </w:rPr>
        <w:t xml:space="preserve">its volatility and </w:t>
      </w:r>
      <w:r w:rsidR="0001002C" w:rsidRPr="00C62F80">
        <w:rPr>
          <w:rFonts w:ascii="Times New Roman" w:hAnsi="Times New Roman" w:cs="Times New Roman"/>
          <w:sz w:val="24"/>
          <w:szCs w:val="24"/>
        </w:rPr>
        <w:t>subsequent</w:t>
      </w:r>
      <w:r w:rsidR="00462418" w:rsidRPr="00C62F80">
        <w:rPr>
          <w:rFonts w:ascii="Times New Roman" w:hAnsi="Times New Roman" w:cs="Times New Roman"/>
          <w:sz w:val="24"/>
          <w:szCs w:val="24"/>
        </w:rPr>
        <w:t xml:space="preserve"> </w:t>
      </w:r>
      <w:r w:rsidR="0001002C" w:rsidRPr="00C62F80">
        <w:rPr>
          <w:rFonts w:ascii="Times New Roman" w:hAnsi="Times New Roman" w:cs="Times New Roman"/>
          <w:sz w:val="24"/>
          <w:szCs w:val="24"/>
        </w:rPr>
        <w:t>influence</w:t>
      </w:r>
      <w:r w:rsidR="00462418" w:rsidRPr="00C62F80">
        <w:rPr>
          <w:rFonts w:ascii="Times New Roman" w:hAnsi="Times New Roman" w:cs="Times New Roman"/>
          <w:sz w:val="24"/>
          <w:szCs w:val="24"/>
        </w:rPr>
        <w:t xml:space="preserve"> on </w:t>
      </w:r>
      <w:r w:rsidR="0034132C">
        <w:rPr>
          <w:rFonts w:ascii="Times New Roman" w:hAnsi="Times New Roman" w:cs="Times New Roman"/>
          <w:sz w:val="24"/>
          <w:szCs w:val="24"/>
        </w:rPr>
        <w:t>range of other</w:t>
      </w:r>
      <w:r w:rsidR="00670B1D" w:rsidRPr="00C62F80">
        <w:rPr>
          <w:rFonts w:ascii="Times New Roman" w:hAnsi="Times New Roman" w:cs="Times New Roman"/>
          <w:sz w:val="24"/>
          <w:szCs w:val="24"/>
        </w:rPr>
        <w:t xml:space="preserve"> sectors of the economy.</w:t>
      </w:r>
      <w:r w:rsidR="00AB1735" w:rsidRPr="00C62F80">
        <w:rPr>
          <w:rFonts w:ascii="Times New Roman" w:hAnsi="Times New Roman" w:cs="Times New Roman"/>
          <w:sz w:val="24"/>
          <w:szCs w:val="24"/>
        </w:rPr>
        <w:t xml:space="preserve"> </w:t>
      </w:r>
      <w:r w:rsidR="005E584C" w:rsidRPr="00C62F80">
        <w:rPr>
          <w:rFonts w:ascii="Times New Roman" w:hAnsi="Times New Roman" w:cs="Times New Roman"/>
          <w:sz w:val="24"/>
          <w:szCs w:val="24"/>
        </w:rPr>
        <w:t xml:space="preserve">It has been </w:t>
      </w:r>
      <w:r w:rsidR="00D9641B" w:rsidRPr="00C62F80">
        <w:rPr>
          <w:rFonts w:ascii="Times New Roman" w:hAnsi="Times New Roman" w:cs="Times New Roman"/>
          <w:sz w:val="24"/>
          <w:szCs w:val="24"/>
        </w:rPr>
        <w:t>acknowledged</w:t>
      </w:r>
      <w:r w:rsidR="005E584C" w:rsidRPr="00C62F80">
        <w:rPr>
          <w:rFonts w:ascii="Times New Roman" w:hAnsi="Times New Roman" w:cs="Times New Roman"/>
          <w:sz w:val="24"/>
          <w:szCs w:val="24"/>
        </w:rPr>
        <w:t xml:space="preserve"> that </w:t>
      </w:r>
      <w:r w:rsidR="00D9641B" w:rsidRPr="00C62F80">
        <w:rPr>
          <w:rFonts w:ascii="Times New Roman" w:hAnsi="Times New Roman" w:cs="Times New Roman"/>
          <w:sz w:val="24"/>
          <w:szCs w:val="24"/>
        </w:rPr>
        <w:t xml:space="preserve">exchange rate </w:t>
      </w:r>
      <w:r w:rsidR="005E584C" w:rsidRPr="00C62F80">
        <w:rPr>
          <w:rFonts w:ascii="Times New Roman" w:hAnsi="Times New Roman" w:cs="Times New Roman"/>
          <w:sz w:val="24"/>
          <w:szCs w:val="24"/>
        </w:rPr>
        <w:t xml:space="preserve">depreciation </w:t>
      </w:r>
      <w:r w:rsidR="00D9641B" w:rsidRPr="00C62F80">
        <w:rPr>
          <w:rFonts w:ascii="Times New Roman" w:hAnsi="Times New Roman" w:cs="Times New Roman"/>
          <w:sz w:val="24"/>
          <w:szCs w:val="24"/>
        </w:rPr>
        <w:t>persuade the</w:t>
      </w:r>
      <w:r w:rsidR="005E584C" w:rsidRPr="00C62F80">
        <w:rPr>
          <w:rFonts w:ascii="Times New Roman" w:hAnsi="Times New Roman" w:cs="Times New Roman"/>
          <w:sz w:val="24"/>
          <w:szCs w:val="24"/>
        </w:rPr>
        <w:t xml:space="preserve"> expan</w:t>
      </w:r>
      <w:r w:rsidR="00D9641B" w:rsidRPr="00C62F80">
        <w:rPr>
          <w:rFonts w:ascii="Times New Roman" w:hAnsi="Times New Roman" w:cs="Times New Roman"/>
          <w:sz w:val="24"/>
          <w:szCs w:val="24"/>
        </w:rPr>
        <w:t>sion of</w:t>
      </w:r>
      <w:r w:rsidR="005E584C" w:rsidRPr="00C62F80">
        <w:rPr>
          <w:rFonts w:ascii="Times New Roman" w:hAnsi="Times New Roman" w:cs="Times New Roman"/>
          <w:sz w:val="24"/>
          <w:szCs w:val="24"/>
        </w:rPr>
        <w:t xml:space="preserve"> exports </w:t>
      </w:r>
      <w:r w:rsidR="00D9641B" w:rsidRPr="00C62F80">
        <w:rPr>
          <w:rFonts w:ascii="Times New Roman" w:hAnsi="Times New Roman" w:cs="Times New Roman"/>
          <w:sz w:val="24"/>
          <w:szCs w:val="24"/>
        </w:rPr>
        <w:t xml:space="preserve">and </w:t>
      </w:r>
      <w:r w:rsidR="005E584C" w:rsidRPr="00C62F80">
        <w:rPr>
          <w:rFonts w:ascii="Times New Roman" w:hAnsi="Times New Roman" w:cs="Times New Roman"/>
          <w:sz w:val="24"/>
          <w:szCs w:val="24"/>
        </w:rPr>
        <w:t xml:space="preserve">reduce imports, </w:t>
      </w:r>
      <w:r w:rsidR="00D61503" w:rsidRPr="00C62F80">
        <w:rPr>
          <w:rFonts w:ascii="Times New Roman" w:hAnsi="Times New Roman" w:cs="Times New Roman"/>
          <w:sz w:val="24"/>
          <w:szCs w:val="24"/>
        </w:rPr>
        <w:t>whereas its appreciation</w:t>
      </w:r>
      <w:r w:rsidR="005E584C" w:rsidRPr="00C62F80">
        <w:rPr>
          <w:rFonts w:ascii="Times New Roman" w:hAnsi="Times New Roman" w:cs="Times New Roman"/>
          <w:sz w:val="24"/>
          <w:szCs w:val="24"/>
        </w:rPr>
        <w:t xml:space="preserve"> </w:t>
      </w:r>
      <w:r w:rsidR="00D61503" w:rsidRPr="00C62F80">
        <w:rPr>
          <w:rFonts w:ascii="Times New Roman" w:hAnsi="Times New Roman" w:cs="Times New Roman"/>
          <w:sz w:val="24"/>
          <w:szCs w:val="24"/>
        </w:rPr>
        <w:t xml:space="preserve">could cause a fall in </w:t>
      </w:r>
      <w:r w:rsidR="005E584C" w:rsidRPr="00C62F80">
        <w:rPr>
          <w:rFonts w:ascii="Times New Roman" w:hAnsi="Times New Roman" w:cs="Times New Roman"/>
          <w:sz w:val="24"/>
          <w:szCs w:val="24"/>
        </w:rPr>
        <w:t>exports</w:t>
      </w:r>
      <w:r w:rsidR="00D61503" w:rsidRPr="00C62F80">
        <w:rPr>
          <w:rFonts w:ascii="Times New Roman" w:hAnsi="Times New Roman" w:cs="Times New Roman"/>
          <w:sz w:val="24"/>
          <w:szCs w:val="24"/>
        </w:rPr>
        <w:t>,</w:t>
      </w:r>
      <w:r w:rsidR="005E584C" w:rsidRPr="00C62F80">
        <w:rPr>
          <w:rFonts w:ascii="Times New Roman" w:hAnsi="Times New Roman" w:cs="Times New Roman"/>
          <w:sz w:val="24"/>
          <w:szCs w:val="24"/>
        </w:rPr>
        <w:t xml:space="preserve"> </w:t>
      </w:r>
      <w:r w:rsidR="00D61503" w:rsidRPr="00C62F80">
        <w:rPr>
          <w:rFonts w:ascii="Times New Roman" w:hAnsi="Times New Roman" w:cs="Times New Roman"/>
          <w:sz w:val="24"/>
          <w:szCs w:val="24"/>
        </w:rPr>
        <w:t xml:space="preserve">vis-à-vis </w:t>
      </w:r>
      <w:r w:rsidR="0021384F">
        <w:rPr>
          <w:rFonts w:ascii="Times New Roman" w:hAnsi="Times New Roman" w:cs="Times New Roman"/>
          <w:sz w:val="24"/>
          <w:szCs w:val="24"/>
        </w:rPr>
        <w:t>promot</w:t>
      </w:r>
      <w:r w:rsidR="00D61503" w:rsidRPr="00C62F80">
        <w:rPr>
          <w:rFonts w:ascii="Times New Roman" w:hAnsi="Times New Roman" w:cs="Times New Roman"/>
          <w:sz w:val="24"/>
          <w:szCs w:val="24"/>
        </w:rPr>
        <w:t xml:space="preserve">ing </w:t>
      </w:r>
      <w:r w:rsidR="005E584C" w:rsidRPr="00C62F80">
        <w:rPr>
          <w:rFonts w:ascii="Times New Roman" w:hAnsi="Times New Roman" w:cs="Times New Roman"/>
          <w:sz w:val="24"/>
          <w:szCs w:val="24"/>
        </w:rPr>
        <w:t>import</w:t>
      </w:r>
      <w:r w:rsidR="00D61503" w:rsidRPr="00C62F80">
        <w:rPr>
          <w:rFonts w:ascii="Times New Roman" w:hAnsi="Times New Roman" w:cs="Times New Roman"/>
          <w:sz w:val="24"/>
          <w:szCs w:val="24"/>
        </w:rPr>
        <w:t>ation</w:t>
      </w:r>
      <w:r w:rsidR="005E584C" w:rsidRPr="00C62F80">
        <w:rPr>
          <w:rFonts w:ascii="Times New Roman" w:hAnsi="Times New Roman" w:cs="Times New Roman"/>
          <w:sz w:val="24"/>
          <w:szCs w:val="24"/>
        </w:rPr>
        <w:t xml:space="preserve">. </w:t>
      </w:r>
      <w:r w:rsidR="00D61503" w:rsidRPr="00C62F80">
        <w:rPr>
          <w:rFonts w:ascii="Times New Roman" w:hAnsi="Times New Roman" w:cs="Times New Roman"/>
          <w:sz w:val="24"/>
          <w:szCs w:val="24"/>
        </w:rPr>
        <w:t>Hence, the depreciation in</w:t>
      </w:r>
      <w:r w:rsidR="005E584C" w:rsidRPr="00C62F80">
        <w:rPr>
          <w:rFonts w:ascii="Times New Roman" w:hAnsi="Times New Roman" w:cs="Times New Roman"/>
          <w:sz w:val="24"/>
          <w:szCs w:val="24"/>
        </w:rPr>
        <w:t xml:space="preserve"> exchange rate </w:t>
      </w:r>
      <w:r w:rsidR="00D61503" w:rsidRPr="00C62F80">
        <w:rPr>
          <w:rFonts w:ascii="Times New Roman" w:hAnsi="Times New Roman" w:cs="Times New Roman"/>
          <w:sz w:val="24"/>
          <w:szCs w:val="24"/>
        </w:rPr>
        <w:t xml:space="preserve">could lead to an amazing transfer of </w:t>
      </w:r>
      <w:r w:rsidR="005E584C" w:rsidRPr="00C62F80">
        <w:rPr>
          <w:rFonts w:ascii="Times New Roman" w:hAnsi="Times New Roman" w:cs="Times New Roman"/>
          <w:sz w:val="24"/>
          <w:szCs w:val="24"/>
        </w:rPr>
        <w:t>income from import</w:t>
      </w:r>
      <w:r w:rsidR="00D61503" w:rsidRPr="00C62F80">
        <w:rPr>
          <w:rFonts w:ascii="Times New Roman" w:hAnsi="Times New Roman" w:cs="Times New Roman"/>
          <w:sz w:val="24"/>
          <w:szCs w:val="24"/>
        </w:rPr>
        <w:t xml:space="preserve"> dependent countries</w:t>
      </w:r>
      <w:r w:rsidR="005E584C" w:rsidRPr="00C62F80">
        <w:rPr>
          <w:rFonts w:ascii="Times New Roman" w:hAnsi="Times New Roman" w:cs="Times New Roman"/>
          <w:sz w:val="24"/>
          <w:szCs w:val="24"/>
        </w:rPr>
        <w:t xml:space="preserve"> to </w:t>
      </w:r>
      <w:r w:rsidR="005E584C" w:rsidRPr="00C62F80">
        <w:rPr>
          <w:rFonts w:ascii="Times New Roman" w:hAnsi="Times New Roman" w:cs="Times New Roman"/>
          <w:sz w:val="24"/>
          <w:szCs w:val="24"/>
        </w:rPr>
        <w:lastRenderedPageBreak/>
        <w:t>export</w:t>
      </w:r>
      <w:r w:rsidR="00D61503" w:rsidRPr="00C62F80">
        <w:rPr>
          <w:rFonts w:ascii="Times New Roman" w:hAnsi="Times New Roman" w:cs="Times New Roman"/>
          <w:sz w:val="24"/>
          <w:szCs w:val="24"/>
        </w:rPr>
        <w:t>ing</w:t>
      </w:r>
      <w:r w:rsidR="005E584C" w:rsidRPr="00C62F80">
        <w:rPr>
          <w:rFonts w:ascii="Times New Roman" w:hAnsi="Times New Roman" w:cs="Times New Roman"/>
          <w:sz w:val="24"/>
          <w:szCs w:val="24"/>
        </w:rPr>
        <w:t xml:space="preserve"> countries </w:t>
      </w:r>
      <w:r w:rsidR="00D61503" w:rsidRPr="00C62F80">
        <w:rPr>
          <w:rFonts w:ascii="Times New Roman" w:hAnsi="Times New Roman" w:cs="Times New Roman"/>
          <w:sz w:val="24"/>
          <w:szCs w:val="24"/>
        </w:rPr>
        <w:t>via</w:t>
      </w:r>
      <w:r w:rsidR="005E584C" w:rsidRPr="00C62F80">
        <w:rPr>
          <w:rFonts w:ascii="Times New Roman" w:hAnsi="Times New Roman" w:cs="Times New Roman"/>
          <w:sz w:val="24"/>
          <w:szCs w:val="24"/>
        </w:rPr>
        <w:t xml:space="preserve"> a </w:t>
      </w:r>
      <w:r w:rsidR="00D61503" w:rsidRPr="00C62F80">
        <w:rPr>
          <w:rFonts w:ascii="Times New Roman" w:hAnsi="Times New Roman" w:cs="Times New Roman"/>
          <w:sz w:val="24"/>
          <w:szCs w:val="24"/>
        </w:rPr>
        <w:t>swing</w:t>
      </w:r>
      <w:r w:rsidR="005E584C" w:rsidRPr="00C62F80">
        <w:rPr>
          <w:rFonts w:ascii="Times New Roman" w:hAnsi="Times New Roman" w:cs="Times New Roman"/>
          <w:sz w:val="24"/>
          <w:szCs w:val="24"/>
        </w:rPr>
        <w:t xml:space="preserve"> in the terms of trade</w:t>
      </w:r>
      <w:r w:rsidR="006A32E7" w:rsidRPr="00C62F80">
        <w:rPr>
          <w:rFonts w:ascii="Times New Roman" w:hAnsi="Times New Roman" w:cs="Times New Roman"/>
          <w:sz w:val="24"/>
          <w:szCs w:val="24"/>
        </w:rPr>
        <w:t xml:space="preserve"> (Aliyu, 2009)</w:t>
      </w:r>
      <w:r w:rsidR="005E584C" w:rsidRPr="00C62F80">
        <w:rPr>
          <w:rFonts w:ascii="Times New Roman" w:hAnsi="Times New Roman" w:cs="Times New Roman"/>
          <w:sz w:val="24"/>
          <w:szCs w:val="24"/>
        </w:rPr>
        <w:t xml:space="preserve">, </w:t>
      </w:r>
      <w:r w:rsidR="00D61503" w:rsidRPr="00C62F80">
        <w:rPr>
          <w:rFonts w:ascii="Times New Roman" w:hAnsi="Times New Roman" w:cs="Times New Roman"/>
          <w:sz w:val="24"/>
          <w:szCs w:val="24"/>
        </w:rPr>
        <w:t>affecting the</w:t>
      </w:r>
      <w:r w:rsidR="005E584C" w:rsidRPr="00C62F80">
        <w:rPr>
          <w:rFonts w:ascii="Times New Roman" w:hAnsi="Times New Roman" w:cs="Times New Roman"/>
          <w:sz w:val="24"/>
          <w:szCs w:val="24"/>
        </w:rPr>
        <w:t xml:space="preserve"> economic </w:t>
      </w:r>
      <w:r w:rsidR="00D61503" w:rsidRPr="00C62F80">
        <w:rPr>
          <w:rFonts w:ascii="Times New Roman" w:hAnsi="Times New Roman" w:cs="Times New Roman"/>
          <w:sz w:val="24"/>
          <w:szCs w:val="24"/>
        </w:rPr>
        <w:t>performance</w:t>
      </w:r>
      <w:r w:rsidR="005E584C" w:rsidRPr="00C62F80">
        <w:rPr>
          <w:rFonts w:ascii="Times New Roman" w:hAnsi="Times New Roman" w:cs="Times New Roman"/>
          <w:sz w:val="24"/>
          <w:szCs w:val="24"/>
        </w:rPr>
        <w:t xml:space="preserve"> of both </w:t>
      </w:r>
      <w:r w:rsidR="00D61503" w:rsidRPr="00C62F80">
        <w:rPr>
          <w:rFonts w:ascii="Times New Roman" w:hAnsi="Times New Roman" w:cs="Times New Roman"/>
          <w:sz w:val="24"/>
          <w:szCs w:val="24"/>
        </w:rPr>
        <w:t>countries</w:t>
      </w:r>
      <w:r w:rsidR="005E584C" w:rsidRPr="00C62F80">
        <w:rPr>
          <w:rFonts w:ascii="Times New Roman" w:hAnsi="Times New Roman" w:cs="Times New Roman"/>
          <w:sz w:val="24"/>
          <w:szCs w:val="24"/>
        </w:rPr>
        <w:t xml:space="preserve">. </w:t>
      </w:r>
      <w:r w:rsidR="00D61503" w:rsidRPr="00C62F80">
        <w:rPr>
          <w:rFonts w:ascii="Times New Roman" w:hAnsi="Times New Roman" w:cs="Times New Roman"/>
          <w:sz w:val="24"/>
          <w:szCs w:val="24"/>
        </w:rPr>
        <w:t>Be that as it may, the understanding that oil price hi</w:t>
      </w:r>
      <w:r w:rsidR="00D11E9F" w:rsidRPr="00C62F80">
        <w:rPr>
          <w:rFonts w:ascii="Times New Roman" w:hAnsi="Times New Roman" w:cs="Times New Roman"/>
          <w:sz w:val="24"/>
          <w:szCs w:val="24"/>
        </w:rPr>
        <w:t xml:space="preserve">ke according to Aliyu (2009) and Hamilton (1983) have enormous negative influence on the performance of an economy is largely based on the relationship between the timing of oil price hike and economic downturn. While </w:t>
      </w:r>
      <w:r w:rsidR="00EE652A">
        <w:rPr>
          <w:rFonts w:ascii="Times New Roman" w:hAnsi="Times New Roman" w:cs="Times New Roman"/>
          <w:sz w:val="24"/>
          <w:szCs w:val="24"/>
        </w:rPr>
        <w:t xml:space="preserve">recognizing </w:t>
      </w:r>
      <w:r w:rsidR="00D11E9F" w:rsidRPr="00C62F80">
        <w:rPr>
          <w:rFonts w:ascii="Times New Roman" w:hAnsi="Times New Roman" w:cs="Times New Roman"/>
          <w:sz w:val="24"/>
          <w:szCs w:val="24"/>
        </w:rPr>
        <w:t xml:space="preserve">that </w:t>
      </w:r>
      <w:r w:rsidR="00D11E9F" w:rsidRPr="00C62F80">
        <w:rPr>
          <w:rFonts w:ascii="Times New Roman" w:hAnsi="Times New Roman" w:cs="Times New Roman"/>
          <w:iCs/>
          <w:sz w:val="24"/>
          <w:szCs w:val="24"/>
        </w:rPr>
        <w:t>oil price shock</w:t>
      </w:r>
      <w:r w:rsidR="00EE652A">
        <w:rPr>
          <w:rFonts w:ascii="Times New Roman" w:hAnsi="Times New Roman" w:cs="Times New Roman"/>
          <w:iCs/>
          <w:sz w:val="24"/>
          <w:szCs w:val="24"/>
        </w:rPr>
        <w:t xml:space="preserve"> </w:t>
      </w:r>
      <w:r w:rsidR="00EE652A" w:rsidRPr="00C62F80">
        <w:rPr>
          <w:rFonts w:ascii="Times New Roman" w:hAnsi="Times New Roman" w:cs="Times New Roman"/>
          <w:iCs/>
          <w:sz w:val="24"/>
          <w:szCs w:val="24"/>
        </w:rPr>
        <w:t>in the level of exchange rate</w:t>
      </w:r>
      <w:r w:rsidR="00D11E9F" w:rsidRPr="00C62F80">
        <w:rPr>
          <w:rFonts w:ascii="Times New Roman" w:hAnsi="Times New Roman" w:cs="Times New Roman"/>
          <w:iCs/>
          <w:sz w:val="24"/>
          <w:szCs w:val="24"/>
        </w:rPr>
        <w:t xml:space="preserve"> and appreciation exert positive impact on economic growth in Nigeria, </w:t>
      </w:r>
      <w:r w:rsidR="006A32E7" w:rsidRPr="00C62F80">
        <w:rPr>
          <w:rFonts w:ascii="Times New Roman" w:hAnsi="Times New Roman" w:cs="Times New Roman"/>
          <w:sz w:val="24"/>
          <w:szCs w:val="24"/>
        </w:rPr>
        <w:t xml:space="preserve">McKillop (2004) </w:t>
      </w:r>
      <w:r w:rsidR="00EE652A">
        <w:rPr>
          <w:rFonts w:ascii="Times New Roman" w:hAnsi="Times New Roman" w:cs="Times New Roman"/>
          <w:sz w:val="24"/>
          <w:szCs w:val="24"/>
        </w:rPr>
        <w:t xml:space="preserve">findings was contrary to their view. From his study, he argued </w:t>
      </w:r>
      <w:r w:rsidR="006A32E7" w:rsidRPr="00C62F80">
        <w:rPr>
          <w:rFonts w:ascii="Times New Roman" w:hAnsi="Times New Roman" w:cs="Times New Roman"/>
          <w:sz w:val="24"/>
          <w:szCs w:val="24"/>
        </w:rPr>
        <w:t xml:space="preserve">that higher oil prices reduce economic growth, generate stock exchange panics and produce inflation, </w:t>
      </w:r>
      <w:r w:rsidR="00EE652A">
        <w:rPr>
          <w:rFonts w:ascii="Times New Roman" w:hAnsi="Times New Roman" w:cs="Times New Roman"/>
          <w:sz w:val="24"/>
          <w:szCs w:val="24"/>
        </w:rPr>
        <w:t xml:space="preserve">believing that higher oil price could </w:t>
      </w:r>
      <w:r w:rsidR="006A32E7" w:rsidRPr="00C62F80">
        <w:rPr>
          <w:rFonts w:ascii="Times New Roman" w:hAnsi="Times New Roman" w:cs="Times New Roman"/>
          <w:sz w:val="24"/>
          <w:szCs w:val="24"/>
        </w:rPr>
        <w:t>lead to monetary and financial instability. In like manner, Jin (2008) added that</w:t>
      </w:r>
      <w:r w:rsidR="00EE652A">
        <w:rPr>
          <w:rFonts w:ascii="Times New Roman" w:hAnsi="Times New Roman" w:cs="Times New Roman"/>
          <w:sz w:val="24"/>
          <w:szCs w:val="24"/>
        </w:rPr>
        <w:t xml:space="preserve"> the </w:t>
      </w:r>
      <w:r w:rsidR="006A32E7" w:rsidRPr="00C62F80">
        <w:rPr>
          <w:rFonts w:ascii="Times New Roman" w:hAnsi="Times New Roman" w:cs="Times New Roman"/>
          <w:sz w:val="24"/>
          <w:szCs w:val="24"/>
        </w:rPr>
        <w:t xml:space="preserve">increase in the international oil prices and violent fluctuation of the exchange rate </w:t>
      </w:r>
      <w:r w:rsidR="00EE652A">
        <w:rPr>
          <w:rFonts w:ascii="Times New Roman" w:hAnsi="Times New Roman" w:cs="Times New Roman"/>
          <w:sz w:val="24"/>
          <w:szCs w:val="24"/>
        </w:rPr>
        <w:t>may be</w:t>
      </w:r>
      <w:r w:rsidR="006A32E7" w:rsidRPr="00C62F80">
        <w:rPr>
          <w:rFonts w:ascii="Times New Roman" w:hAnsi="Times New Roman" w:cs="Times New Roman"/>
          <w:sz w:val="24"/>
          <w:szCs w:val="24"/>
        </w:rPr>
        <w:t xml:space="preserve"> regarded as disincentive to economic performance. Contrary to these opinion, </w:t>
      </w:r>
      <w:r w:rsidR="00D11E9F" w:rsidRPr="00C62F80">
        <w:rPr>
          <w:rFonts w:ascii="Times New Roman" w:hAnsi="Times New Roman" w:cs="Times New Roman"/>
          <w:sz w:val="24"/>
          <w:szCs w:val="24"/>
        </w:rPr>
        <w:t>Greenspan (2004)</w:t>
      </w:r>
      <w:r w:rsidR="006A32E7" w:rsidRPr="00C62F80">
        <w:rPr>
          <w:rFonts w:ascii="Times New Roman" w:hAnsi="Times New Roman" w:cs="Times New Roman"/>
          <w:sz w:val="24"/>
          <w:szCs w:val="24"/>
        </w:rPr>
        <w:t xml:space="preserve"> shows that oil prices alone in modern market-based economies is difficult to infer in a way in which policy is automatically obvious factor for economic performance. </w:t>
      </w:r>
    </w:p>
    <w:p w:rsidR="005E584C" w:rsidRPr="00E10888" w:rsidRDefault="005E584C" w:rsidP="005E584C">
      <w:pPr>
        <w:autoSpaceDE w:val="0"/>
        <w:autoSpaceDN w:val="0"/>
        <w:adjustRightInd w:val="0"/>
        <w:spacing w:after="0" w:line="240" w:lineRule="auto"/>
        <w:jc w:val="both"/>
        <w:rPr>
          <w:rFonts w:ascii="Times New Roman" w:hAnsi="Times New Roman" w:cs="Times New Roman"/>
          <w:color w:val="FF0000"/>
          <w:sz w:val="24"/>
          <w:szCs w:val="24"/>
        </w:rPr>
      </w:pPr>
    </w:p>
    <w:p w:rsidR="00AA1AC7" w:rsidRPr="00437CA2" w:rsidRDefault="00DF6A86" w:rsidP="00901E32">
      <w:pPr>
        <w:spacing w:after="0" w:line="240" w:lineRule="auto"/>
        <w:jc w:val="both"/>
        <w:rPr>
          <w:rFonts w:ascii="Times New Roman" w:hAnsi="Times New Roman" w:cs="Times New Roman"/>
          <w:sz w:val="24"/>
          <w:szCs w:val="24"/>
        </w:rPr>
      </w:pPr>
      <w:r w:rsidRPr="00437CA2">
        <w:rPr>
          <w:rFonts w:ascii="Times New Roman" w:hAnsi="Times New Roman" w:cs="Times New Roman"/>
          <w:sz w:val="24"/>
          <w:szCs w:val="24"/>
        </w:rPr>
        <w:t>In the past, the international o</w:t>
      </w:r>
      <w:r w:rsidR="00E4733B" w:rsidRPr="00437CA2">
        <w:rPr>
          <w:rFonts w:ascii="Times New Roman" w:hAnsi="Times New Roman" w:cs="Times New Roman"/>
          <w:sz w:val="24"/>
          <w:szCs w:val="24"/>
        </w:rPr>
        <w:t xml:space="preserve">il </w:t>
      </w:r>
      <w:r w:rsidRPr="00437CA2">
        <w:rPr>
          <w:rFonts w:ascii="Times New Roman" w:hAnsi="Times New Roman" w:cs="Times New Roman"/>
          <w:sz w:val="24"/>
          <w:szCs w:val="24"/>
        </w:rPr>
        <w:t xml:space="preserve">prices have risen significantly resulting to a boom in many oil reach nations </w:t>
      </w:r>
      <w:r w:rsidR="00901E32" w:rsidRPr="00437CA2">
        <w:rPr>
          <w:rFonts w:ascii="Times New Roman" w:hAnsi="Times New Roman" w:cs="Times New Roman"/>
          <w:sz w:val="24"/>
          <w:szCs w:val="24"/>
        </w:rPr>
        <w:t xml:space="preserve">particularly Nigeria </w:t>
      </w:r>
      <w:r w:rsidRPr="00437CA2">
        <w:rPr>
          <w:rFonts w:ascii="Times New Roman" w:hAnsi="Times New Roman" w:cs="Times New Roman"/>
          <w:sz w:val="24"/>
          <w:szCs w:val="24"/>
        </w:rPr>
        <w:t xml:space="preserve">while the present crash in oil price has </w:t>
      </w:r>
      <w:r w:rsidR="003C512E" w:rsidRPr="00437CA2">
        <w:rPr>
          <w:rFonts w:ascii="Times New Roman" w:hAnsi="Times New Roman" w:cs="Times New Roman"/>
          <w:sz w:val="24"/>
          <w:szCs w:val="24"/>
        </w:rPr>
        <w:t xml:space="preserve">been </w:t>
      </w:r>
      <w:r w:rsidR="001C6101" w:rsidRPr="00437CA2">
        <w:rPr>
          <w:rFonts w:ascii="Times New Roman" w:hAnsi="Times New Roman" w:cs="Times New Roman"/>
          <w:sz w:val="24"/>
          <w:szCs w:val="24"/>
        </w:rPr>
        <w:t xml:space="preserve">argued to have pushed </w:t>
      </w:r>
      <w:r w:rsidR="00901E32" w:rsidRPr="00437CA2">
        <w:rPr>
          <w:rFonts w:ascii="Times New Roman" w:hAnsi="Times New Roman" w:cs="Times New Roman"/>
          <w:sz w:val="24"/>
          <w:szCs w:val="24"/>
        </w:rPr>
        <w:t>the country’s</w:t>
      </w:r>
      <w:r w:rsidRPr="00437CA2">
        <w:rPr>
          <w:rFonts w:ascii="Times New Roman" w:hAnsi="Times New Roman" w:cs="Times New Roman"/>
          <w:sz w:val="24"/>
          <w:szCs w:val="24"/>
        </w:rPr>
        <w:t xml:space="preserve"> econom</w:t>
      </w:r>
      <w:r w:rsidR="00901E32" w:rsidRPr="00437CA2">
        <w:rPr>
          <w:rFonts w:ascii="Times New Roman" w:hAnsi="Times New Roman" w:cs="Times New Roman"/>
          <w:sz w:val="24"/>
          <w:szCs w:val="24"/>
        </w:rPr>
        <w:t>y</w:t>
      </w:r>
      <w:r w:rsidR="001C6101" w:rsidRPr="00437CA2">
        <w:rPr>
          <w:rFonts w:ascii="Times New Roman" w:hAnsi="Times New Roman" w:cs="Times New Roman"/>
          <w:sz w:val="24"/>
          <w:szCs w:val="24"/>
        </w:rPr>
        <w:t xml:space="preserve"> into stagnation that metamorphose </w:t>
      </w:r>
      <w:r w:rsidR="003C512E" w:rsidRPr="00437CA2">
        <w:rPr>
          <w:rFonts w:ascii="Times New Roman" w:hAnsi="Times New Roman" w:cs="Times New Roman"/>
          <w:sz w:val="24"/>
          <w:szCs w:val="24"/>
        </w:rPr>
        <w:t>in</w:t>
      </w:r>
      <w:r w:rsidR="001C6101" w:rsidRPr="00437CA2">
        <w:rPr>
          <w:rFonts w:ascii="Times New Roman" w:hAnsi="Times New Roman" w:cs="Times New Roman"/>
          <w:sz w:val="24"/>
          <w:szCs w:val="24"/>
        </w:rPr>
        <w:t xml:space="preserve">to recession. </w:t>
      </w:r>
      <w:r w:rsidR="00E4733B" w:rsidRPr="00437CA2">
        <w:rPr>
          <w:rFonts w:ascii="Times New Roman" w:hAnsi="Times New Roman" w:cs="Times New Roman"/>
          <w:sz w:val="24"/>
          <w:szCs w:val="24"/>
        </w:rPr>
        <w:t xml:space="preserve">An increase </w:t>
      </w:r>
      <w:r w:rsidR="00F64591" w:rsidRPr="00437CA2">
        <w:rPr>
          <w:rFonts w:ascii="Times New Roman" w:hAnsi="Times New Roman" w:cs="Times New Roman"/>
          <w:sz w:val="24"/>
          <w:szCs w:val="24"/>
        </w:rPr>
        <w:t xml:space="preserve">or decrease </w:t>
      </w:r>
      <w:r w:rsidR="00E4733B" w:rsidRPr="00437CA2">
        <w:rPr>
          <w:rFonts w:ascii="Times New Roman" w:hAnsi="Times New Roman" w:cs="Times New Roman"/>
          <w:sz w:val="24"/>
          <w:szCs w:val="24"/>
        </w:rPr>
        <w:t>in petroleum price</w:t>
      </w:r>
      <w:r w:rsidR="00BB5BC1" w:rsidRPr="00437CA2">
        <w:rPr>
          <w:rFonts w:ascii="Times New Roman" w:hAnsi="Times New Roman" w:cs="Times New Roman"/>
          <w:sz w:val="24"/>
          <w:szCs w:val="24"/>
        </w:rPr>
        <w:t xml:space="preserve">s tends to have a </w:t>
      </w:r>
      <w:r w:rsidR="00D0201B" w:rsidRPr="00437CA2">
        <w:rPr>
          <w:rFonts w:ascii="Times New Roman" w:hAnsi="Times New Roman" w:cs="Times New Roman"/>
          <w:sz w:val="24"/>
          <w:szCs w:val="24"/>
        </w:rPr>
        <w:t>contradictory</w:t>
      </w:r>
      <w:r w:rsidR="00E4733B" w:rsidRPr="00437CA2">
        <w:rPr>
          <w:rFonts w:ascii="Times New Roman" w:hAnsi="Times New Roman" w:cs="Times New Roman"/>
          <w:sz w:val="24"/>
          <w:szCs w:val="24"/>
        </w:rPr>
        <w:t xml:space="preserve"> </w:t>
      </w:r>
      <w:r w:rsidR="00F64591" w:rsidRPr="00437CA2">
        <w:rPr>
          <w:rFonts w:ascii="Times New Roman" w:hAnsi="Times New Roman" w:cs="Times New Roman"/>
          <w:sz w:val="24"/>
          <w:szCs w:val="24"/>
        </w:rPr>
        <w:t xml:space="preserve">or expansionary </w:t>
      </w:r>
      <w:r w:rsidR="00E4733B" w:rsidRPr="00437CA2">
        <w:rPr>
          <w:rFonts w:ascii="Times New Roman" w:hAnsi="Times New Roman" w:cs="Times New Roman"/>
          <w:sz w:val="24"/>
          <w:szCs w:val="24"/>
        </w:rPr>
        <w:t xml:space="preserve">impact on world demand and growth in the short term. </w:t>
      </w:r>
      <w:r w:rsidR="00901E32" w:rsidRPr="00437CA2">
        <w:rPr>
          <w:rFonts w:ascii="Times New Roman" w:eastAsia="Times New Roman" w:hAnsi="Times New Roman" w:cs="Times New Roman"/>
          <w:sz w:val="24"/>
          <w:szCs w:val="24"/>
        </w:rPr>
        <w:t xml:space="preserve">Therefore, as the price of oil goes up, Naira tends to appreciate against other major currencies in sub-Sahara Africa and the world at large. This is due to the fact that Nigeria is a net oil exporter; when oil prices are high, Nigeria tends to reap greater revenues from its oil exports, </w:t>
      </w:r>
      <w:r w:rsidR="00437CA2" w:rsidRPr="00437CA2">
        <w:rPr>
          <w:rFonts w:ascii="Times New Roman" w:eastAsia="Times New Roman" w:hAnsi="Times New Roman" w:cs="Times New Roman"/>
          <w:sz w:val="24"/>
          <w:szCs w:val="24"/>
        </w:rPr>
        <w:t xml:space="preserve">strengthening the domestic currency (e.g. </w:t>
      </w:r>
      <w:r w:rsidR="00901E32" w:rsidRPr="00437CA2">
        <w:rPr>
          <w:rFonts w:ascii="Times New Roman" w:eastAsia="Times New Roman" w:hAnsi="Times New Roman" w:cs="Times New Roman"/>
          <w:sz w:val="24"/>
          <w:szCs w:val="24"/>
        </w:rPr>
        <w:t>Naira</w:t>
      </w:r>
      <w:r w:rsidR="00437CA2" w:rsidRPr="00437CA2">
        <w:rPr>
          <w:rFonts w:ascii="Times New Roman" w:eastAsia="Times New Roman" w:hAnsi="Times New Roman" w:cs="Times New Roman"/>
          <w:sz w:val="24"/>
          <w:szCs w:val="24"/>
        </w:rPr>
        <w:t>)</w:t>
      </w:r>
      <w:r w:rsidR="00901E32" w:rsidRPr="00437CA2">
        <w:rPr>
          <w:rFonts w:ascii="Times New Roman" w:eastAsia="Times New Roman" w:hAnsi="Times New Roman" w:cs="Times New Roman"/>
          <w:sz w:val="24"/>
          <w:szCs w:val="24"/>
        </w:rPr>
        <w:t xml:space="preserve"> </w:t>
      </w:r>
      <w:r w:rsidR="00437CA2" w:rsidRPr="00437CA2">
        <w:rPr>
          <w:rFonts w:ascii="Times New Roman" w:eastAsia="Times New Roman" w:hAnsi="Times New Roman" w:cs="Times New Roman"/>
          <w:sz w:val="24"/>
          <w:szCs w:val="24"/>
        </w:rPr>
        <w:t>i</w:t>
      </w:r>
      <w:r w:rsidR="00901E32" w:rsidRPr="00437CA2">
        <w:rPr>
          <w:rFonts w:ascii="Times New Roman" w:eastAsia="Times New Roman" w:hAnsi="Times New Roman" w:cs="Times New Roman"/>
          <w:sz w:val="24"/>
          <w:szCs w:val="24"/>
        </w:rPr>
        <w:t xml:space="preserve">n the foreign exchange market. </w:t>
      </w:r>
      <w:r w:rsidR="00C73C7C" w:rsidRPr="00437CA2">
        <w:rPr>
          <w:rFonts w:ascii="Times New Roman" w:eastAsia="Times New Roman" w:hAnsi="Times New Roman" w:cs="Times New Roman"/>
          <w:sz w:val="24"/>
          <w:szCs w:val="24"/>
        </w:rPr>
        <w:t xml:space="preserve">In addition, </w:t>
      </w:r>
      <w:r w:rsidR="00C73C7C" w:rsidRPr="00437CA2">
        <w:rPr>
          <w:rFonts w:ascii="Times New Roman" w:hAnsi="Times New Roman" w:cs="Times New Roman"/>
          <w:sz w:val="24"/>
          <w:szCs w:val="24"/>
        </w:rPr>
        <w:t>evidence from post-Breton woods era pointed the significant role of oil price fluctuations in the determination of the path of the exchange rate. Following Krugman (1983)</w:t>
      </w:r>
      <w:r w:rsidR="0028249E" w:rsidRPr="00437CA2">
        <w:rPr>
          <w:rFonts w:ascii="Times New Roman" w:hAnsi="Times New Roman" w:cs="Times New Roman"/>
          <w:sz w:val="24"/>
          <w:szCs w:val="24"/>
        </w:rPr>
        <w:t xml:space="preserve"> findings</w:t>
      </w:r>
      <w:r w:rsidR="00C73C7C" w:rsidRPr="00437CA2">
        <w:rPr>
          <w:rFonts w:ascii="Times New Roman" w:hAnsi="Times New Roman" w:cs="Times New Roman"/>
          <w:sz w:val="24"/>
          <w:szCs w:val="24"/>
        </w:rPr>
        <w:t xml:space="preserve">, </w:t>
      </w:r>
      <w:r w:rsidR="0028249E" w:rsidRPr="00437CA2">
        <w:rPr>
          <w:rFonts w:ascii="Times New Roman" w:hAnsi="Times New Roman" w:cs="Times New Roman"/>
          <w:sz w:val="24"/>
          <w:szCs w:val="24"/>
        </w:rPr>
        <w:t xml:space="preserve">the </w:t>
      </w:r>
      <w:r w:rsidR="00680F8C" w:rsidRPr="00437CA2">
        <w:rPr>
          <w:rFonts w:ascii="Times New Roman" w:hAnsi="Times New Roman" w:cs="Times New Roman"/>
          <w:sz w:val="24"/>
          <w:szCs w:val="24"/>
        </w:rPr>
        <w:t xml:space="preserve">appreciation or depreciation of </w:t>
      </w:r>
      <w:r w:rsidR="00C73C7C" w:rsidRPr="00437CA2">
        <w:rPr>
          <w:rFonts w:ascii="Times New Roman" w:hAnsi="Times New Roman" w:cs="Times New Roman"/>
          <w:sz w:val="24"/>
          <w:szCs w:val="24"/>
        </w:rPr>
        <w:t>exchange rate respon</w:t>
      </w:r>
      <w:r w:rsidR="0028249E" w:rsidRPr="00437CA2">
        <w:rPr>
          <w:rFonts w:ascii="Times New Roman" w:hAnsi="Times New Roman" w:cs="Times New Roman"/>
          <w:sz w:val="24"/>
          <w:szCs w:val="24"/>
        </w:rPr>
        <w:t>d</w:t>
      </w:r>
      <w:r w:rsidR="00C73C7C" w:rsidRPr="00437CA2">
        <w:rPr>
          <w:rFonts w:ascii="Times New Roman" w:hAnsi="Times New Roman" w:cs="Times New Roman"/>
          <w:sz w:val="24"/>
          <w:szCs w:val="24"/>
        </w:rPr>
        <w:t xml:space="preserve"> to rising or fall in oil prices of exporting countries, while the </w:t>
      </w:r>
      <w:r w:rsidR="0028249E" w:rsidRPr="00437CA2">
        <w:rPr>
          <w:rFonts w:ascii="Times New Roman" w:hAnsi="Times New Roman" w:cs="Times New Roman"/>
          <w:sz w:val="24"/>
          <w:szCs w:val="24"/>
        </w:rPr>
        <w:t>reverse becomes</w:t>
      </w:r>
      <w:r w:rsidR="00C73C7C" w:rsidRPr="00437CA2">
        <w:rPr>
          <w:rFonts w:ascii="Times New Roman" w:hAnsi="Times New Roman" w:cs="Times New Roman"/>
          <w:sz w:val="24"/>
          <w:szCs w:val="24"/>
        </w:rPr>
        <w:t xml:space="preserve"> the case in oil importing countries. Accordingly, Englama </w:t>
      </w:r>
      <w:r w:rsidR="00C73C7C" w:rsidRPr="00437CA2">
        <w:rPr>
          <w:rFonts w:ascii="Times New Roman" w:hAnsi="Times New Roman" w:cs="Times New Roman"/>
          <w:iCs/>
          <w:sz w:val="24"/>
          <w:szCs w:val="24"/>
        </w:rPr>
        <w:t>et al</w:t>
      </w:r>
      <w:r w:rsidR="00C73C7C" w:rsidRPr="00437CA2">
        <w:rPr>
          <w:rFonts w:ascii="Times New Roman" w:hAnsi="Times New Roman" w:cs="Times New Roman"/>
          <w:i/>
          <w:iCs/>
          <w:sz w:val="24"/>
          <w:szCs w:val="24"/>
        </w:rPr>
        <w:t xml:space="preserve"> </w:t>
      </w:r>
      <w:r w:rsidR="00C73C7C" w:rsidRPr="00437CA2">
        <w:rPr>
          <w:rFonts w:ascii="Times New Roman" w:hAnsi="Times New Roman" w:cs="Times New Roman"/>
          <w:sz w:val="24"/>
          <w:szCs w:val="24"/>
        </w:rPr>
        <w:t xml:space="preserve">(2010) maintained that a dynamic exchange rate </w:t>
      </w:r>
      <w:r w:rsidR="0028249E" w:rsidRPr="00437CA2">
        <w:rPr>
          <w:rFonts w:ascii="Times New Roman" w:hAnsi="Times New Roman" w:cs="Times New Roman"/>
          <w:sz w:val="24"/>
          <w:szCs w:val="24"/>
        </w:rPr>
        <w:t xml:space="preserve">exhibits many challenges in international trade, thus making investments more difficult due to </w:t>
      </w:r>
      <w:r w:rsidR="00C73C7C" w:rsidRPr="00437CA2">
        <w:rPr>
          <w:rFonts w:ascii="Times New Roman" w:hAnsi="Times New Roman" w:cs="Times New Roman"/>
          <w:sz w:val="24"/>
          <w:szCs w:val="24"/>
        </w:rPr>
        <w:t xml:space="preserve">the </w:t>
      </w:r>
      <w:r w:rsidR="00680F8C" w:rsidRPr="00437CA2">
        <w:rPr>
          <w:rFonts w:ascii="Times New Roman" w:hAnsi="Times New Roman" w:cs="Times New Roman"/>
          <w:sz w:val="24"/>
          <w:szCs w:val="24"/>
        </w:rPr>
        <w:t xml:space="preserve">danger that may emanate from </w:t>
      </w:r>
      <w:r w:rsidR="00C73C7C" w:rsidRPr="00437CA2">
        <w:rPr>
          <w:rFonts w:ascii="Times New Roman" w:hAnsi="Times New Roman" w:cs="Times New Roman"/>
          <w:sz w:val="24"/>
          <w:szCs w:val="24"/>
        </w:rPr>
        <w:t>exchange rate</w:t>
      </w:r>
      <w:r w:rsidR="0028249E" w:rsidRPr="00437CA2">
        <w:rPr>
          <w:rFonts w:ascii="Times New Roman" w:hAnsi="Times New Roman" w:cs="Times New Roman"/>
          <w:sz w:val="24"/>
          <w:szCs w:val="24"/>
        </w:rPr>
        <w:t xml:space="preserve"> increases</w:t>
      </w:r>
      <w:r w:rsidR="00C73C7C" w:rsidRPr="00437CA2">
        <w:rPr>
          <w:rFonts w:ascii="Times New Roman" w:hAnsi="Times New Roman" w:cs="Times New Roman"/>
          <w:sz w:val="24"/>
          <w:szCs w:val="24"/>
        </w:rPr>
        <w:t xml:space="preserve">. </w:t>
      </w:r>
      <w:r w:rsidR="00AA1AC7" w:rsidRPr="00437CA2">
        <w:rPr>
          <w:rFonts w:ascii="Times New Roman" w:hAnsi="Times New Roman" w:cs="Times New Roman"/>
          <w:sz w:val="24"/>
          <w:szCs w:val="24"/>
        </w:rPr>
        <w:t xml:space="preserve">However, </w:t>
      </w:r>
      <w:r w:rsidR="0028249E" w:rsidRPr="00437CA2">
        <w:rPr>
          <w:rFonts w:ascii="Times New Roman" w:hAnsi="Times New Roman" w:cs="Times New Roman"/>
          <w:sz w:val="24"/>
          <w:szCs w:val="24"/>
        </w:rPr>
        <w:t>this interaction has the tendency of increasing</w:t>
      </w:r>
      <w:r w:rsidR="00C73C7C" w:rsidRPr="00437CA2">
        <w:rPr>
          <w:rFonts w:ascii="Times New Roman" w:hAnsi="Times New Roman" w:cs="Times New Roman"/>
          <w:sz w:val="24"/>
          <w:szCs w:val="24"/>
        </w:rPr>
        <w:t xml:space="preserve"> the </w:t>
      </w:r>
      <w:r w:rsidR="0028249E" w:rsidRPr="00437CA2">
        <w:rPr>
          <w:rFonts w:ascii="Times New Roman" w:hAnsi="Times New Roman" w:cs="Times New Roman"/>
          <w:sz w:val="24"/>
          <w:szCs w:val="24"/>
        </w:rPr>
        <w:t xml:space="preserve">business </w:t>
      </w:r>
      <w:r w:rsidR="00C73C7C" w:rsidRPr="00437CA2">
        <w:rPr>
          <w:rFonts w:ascii="Times New Roman" w:hAnsi="Times New Roman" w:cs="Times New Roman"/>
          <w:sz w:val="24"/>
          <w:szCs w:val="24"/>
        </w:rPr>
        <w:t>risk and the uncer</w:t>
      </w:r>
      <w:r w:rsidR="0028249E" w:rsidRPr="00437CA2">
        <w:rPr>
          <w:rFonts w:ascii="Times New Roman" w:hAnsi="Times New Roman" w:cs="Times New Roman"/>
          <w:sz w:val="24"/>
          <w:szCs w:val="24"/>
        </w:rPr>
        <w:t>tainty of external transactions, which in most cases</w:t>
      </w:r>
      <w:r w:rsidR="00C73C7C" w:rsidRPr="00437CA2">
        <w:rPr>
          <w:rFonts w:ascii="Times New Roman" w:hAnsi="Times New Roman" w:cs="Times New Roman"/>
          <w:sz w:val="24"/>
          <w:szCs w:val="24"/>
        </w:rPr>
        <w:t xml:space="preserve"> disposes a country to </w:t>
      </w:r>
      <w:r w:rsidR="00AA1AC7" w:rsidRPr="00437CA2">
        <w:rPr>
          <w:rFonts w:ascii="Times New Roman" w:hAnsi="Times New Roman" w:cs="Times New Roman"/>
          <w:sz w:val="24"/>
          <w:szCs w:val="24"/>
        </w:rPr>
        <w:t xml:space="preserve">a </w:t>
      </w:r>
      <w:r w:rsidR="00C73C7C" w:rsidRPr="00437CA2">
        <w:rPr>
          <w:rFonts w:ascii="Times New Roman" w:hAnsi="Times New Roman" w:cs="Times New Roman"/>
          <w:sz w:val="24"/>
          <w:szCs w:val="24"/>
        </w:rPr>
        <w:t xml:space="preserve">related </w:t>
      </w:r>
      <w:r w:rsidR="00FE78CA" w:rsidRPr="00437CA2">
        <w:rPr>
          <w:rFonts w:ascii="Times New Roman" w:hAnsi="Times New Roman" w:cs="Times New Roman"/>
          <w:sz w:val="24"/>
          <w:szCs w:val="24"/>
        </w:rPr>
        <w:t xml:space="preserve">shock from </w:t>
      </w:r>
      <w:r w:rsidR="00AA1AC7" w:rsidRPr="00437CA2">
        <w:rPr>
          <w:rFonts w:ascii="Times New Roman" w:hAnsi="Times New Roman" w:cs="Times New Roman"/>
          <w:sz w:val="24"/>
          <w:szCs w:val="24"/>
        </w:rPr>
        <w:t xml:space="preserve">exchange rate </w:t>
      </w:r>
      <w:r w:rsidR="00FE78CA" w:rsidRPr="00437CA2">
        <w:rPr>
          <w:rFonts w:ascii="Times New Roman" w:hAnsi="Times New Roman" w:cs="Times New Roman"/>
          <w:sz w:val="24"/>
          <w:szCs w:val="24"/>
        </w:rPr>
        <w:t>fluctuations</w:t>
      </w:r>
      <w:r w:rsidR="00C73C7C" w:rsidRPr="00437CA2">
        <w:rPr>
          <w:rFonts w:ascii="Times New Roman" w:hAnsi="Times New Roman" w:cs="Times New Roman"/>
          <w:sz w:val="24"/>
          <w:szCs w:val="24"/>
        </w:rPr>
        <w:t xml:space="preserve"> (Jin, 2008).</w:t>
      </w:r>
      <w:r w:rsidR="00AA1AC7" w:rsidRPr="00437CA2">
        <w:rPr>
          <w:rFonts w:ascii="Times New Roman" w:hAnsi="Times New Roman" w:cs="Times New Roman"/>
          <w:sz w:val="24"/>
          <w:szCs w:val="24"/>
        </w:rPr>
        <w:t xml:space="preserve"> </w:t>
      </w:r>
      <w:r w:rsidR="00901E32" w:rsidRPr="00437CA2">
        <w:rPr>
          <w:rFonts w:ascii="Times New Roman" w:eastAsia="Times New Roman" w:hAnsi="Times New Roman" w:cs="Times New Roman"/>
          <w:sz w:val="24"/>
          <w:szCs w:val="24"/>
        </w:rPr>
        <w:t>In addition, h</w:t>
      </w:r>
      <w:r w:rsidR="00E4733B" w:rsidRPr="00437CA2">
        <w:rPr>
          <w:rFonts w:ascii="Times New Roman" w:hAnsi="Times New Roman" w:cs="Times New Roman"/>
          <w:sz w:val="24"/>
          <w:szCs w:val="24"/>
        </w:rPr>
        <w:t>i</w:t>
      </w:r>
      <w:r w:rsidR="00F1363D" w:rsidRPr="00437CA2">
        <w:rPr>
          <w:rFonts w:ascii="Times New Roman" w:hAnsi="Times New Roman" w:cs="Times New Roman"/>
          <w:sz w:val="24"/>
          <w:szCs w:val="24"/>
        </w:rPr>
        <w:t>kes in</w:t>
      </w:r>
      <w:r w:rsidR="00E4733B" w:rsidRPr="00437CA2">
        <w:rPr>
          <w:rFonts w:ascii="Times New Roman" w:hAnsi="Times New Roman" w:cs="Times New Roman"/>
          <w:sz w:val="24"/>
          <w:szCs w:val="24"/>
        </w:rPr>
        <w:t xml:space="preserve"> crude oil prices </w:t>
      </w:r>
      <w:r w:rsidR="00FE78CA" w:rsidRPr="00437CA2">
        <w:rPr>
          <w:rFonts w:ascii="Times New Roman" w:hAnsi="Times New Roman" w:cs="Times New Roman"/>
          <w:sz w:val="24"/>
          <w:szCs w:val="24"/>
        </w:rPr>
        <w:t xml:space="preserve">could </w:t>
      </w:r>
      <w:r w:rsidR="00901E32" w:rsidRPr="00437CA2">
        <w:rPr>
          <w:rFonts w:ascii="Times New Roman" w:hAnsi="Times New Roman" w:cs="Times New Roman"/>
          <w:sz w:val="24"/>
          <w:szCs w:val="24"/>
        </w:rPr>
        <w:t xml:space="preserve">also </w:t>
      </w:r>
      <w:r w:rsidR="00E4733B" w:rsidRPr="00437CA2">
        <w:rPr>
          <w:rFonts w:ascii="Times New Roman" w:hAnsi="Times New Roman" w:cs="Times New Roman"/>
          <w:sz w:val="24"/>
          <w:szCs w:val="24"/>
        </w:rPr>
        <w:t>raise inflation</w:t>
      </w:r>
      <w:r w:rsidR="00FE78CA" w:rsidRPr="00437CA2">
        <w:rPr>
          <w:rFonts w:ascii="Times New Roman" w:hAnsi="Times New Roman" w:cs="Times New Roman"/>
          <w:sz w:val="24"/>
          <w:szCs w:val="24"/>
        </w:rPr>
        <w:t xml:space="preserve">, though </w:t>
      </w:r>
      <w:r w:rsidR="00F64591" w:rsidRPr="00437CA2">
        <w:rPr>
          <w:rFonts w:ascii="Times New Roman" w:hAnsi="Times New Roman" w:cs="Times New Roman"/>
          <w:sz w:val="24"/>
          <w:szCs w:val="24"/>
        </w:rPr>
        <w:t xml:space="preserve">the </w:t>
      </w:r>
      <w:r w:rsidR="00FE78CA" w:rsidRPr="00437CA2">
        <w:rPr>
          <w:rFonts w:ascii="Times New Roman" w:hAnsi="Times New Roman" w:cs="Times New Roman"/>
          <w:sz w:val="24"/>
          <w:szCs w:val="24"/>
        </w:rPr>
        <w:t>magnitude of this inflation partly depends</w:t>
      </w:r>
      <w:r w:rsidR="00E4733B" w:rsidRPr="00437CA2">
        <w:rPr>
          <w:rFonts w:ascii="Times New Roman" w:hAnsi="Times New Roman" w:cs="Times New Roman"/>
          <w:sz w:val="24"/>
          <w:szCs w:val="24"/>
        </w:rPr>
        <w:t xml:space="preserve"> on the </w:t>
      </w:r>
      <w:r w:rsidR="00FE78CA" w:rsidRPr="00437CA2">
        <w:rPr>
          <w:rFonts w:ascii="Times New Roman" w:hAnsi="Times New Roman" w:cs="Times New Roman"/>
          <w:sz w:val="24"/>
          <w:szCs w:val="24"/>
        </w:rPr>
        <w:t>degree</w:t>
      </w:r>
      <w:r w:rsidR="00E4733B" w:rsidRPr="00437CA2">
        <w:rPr>
          <w:rFonts w:ascii="Times New Roman" w:hAnsi="Times New Roman" w:cs="Times New Roman"/>
          <w:sz w:val="24"/>
          <w:szCs w:val="24"/>
        </w:rPr>
        <w:t xml:space="preserve"> of labo</w:t>
      </w:r>
      <w:r w:rsidR="00D26BE4" w:rsidRPr="00437CA2">
        <w:rPr>
          <w:rFonts w:ascii="Times New Roman" w:hAnsi="Times New Roman" w:cs="Times New Roman"/>
          <w:sz w:val="24"/>
          <w:szCs w:val="24"/>
        </w:rPr>
        <w:t>u</w:t>
      </w:r>
      <w:r w:rsidR="00E4733B" w:rsidRPr="00437CA2">
        <w:rPr>
          <w:rFonts w:ascii="Times New Roman" w:hAnsi="Times New Roman" w:cs="Times New Roman"/>
          <w:sz w:val="24"/>
          <w:szCs w:val="24"/>
        </w:rPr>
        <w:t>r market flexibility and the producer</w:t>
      </w:r>
      <w:r w:rsidR="00FE78CA" w:rsidRPr="00437CA2">
        <w:rPr>
          <w:rFonts w:ascii="Times New Roman" w:hAnsi="Times New Roman" w:cs="Times New Roman"/>
          <w:sz w:val="24"/>
          <w:szCs w:val="24"/>
        </w:rPr>
        <w:t>’</w:t>
      </w:r>
      <w:r w:rsidR="00E4733B" w:rsidRPr="00437CA2">
        <w:rPr>
          <w:rFonts w:ascii="Times New Roman" w:hAnsi="Times New Roman" w:cs="Times New Roman"/>
          <w:sz w:val="24"/>
          <w:szCs w:val="24"/>
        </w:rPr>
        <w:t xml:space="preserve">s </w:t>
      </w:r>
      <w:r w:rsidR="00FE78CA" w:rsidRPr="00437CA2">
        <w:rPr>
          <w:rFonts w:ascii="Times New Roman" w:hAnsi="Times New Roman" w:cs="Times New Roman"/>
          <w:sz w:val="24"/>
          <w:szCs w:val="24"/>
        </w:rPr>
        <w:t xml:space="preserve">capacity </w:t>
      </w:r>
      <w:r w:rsidR="00E4733B" w:rsidRPr="00437CA2">
        <w:rPr>
          <w:rFonts w:ascii="Times New Roman" w:hAnsi="Times New Roman" w:cs="Times New Roman"/>
          <w:sz w:val="24"/>
          <w:szCs w:val="24"/>
        </w:rPr>
        <w:t xml:space="preserve">to </w:t>
      </w:r>
      <w:r w:rsidR="00680F8C" w:rsidRPr="00437CA2">
        <w:rPr>
          <w:rFonts w:ascii="Times New Roman" w:hAnsi="Times New Roman" w:cs="Times New Roman"/>
          <w:sz w:val="24"/>
          <w:szCs w:val="24"/>
        </w:rPr>
        <w:t xml:space="preserve">transfer the </w:t>
      </w:r>
      <w:r w:rsidR="00E4733B" w:rsidRPr="00437CA2">
        <w:rPr>
          <w:rFonts w:ascii="Times New Roman" w:hAnsi="Times New Roman" w:cs="Times New Roman"/>
          <w:sz w:val="24"/>
          <w:szCs w:val="24"/>
        </w:rPr>
        <w:t xml:space="preserve">increases </w:t>
      </w:r>
      <w:r w:rsidR="00FE78CA" w:rsidRPr="00437CA2">
        <w:rPr>
          <w:rFonts w:ascii="Times New Roman" w:hAnsi="Times New Roman" w:cs="Times New Roman"/>
          <w:sz w:val="24"/>
          <w:szCs w:val="24"/>
        </w:rPr>
        <w:t xml:space="preserve">in cost </w:t>
      </w:r>
      <w:r w:rsidR="00E4733B" w:rsidRPr="00437CA2">
        <w:rPr>
          <w:rFonts w:ascii="Times New Roman" w:hAnsi="Times New Roman" w:cs="Times New Roman"/>
          <w:sz w:val="24"/>
          <w:szCs w:val="24"/>
        </w:rPr>
        <w:t>to</w:t>
      </w:r>
      <w:r w:rsidR="00FE78CA" w:rsidRPr="00437CA2">
        <w:rPr>
          <w:rFonts w:ascii="Times New Roman" w:hAnsi="Times New Roman" w:cs="Times New Roman"/>
          <w:sz w:val="24"/>
          <w:szCs w:val="24"/>
        </w:rPr>
        <w:t xml:space="preserve"> the</w:t>
      </w:r>
      <w:r w:rsidR="00E4733B" w:rsidRPr="00437CA2">
        <w:rPr>
          <w:rFonts w:ascii="Times New Roman" w:hAnsi="Times New Roman" w:cs="Times New Roman"/>
          <w:sz w:val="24"/>
          <w:szCs w:val="24"/>
        </w:rPr>
        <w:t xml:space="preserve"> consumers.</w:t>
      </w:r>
      <w:r w:rsidR="00C62F80" w:rsidRPr="00437CA2">
        <w:rPr>
          <w:rFonts w:ascii="Times New Roman" w:hAnsi="Times New Roman" w:cs="Times New Roman"/>
          <w:sz w:val="24"/>
          <w:szCs w:val="24"/>
        </w:rPr>
        <w:t xml:space="preserve"> </w:t>
      </w:r>
    </w:p>
    <w:p w:rsidR="00A645EF" w:rsidRPr="00AA1AC7" w:rsidRDefault="00A645EF" w:rsidP="00901E32">
      <w:pPr>
        <w:spacing w:after="0" w:line="240" w:lineRule="auto"/>
        <w:jc w:val="both"/>
        <w:rPr>
          <w:rFonts w:ascii="Times New Roman" w:hAnsi="Times New Roman" w:cs="Times New Roman"/>
          <w:sz w:val="24"/>
          <w:szCs w:val="24"/>
        </w:rPr>
      </w:pPr>
    </w:p>
    <w:p w:rsidR="003E6901" w:rsidRDefault="00E4733B" w:rsidP="00901E32">
      <w:pPr>
        <w:spacing w:after="0" w:line="240" w:lineRule="auto"/>
        <w:jc w:val="both"/>
        <w:rPr>
          <w:rFonts w:ascii="Times New Roman" w:hAnsi="Times New Roman" w:cs="Times New Roman"/>
          <w:sz w:val="24"/>
          <w:szCs w:val="24"/>
        </w:rPr>
      </w:pPr>
      <w:r w:rsidRPr="007B6582">
        <w:rPr>
          <w:rFonts w:ascii="Times New Roman" w:hAnsi="Times New Roman" w:cs="Times New Roman"/>
          <w:color w:val="000000"/>
          <w:sz w:val="24"/>
          <w:szCs w:val="24"/>
        </w:rPr>
        <w:t xml:space="preserve">Over time, the impact of rising </w:t>
      </w:r>
      <w:r w:rsidR="00F64591">
        <w:rPr>
          <w:rFonts w:ascii="Times New Roman" w:hAnsi="Times New Roman" w:cs="Times New Roman"/>
          <w:color w:val="000000"/>
          <w:sz w:val="24"/>
          <w:szCs w:val="24"/>
        </w:rPr>
        <w:t xml:space="preserve">or decreasing </w:t>
      </w:r>
      <w:r w:rsidRPr="007B6582">
        <w:rPr>
          <w:rFonts w:ascii="Times New Roman" w:hAnsi="Times New Roman" w:cs="Times New Roman"/>
          <w:color w:val="000000"/>
          <w:sz w:val="24"/>
          <w:szCs w:val="24"/>
        </w:rPr>
        <w:t xml:space="preserve">oil prices on </w:t>
      </w:r>
      <w:r w:rsidR="00F64591">
        <w:rPr>
          <w:rFonts w:ascii="Times New Roman" w:hAnsi="Times New Roman" w:cs="Times New Roman"/>
          <w:color w:val="000000"/>
          <w:sz w:val="24"/>
          <w:szCs w:val="24"/>
        </w:rPr>
        <w:t>econom</w:t>
      </w:r>
      <w:r w:rsidR="003C512E">
        <w:rPr>
          <w:rFonts w:ascii="Times New Roman" w:hAnsi="Times New Roman" w:cs="Times New Roman"/>
          <w:color w:val="000000"/>
          <w:sz w:val="24"/>
          <w:szCs w:val="24"/>
        </w:rPr>
        <w:t>ic</w:t>
      </w:r>
      <w:r w:rsidR="00F64591">
        <w:rPr>
          <w:rFonts w:ascii="Times New Roman" w:hAnsi="Times New Roman" w:cs="Times New Roman"/>
          <w:color w:val="000000"/>
          <w:sz w:val="24"/>
          <w:szCs w:val="24"/>
        </w:rPr>
        <w:t xml:space="preserve"> </w:t>
      </w:r>
      <w:r w:rsidRPr="007B6582">
        <w:rPr>
          <w:rFonts w:ascii="Times New Roman" w:hAnsi="Times New Roman" w:cs="Times New Roman"/>
          <w:color w:val="000000"/>
          <w:sz w:val="24"/>
          <w:szCs w:val="24"/>
        </w:rPr>
        <w:t>activit</w:t>
      </w:r>
      <w:r w:rsidR="00F64591">
        <w:rPr>
          <w:rFonts w:ascii="Times New Roman" w:hAnsi="Times New Roman" w:cs="Times New Roman"/>
          <w:color w:val="000000"/>
          <w:sz w:val="24"/>
          <w:szCs w:val="24"/>
        </w:rPr>
        <w:t>ies</w:t>
      </w:r>
      <w:r w:rsidRPr="007B6582">
        <w:rPr>
          <w:rFonts w:ascii="Times New Roman" w:hAnsi="Times New Roman" w:cs="Times New Roman"/>
          <w:color w:val="000000"/>
          <w:sz w:val="24"/>
          <w:szCs w:val="24"/>
        </w:rPr>
        <w:t xml:space="preserve"> and inflation depends also on policy responses and supply side </w:t>
      </w:r>
      <w:r w:rsidRPr="006F5312">
        <w:rPr>
          <w:rFonts w:ascii="Times New Roman" w:hAnsi="Times New Roman" w:cs="Times New Roman"/>
          <w:sz w:val="24"/>
          <w:szCs w:val="24"/>
        </w:rPr>
        <w:t>effects (IMF, 200</w:t>
      </w:r>
      <w:r w:rsidR="006F5312" w:rsidRPr="006F5312">
        <w:rPr>
          <w:rFonts w:ascii="Times New Roman" w:hAnsi="Times New Roman" w:cs="Times New Roman"/>
          <w:sz w:val="24"/>
          <w:szCs w:val="24"/>
        </w:rPr>
        <w:t>0</w:t>
      </w:r>
      <w:r w:rsidRPr="006F5312">
        <w:rPr>
          <w:rFonts w:ascii="Times New Roman" w:hAnsi="Times New Roman" w:cs="Times New Roman"/>
          <w:sz w:val="24"/>
          <w:szCs w:val="24"/>
        </w:rPr>
        <w:t>).</w:t>
      </w:r>
      <w:r w:rsidRPr="007B6582">
        <w:rPr>
          <w:rFonts w:ascii="Times New Roman" w:hAnsi="Times New Roman" w:cs="Times New Roman"/>
          <w:color w:val="000000"/>
          <w:sz w:val="24"/>
          <w:szCs w:val="24"/>
        </w:rPr>
        <w:t xml:space="preserve"> </w:t>
      </w:r>
      <w:r w:rsidR="003C512E" w:rsidRPr="007E6395">
        <w:rPr>
          <w:rFonts w:ascii="Times New Roman" w:hAnsi="Times New Roman" w:cs="Times New Roman"/>
          <w:sz w:val="24"/>
          <w:szCs w:val="24"/>
        </w:rPr>
        <w:t xml:space="preserve">Thus, it </w:t>
      </w:r>
      <w:r w:rsidR="00644FFA" w:rsidRPr="007E6395">
        <w:rPr>
          <w:rFonts w:ascii="Times New Roman" w:hAnsi="Times New Roman" w:cs="Times New Roman"/>
          <w:sz w:val="24"/>
          <w:szCs w:val="24"/>
        </w:rPr>
        <w:t xml:space="preserve">has been argued that periods of increase in price of crude oil result to huge inflow of </w:t>
      </w:r>
      <w:r w:rsidR="00C62F80" w:rsidRPr="007E6395">
        <w:rPr>
          <w:rFonts w:ascii="Times New Roman" w:hAnsi="Times New Roman" w:cs="Times New Roman"/>
          <w:sz w:val="24"/>
          <w:szCs w:val="24"/>
        </w:rPr>
        <w:t xml:space="preserve">oil revenues </w:t>
      </w:r>
      <w:r w:rsidR="00644FFA" w:rsidRPr="007E6395">
        <w:rPr>
          <w:rFonts w:ascii="Times New Roman" w:hAnsi="Times New Roman" w:cs="Times New Roman"/>
          <w:sz w:val="24"/>
          <w:szCs w:val="24"/>
        </w:rPr>
        <w:t>in Nigeria which led to expansion in the level of g</w:t>
      </w:r>
      <w:r w:rsidR="00C62F80" w:rsidRPr="007E6395">
        <w:rPr>
          <w:rFonts w:ascii="Times New Roman" w:hAnsi="Times New Roman" w:cs="Times New Roman"/>
          <w:sz w:val="24"/>
          <w:szCs w:val="24"/>
        </w:rPr>
        <w:t xml:space="preserve">overnment spending while </w:t>
      </w:r>
      <w:r w:rsidR="00644FFA" w:rsidRPr="007E6395">
        <w:rPr>
          <w:rFonts w:ascii="Times New Roman" w:hAnsi="Times New Roman" w:cs="Times New Roman"/>
          <w:sz w:val="24"/>
          <w:szCs w:val="24"/>
        </w:rPr>
        <w:t xml:space="preserve">the </w:t>
      </w:r>
      <w:r w:rsidR="00C62F80" w:rsidRPr="007E6395">
        <w:rPr>
          <w:rFonts w:ascii="Times New Roman" w:hAnsi="Times New Roman" w:cs="Times New Roman"/>
          <w:sz w:val="24"/>
          <w:szCs w:val="24"/>
        </w:rPr>
        <w:t xml:space="preserve">periods of </w:t>
      </w:r>
      <w:r w:rsidR="00644FFA" w:rsidRPr="007E6395">
        <w:rPr>
          <w:rFonts w:ascii="Times New Roman" w:hAnsi="Times New Roman" w:cs="Times New Roman"/>
          <w:sz w:val="24"/>
          <w:szCs w:val="24"/>
        </w:rPr>
        <w:t>decrease in</w:t>
      </w:r>
      <w:r w:rsidR="00C62F80" w:rsidRPr="007E6395">
        <w:rPr>
          <w:rFonts w:ascii="Times New Roman" w:hAnsi="Times New Roman" w:cs="Times New Roman"/>
          <w:sz w:val="24"/>
          <w:szCs w:val="24"/>
        </w:rPr>
        <w:t xml:space="preserve"> oil</w:t>
      </w:r>
      <w:r w:rsidR="00644FFA" w:rsidRPr="007E6395">
        <w:rPr>
          <w:rFonts w:ascii="Times New Roman" w:hAnsi="Times New Roman" w:cs="Times New Roman"/>
          <w:sz w:val="24"/>
          <w:szCs w:val="24"/>
        </w:rPr>
        <w:t xml:space="preserve"> price deplete oil</w:t>
      </w:r>
      <w:r w:rsidR="00C62F80" w:rsidRPr="007E6395">
        <w:rPr>
          <w:rFonts w:ascii="Times New Roman" w:hAnsi="Times New Roman" w:cs="Times New Roman"/>
          <w:sz w:val="24"/>
          <w:szCs w:val="24"/>
        </w:rPr>
        <w:t xml:space="preserve"> revenues </w:t>
      </w:r>
      <w:r w:rsidR="0070229C" w:rsidRPr="007E6395">
        <w:rPr>
          <w:rFonts w:ascii="Times New Roman" w:hAnsi="Times New Roman" w:cs="Times New Roman"/>
          <w:sz w:val="24"/>
          <w:szCs w:val="24"/>
        </w:rPr>
        <w:t xml:space="preserve">with its consequence on </w:t>
      </w:r>
      <w:r w:rsidR="00C62F80" w:rsidRPr="007E6395">
        <w:rPr>
          <w:rFonts w:ascii="Times New Roman" w:hAnsi="Times New Roman" w:cs="Times New Roman"/>
          <w:sz w:val="24"/>
          <w:szCs w:val="24"/>
        </w:rPr>
        <w:t xml:space="preserve">budget deficits. </w:t>
      </w:r>
      <w:r w:rsidR="00644FFA" w:rsidRPr="007E6395">
        <w:rPr>
          <w:rFonts w:ascii="Times New Roman" w:hAnsi="Times New Roman" w:cs="Times New Roman"/>
          <w:sz w:val="24"/>
          <w:szCs w:val="24"/>
        </w:rPr>
        <w:t xml:space="preserve">However, Nigeria </w:t>
      </w:r>
      <w:r w:rsidR="0070229C" w:rsidRPr="007E6395">
        <w:rPr>
          <w:rFonts w:ascii="Times New Roman" w:hAnsi="Times New Roman" w:cs="Times New Roman"/>
          <w:sz w:val="24"/>
          <w:szCs w:val="24"/>
        </w:rPr>
        <w:t>relies</w:t>
      </w:r>
      <w:r w:rsidR="00644FFA" w:rsidRPr="007E6395">
        <w:rPr>
          <w:rFonts w:ascii="Times New Roman" w:hAnsi="Times New Roman" w:cs="Times New Roman"/>
          <w:sz w:val="24"/>
          <w:szCs w:val="24"/>
        </w:rPr>
        <w:t xml:space="preserve"> heavily on revenue from </w:t>
      </w:r>
      <w:r w:rsidR="0070229C" w:rsidRPr="007E6395">
        <w:rPr>
          <w:rFonts w:ascii="Times New Roman" w:hAnsi="Times New Roman" w:cs="Times New Roman"/>
          <w:sz w:val="24"/>
          <w:szCs w:val="24"/>
        </w:rPr>
        <w:t xml:space="preserve">crude </w:t>
      </w:r>
      <w:r w:rsidR="00644FFA" w:rsidRPr="007E6395">
        <w:rPr>
          <w:rFonts w:ascii="Times New Roman" w:hAnsi="Times New Roman" w:cs="Times New Roman"/>
          <w:sz w:val="24"/>
          <w:szCs w:val="24"/>
        </w:rPr>
        <w:t xml:space="preserve">export </w:t>
      </w:r>
      <w:r w:rsidR="0070229C" w:rsidRPr="007E6395">
        <w:rPr>
          <w:rFonts w:ascii="Times New Roman" w:hAnsi="Times New Roman" w:cs="Times New Roman"/>
          <w:sz w:val="24"/>
          <w:szCs w:val="24"/>
        </w:rPr>
        <w:t>with special interest in massive importation of refined petroleum and other related products (Aliyu, 2009).</w:t>
      </w:r>
      <w:r w:rsidR="003E6901">
        <w:rPr>
          <w:rFonts w:ascii="Times New Roman" w:hAnsi="Times New Roman" w:cs="Times New Roman"/>
          <w:color w:val="FF0000"/>
          <w:sz w:val="24"/>
          <w:szCs w:val="24"/>
        </w:rPr>
        <w:t xml:space="preserve"> </w:t>
      </w:r>
      <w:r w:rsidR="003E6901" w:rsidRPr="000D665A">
        <w:rPr>
          <w:rFonts w:ascii="Times New Roman" w:hAnsi="Times New Roman" w:cs="Times New Roman"/>
          <w:sz w:val="24"/>
          <w:szCs w:val="24"/>
        </w:rPr>
        <w:t>Evidence</w:t>
      </w:r>
      <w:r w:rsidR="003C512E" w:rsidRPr="000D665A">
        <w:rPr>
          <w:rFonts w:ascii="Times New Roman" w:hAnsi="Times New Roman" w:cs="Times New Roman"/>
          <w:sz w:val="24"/>
          <w:szCs w:val="24"/>
        </w:rPr>
        <w:t xml:space="preserve"> has shown that government spending </w:t>
      </w:r>
      <w:r w:rsidR="003E6901" w:rsidRPr="000D665A">
        <w:rPr>
          <w:rFonts w:ascii="Times New Roman" w:hAnsi="Times New Roman" w:cs="Times New Roman"/>
          <w:sz w:val="24"/>
          <w:szCs w:val="24"/>
        </w:rPr>
        <w:t xml:space="preserve">before 1999 </w:t>
      </w:r>
      <w:r w:rsidR="00A35A98" w:rsidRPr="000D665A">
        <w:rPr>
          <w:rFonts w:ascii="Times New Roman" w:hAnsi="Times New Roman" w:cs="Times New Roman"/>
          <w:sz w:val="24"/>
          <w:szCs w:val="24"/>
        </w:rPr>
        <w:t>was</w:t>
      </w:r>
      <w:r w:rsidR="003E6901" w:rsidRPr="000D665A">
        <w:rPr>
          <w:rFonts w:ascii="Times New Roman" w:hAnsi="Times New Roman" w:cs="Times New Roman"/>
          <w:sz w:val="24"/>
          <w:szCs w:val="24"/>
        </w:rPr>
        <w:t xml:space="preserve"> below N0.5 trillion, </w:t>
      </w:r>
      <w:r w:rsidR="00A35A98" w:rsidRPr="000D665A">
        <w:rPr>
          <w:rFonts w:ascii="Times New Roman" w:hAnsi="Times New Roman" w:cs="Times New Roman"/>
          <w:sz w:val="24"/>
          <w:szCs w:val="24"/>
        </w:rPr>
        <w:t xml:space="preserve">but surge to </w:t>
      </w:r>
      <w:r w:rsidR="003E6901" w:rsidRPr="000D665A">
        <w:rPr>
          <w:rFonts w:ascii="Times New Roman" w:hAnsi="Times New Roman" w:cs="Times New Roman"/>
          <w:sz w:val="24"/>
          <w:szCs w:val="24"/>
        </w:rPr>
        <w:t xml:space="preserve">N1.02 trillion and N1.5 trillion in </w:t>
      </w:r>
      <w:r w:rsidR="00A35A98" w:rsidRPr="000D665A">
        <w:rPr>
          <w:rFonts w:ascii="Times New Roman" w:hAnsi="Times New Roman" w:cs="Times New Roman"/>
          <w:sz w:val="24"/>
          <w:szCs w:val="24"/>
        </w:rPr>
        <w:t xml:space="preserve">2001 and </w:t>
      </w:r>
      <w:r w:rsidR="003E6901" w:rsidRPr="000D665A">
        <w:rPr>
          <w:rFonts w:ascii="Times New Roman" w:hAnsi="Times New Roman" w:cs="Times New Roman"/>
          <w:sz w:val="24"/>
          <w:szCs w:val="24"/>
        </w:rPr>
        <w:t>2004</w:t>
      </w:r>
      <w:r w:rsidR="00A35A98" w:rsidRPr="000D665A">
        <w:rPr>
          <w:rFonts w:ascii="Times New Roman" w:hAnsi="Times New Roman" w:cs="Times New Roman"/>
          <w:sz w:val="24"/>
          <w:szCs w:val="24"/>
        </w:rPr>
        <w:t xml:space="preserve"> respectively while t</w:t>
      </w:r>
      <w:r w:rsidR="003E6901" w:rsidRPr="000D665A">
        <w:rPr>
          <w:rFonts w:ascii="Times New Roman" w:hAnsi="Times New Roman" w:cs="Times New Roman"/>
          <w:sz w:val="24"/>
          <w:szCs w:val="24"/>
        </w:rPr>
        <w:t>he figures for 2006 and 2007 stood at N2.04 and N2.45 trillion respectively</w:t>
      </w:r>
      <w:r w:rsidR="00D26BE4">
        <w:rPr>
          <w:rFonts w:ascii="Times New Roman" w:hAnsi="Times New Roman" w:cs="Times New Roman"/>
          <w:sz w:val="24"/>
          <w:szCs w:val="24"/>
        </w:rPr>
        <w:t xml:space="preserve"> (see figure 1 below)</w:t>
      </w:r>
      <w:r w:rsidR="003E6901" w:rsidRPr="000D665A">
        <w:rPr>
          <w:rFonts w:ascii="Times New Roman" w:hAnsi="Times New Roman" w:cs="Times New Roman"/>
          <w:sz w:val="24"/>
          <w:szCs w:val="24"/>
        </w:rPr>
        <w:t>.</w:t>
      </w:r>
      <w:r w:rsidR="000D665A" w:rsidRPr="000D665A">
        <w:rPr>
          <w:rFonts w:ascii="Times New Roman" w:hAnsi="Times New Roman" w:cs="Times New Roman"/>
          <w:sz w:val="24"/>
          <w:szCs w:val="24"/>
        </w:rPr>
        <w:t xml:space="preserve"> Furthermore, </w:t>
      </w:r>
      <w:r w:rsidR="003E6901" w:rsidRPr="000D665A">
        <w:rPr>
          <w:rFonts w:ascii="Times New Roman" w:hAnsi="Times New Roman" w:cs="Times New Roman"/>
          <w:sz w:val="24"/>
          <w:szCs w:val="24"/>
        </w:rPr>
        <w:t>total</w:t>
      </w:r>
      <w:r w:rsidR="00D26BE4">
        <w:rPr>
          <w:rFonts w:ascii="Times New Roman" w:hAnsi="Times New Roman" w:cs="Times New Roman"/>
          <w:sz w:val="24"/>
          <w:szCs w:val="24"/>
        </w:rPr>
        <w:t xml:space="preserve"> imports by the oil sub-</w:t>
      </w:r>
      <w:r w:rsidR="000D665A" w:rsidRPr="000D665A">
        <w:rPr>
          <w:rFonts w:ascii="Times New Roman" w:hAnsi="Times New Roman" w:cs="Times New Roman"/>
          <w:sz w:val="24"/>
          <w:szCs w:val="24"/>
        </w:rPr>
        <w:t>sector</w:t>
      </w:r>
      <w:r w:rsidR="003E6901" w:rsidRPr="000D665A">
        <w:rPr>
          <w:rFonts w:ascii="Times New Roman" w:hAnsi="Times New Roman" w:cs="Times New Roman"/>
          <w:sz w:val="24"/>
          <w:szCs w:val="24"/>
        </w:rPr>
        <w:t xml:space="preserve">, accounts for an average of 22.4 percent between 2000 and 2007 in the Nigeria’s total visible trade. </w:t>
      </w:r>
      <w:r w:rsidR="000D665A" w:rsidRPr="000D665A">
        <w:rPr>
          <w:rFonts w:ascii="Times New Roman" w:hAnsi="Times New Roman" w:cs="Times New Roman"/>
          <w:sz w:val="24"/>
          <w:szCs w:val="24"/>
        </w:rPr>
        <w:t>Precisely</w:t>
      </w:r>
      <w:r w:rsidR="003E6901" w:rsidRPr="000D665A">
        <w:rPr>
          <w:rFonts w:ascii="Times New Roman" w:hAnsi="Times New Roman" w:cs="Times New Roman"/>
          <w:sz w:val="24"/>
          <w:szCs w:val="24"/>
        </w:rPr>
        <w:t>, the sub sector accounts for 17.5 percent in 2001 and rose to 28.5 percent in 2005</w:t>
      </w:r>
      <w:r w:rsidR="000D665A" w:rsidRPr="000D665A">
        <w:rPr>
          <w:rFonts w:ascii="Times New Roman" w:hAnsi="Times New Roman" w:cs="Times New Roman"/>
          <w:sz w:val="24"/>
          <w:szCs w:val="24"/>
        </w:rPr>
        <w:t xml:space="preserve"> which stood at </w:t>
      </w:r>
      <w:r w:rsidR="003E6901" w:rsidRPr="000D665A">
        <w:rPr>
          <w:rFonts w:ascii="Times New Roman" w:hAnsi="Times New Roman" w:cs="Times New Roman"/>
          <w:sz w:val="24"/>
          <w:szCs w:val="24"/>
        </w:rPr>
        <w:t>27.3 percent and 21.2 percent in 2006 and 2007 respectively</w:t>
      </w:r>
      <w:r w:rsidR="000D665A" w:rsidRPr="000D665A">
        <w:rPr>
          <w:rFonts w:ascii="Times New Roman" w:hAnsi="Times New Roman" w:cs="Times New Roman"/>
          <w:sz w:val="24"/>
          <w:szCs w:val="24"/>
        </w:rPr>
        <w:t xml:space="preserve"> (Aliyu, 2009)</w:t>
      </w:r>
      <w:r w:rsidR="003E6901" w:rsidRPr="000D665A">
        <w:rPr>
          <w:rFonts w:ascii="Times New Roman" w:hAnsi="Times New Roman" w:cs="Times New Roman"/>
          <w:sz w:val="24"/>
          <w:szCs w:val="24"/>
        </w:rPr>
        <w:t>.</w:t>
      </w:r>
    </w:p>
    <w:p w:rsidR="00A73E8F" w:rsidRDefault="00422B3E" w:rsidP="003E6901">
      <w:pPr>
        <w:autoSpaceDE w:val="0"/>
        <w:autoSpaceDN w:val="0"/>
        <w:adjustRightInd w:val="0"/>
        <w:spacing w:after="0" w:line="240" w:lineRule="auto"/>
        <w:jc w:val="both"/>
        <w:rPr>
          <w:rFonts w:ascii="Times New Roman" w:hAnsi="Times New Roman" w:cs="Times New Roman"/>
          <w:sz w:val="24"/>
          <w:szCs w:val="24"/>
        </w:rPr>
      </w:pPr>
      <w:r w:rsidRPr="000E52FD">
        <w:rPr>
          <w:rFonts w:ascii="Times New Roman" w:hAnsi="Times New Roman" w:cs="Times New Roman"/>
          <w:sz w:val="24"/>
          <w:szCs w:val="24"/>
        </w:rPr>
        <w:lastRenderedPageBreak/>
        <w:t xml:space="preserve">As </w:t>
      </w:r>
      <w:r w:rsidR="00A73E8F" w:rsidRPr="000E52FD">
        <w:rPr>
          <w:rFonts w:ascii="Times New Roman" w:hAnsi="Times New Roman" w:cs="Times New Roman"/>
          <w:sz w:val="24"/>
          <w:szCs w:val="24"/>
        </w:rPr>
        <w:t>the 6th largest producer of oil in the world</w:t>
      </w:r>
      <w:r>
        <w:rPr>
          <w:rFonts w:ascii="Times New Roman" w:hAnsi="Times New Roman" w:cs="Times New Roman"/>
          <w:sz w:val="24"/>
          <w:szCs w:val="24"/>
        </w:rPr>
        <w:t xml:space="preserve">, </w:t>
      </w:r>
      <w:r w:rsidRPr="000E52FD">
        <w:rPr>
          <w:rFonts w:ascii="Times New Roman" w:hAnsi="Times New Roman" w:cs="Times New Roman"/>
          <w:sz w:val="24"/>
          <w:szCs w:val="24"/>
        </w:rPr>
        <w:t>Nigeria</w:t>
      </w:r>
      <w:r w:rsidR="00A73E8F" w:rsidRPr="000E52FD">
        <w:rPr>
          <w:rFonts w:ascii="Times New Roman" w:hAnsi="Times New Roman" w:cs="Times New Roman"/>
          <w:sz w:val="24"/>
          <w:szCs w:val="24"/>
        </w:rPr>
        <w:t xml:space="preserve"> </w:t>
      </w:r>
      <w:r>
        <w:rPr>
          <w:rFonts w:ascii="Times New Roman" w:hAnsi="Times New Roman" w:cs="Times New Roman"/>
          <w:sz w:val="24"/>
          <w:szCs w:val="24"/>
        </w:rPr>
        <w:t>seems to be</w:t>
      </w:r>
      <w:r w:rsidR="00A73E8F" w:rsidRPr="000E52FD">
        <w:rPr>
          <w:rFonts w:ascii="Times New Roman" w:hAnsi="Times New Roman" w:cs="Times New Roman"/>
          <w:sz w:val="24"/>
          <w:szCs w:val="24"/>
        </w:rPr>
        <w:t xml:space="preserve"> vulnerable to fluctuations in the international oil market and this has affected the performance of the economy through its effect on the foreign exchange reserve. Hence, given the fact that Nigeria heavily depends on crude oil proceeds; a deep fall in international oil price has been argued to be the major cause of the current economic downturn to the current economic meltdown and hence, has fragile macroeconomic implication</w:t>
      </w:r>
      <w:r w:rsidR="003000B7">
        <w:rPr>
          <w:rFonts w:ascii="Times New Roman" w:hAnsi="Times New Roman" w:cs="Times New Roman"/>
          <w:sz w:val="24"/>
          <w:szCs w:val="24"/>
        </w:rPr>
        <w:t xml:space="preserve"> (</w:t>
      </w:r>
      <w:r w:rsidR="000D2D2B" w:rsidRPr="000D665A">
        <w:rPr>
          <w:rFonts w:ascii="Times New Roman" w:hAnsi="Times New Roman" w:cs="Times New Roman"/>
          <w:sz w:val="24"/>
          <w:szCs w:val="24"/>
        </w:rPr>
        <w:t>Aliyu, 2009</w:t>
      </w:r>
      <w:r w:rsidR="003000B7">
        <w:rPr>
          <w:rFonts w:ascii="Times New Roman" w:hAnsi="Times New Roman" w:cs="Times New Roman"/>
          <w:sz w:val="24"/>
          <w:szCs w:val="24"/>
        </w:rPr>
        <w:t>)</w:t>
      </w:r>
      <w:r w:rsidR="00A73E8F" w:rsidRPr="000E52FD">
        <w:rPr>
          <w:rFonts w:ascii="Times New Roman" w:hAnsi="Times New Roman" w:cs="Times New Roman"/>
          <w:sz w:val="24"/>
          <w:szCs w:val="24"/>
        </w:rPr>
        <w:t>.</w:t>
      </w:r>
    </w:p>
    <w:p w:rsidR="00A73E8F" w:rsidRPr="000D665A" w:rsidRDefault="00A73E8F" w:rsidP="003E6901">
      <w:pPr>
        <w:autoSpaceDE w:val="0"/>
        <w:autoSpaceDN w:val="0"/>
        <w:adjustRightInd w:val="0"/>
        <w:spacing w:after="0" w:line="240" w:lineRule="auto"/>
        <w:jc w:val="both"/>
        <w:rPr>
          <w:rFonts w:ascii="Times New Roman" w:hAnsi="Times New Roman" w:cs="Times New Roman"/>
          <w:sz w:val="24"/>
          <w:szCs w:val="24"/>
        </w:rPr>
      </w:pPr>
    </w:p>
    <w:p w:rsidR="003E6901" w:rsidRPr="000D665A" w:rsidRDefault="003E6901" w:rsidP="00C62F80">
      <w:pPr>
        <w:autoSpaceDE w:val="0"/>
        <w:autoSpaceDN w:val="0"/>
        <w:adjustRightInd w:val="0"/>
        <w:spacing w:after="0" w:line="240" w:lineRule="auto"/>
        <w:jc w:val="both"/>
        <w:rPr>
          <w:rFonts w:ascii="Times New Roman" w:hAnsi="Times New Roman" w:cs="Times New Roman"/>
          <w:b/>
          <w:sz w:val="24"/>
          <w:szCs w:val="24"/>
        </w:rPr>
      </w:pPr>
      <w:r w:rsidRPr="000D665A">
        <w:rPr>
          <w:rFonts w:ascii="Times New Roman" w:hAnsi="Times New Roman" w:cs="Times New Roman"/>
          <w:b/>
          <w:sz w:val="24"/>
          <w:szCs w:val="24"/>
        </w:rPr>
        <w:t>Figure 1: Graph of Government Spending (Gsp % of GDP</w:t>
      </w:r>
      <w:r w:rsidR="007E6395" w:rsidRPr="000D665A">
        <w:rPr>
          <w:rFonts w:ascii="Times New Roman" w:hAnsi="Times New Roman" w:cs="Times New Roman"/>
          <w:b/>
          <w:sz w:val="24"/>
          <w:szCs w:val="24"/>
        </w:rPr>
        <w:t>) and Oil Revenue</w:t>
      </w:r>
      <w:r w:rsidRPr="000D665A">
        <w:rPr>
          <w:rFonts w:ascii="Times New Roman" w:hAnsi="Times New Roman" w:cs="Times New Roman"/>
          <w:b/>
          <w:sz w:val="24"/>
          <w:szCs w:val="24"/>
        </w:rPr>
        <w:t>:</w:t>
      </w:r>
    </w:p>
    <w:p w:rsidR="003E6901" w:rsidRPr="003E6901" w:rsidRDefault="003E6901" w:rsidP="00C62F80">
      <w:pPr>
        <w:autoSpaceDE w:val="0"/>
        <w:autoSpaceDN w:val="0"/>
        <w:adjustRightInd w:val="0"/>
        <w:spacing w:after="0" w:line="240" w:lineRule="auto"/>
        <w:jc w:val="both"/>
        <w:rPr>
          <w:rFonts w:ascii="Times New Roman" w:hAnsi="Times New Roman" w:cs="Times New Roman"/>
          <w:color w:val="FF0000"/>
          <w:sz w:val="12"/>
          <w:szCs w:val="24"/>
        </w:rPr>
      </w:pPr>
    </w:p>
    <w:p w:rsidR="00644FFA" w:rsidRDefault="00C302DB" w:rsidP="00C62F80">
      <w:pPr>
        <w:autoSpaceDE w:val="0"/>
        <w:autoSpaceDN w:val="0"/>
        <w:adjustRightInd w:val="0"/>
        <w:spacing w:after="0" w:line="240" w:lineRule="auto"/>
        <w:jc w:val="both"/>
        <w:rPr>
          <w:rFonts w:ascii="Times New Roman" w:hAnsi="Times New Roman" w:cs="Times New Roman"/>
          <w:color w:val="FF0000"/>
          <w:sz w:val="24"/>
          <w:szCs w:val="24"/>
        </w:rPr>
      </w:pPr>
      <w:r w:rsidRPr="00C302DB">
        <w:rPr>
          <w:rFonts w:ascii="Times New Roman" w:hAnsi="Times New Roman" w:cs="Times New Roman"/>
          <w:noProof/>
          <w:color w:val="FF0000"/>
          <w:sz w:val="24"/>
          <w:szCs w:val="24"/>
        </w:rPr>
        <w:drawing>
          <wp:inline distT="0" distB="0" distL="0" distR="0">
            <wp:extent cx="6009610" cy="2743200"/>
            <wp:effectExtent l="19050" t="0" r="1019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4EB1" w:rsidRPr="000E52FD" w:rsidRDefault="00774EB1" w:rsidP="000E52FD">
      <w:pPr>
        <w:autoSpaceDE w:val="0"/>
        <w:autoSpaceDN w:val="0"/>
        <w:adjustRightInd w:val="0"/>
        <w:spacing w:after="0" w:line="240" w:lineRule="auto"/>
        <w:jc w:val="both"/>
        <w:rPr>
          <w:rFonts w:ascii="Times New Roman" w:hAnsi="Times New Roman" w:cs="Times New Roman"/>
          <w:sz w:val="24"/>
          <w:szCs w:val="24"/>
        </w:rPr>
      </w:pPr>
      <w:r w:rsidRPr="000E52FD">
        <w:rPr>
          <w:rFonts w:ascii="Times New Roman" w:hAnsi="Times New Roman" w:cs="Times New Roman"/>
          <w:sz w:val="24"/>
          <w:szCs w:val="24"/>
        </w:rPr>
        <w:t>Source: Authors concept</w:t>
      </w:r>
    </w:p>
    <w:p w:rsidR="00C62F80" w:rsidRDefault="00C62F80" w:rsidP="00F73244">
      <w:pPr>
        <w:autoSpaceDE w:val="0"/>
        <w:autoSpaceDN w:val="0"/>
        <w:adjustRightInd w:val="0"/>
        <w:spacing w:after="0" w:line="240" w:lineRule="auto"/>
        <w:jc w:val="both"/>
        <w:rPr>
          <w:rFonts w:ascii="Times New Roman" w:hAnsi="Times New Roman" w:cs="Times New Roman"/>
          <w:color w:val="000000"/>
          <w:sz w:val="24"/>
          <w:szCs w:val="24"/>
        </w:rPr>
      </w:pPr>
    </w:p>
    <w:p w:rsidR="00C12890" w:rsidRDefault="00C41000" w:rsidP="00127D61">
      <w:pPr>
        <w:autoSpaceDE w:val="0"/>
        <w:autoSpaceDN w:val="0"/>
        <w:adjustRightInd w:val="0"/>
        <w:spacing w:after="0" w:line="240" w:lineRule="auto"/>
        <w:jc w:val="both"/>
        <w:rPr>
          <w:rFonts w:ascii="Times New Roman" w:hAnsi="Times New Roman" w:cs="Times New Roman"/>
          <w:sz w:val="24"/>
          <w:szCs w:val="24"/>
        </w:rPr>
      </w:pPr>
      <w:r w:rsidRPr="00700883">
        <w:rPr>
          <w:rFonts w:ascii="Times New Roman" w:hAnsi="Times New Roman" w:cs="Times New Roman"/>
          <w:sz w:val="24"/>
          <w:szCs w:val="24"/>
        </w:rPr>
        <w:t xml:space="preserve">Generally, </w:t>
      </w:r>
      <w:r w:rsidR="00E4733B" w:rsidRPr="00700883">
        <w:rPr>
          <w:rFonts w:ascii="Times New Roman" w:hAnsi="Times New Roman" w:cs="Times New Roman"/>
          <w:sz w:val="24"/>
          <w:szCs w:val="24"/>
        </w:rPr>
        <w:t xml:space="preserve">a </w:t>
      </w:r>
      <w:r w:rsidR="00A73E8F" w:rsidRPr="00700883">
        <w:rPr>
          <w:rFonts w:ascii="Times New Roman" w:hAnsi="Times New Roman" w:cs="Times New Roman"/>
          <w:sz w:val="24"/>
          <w:szCs w:val="24"/>
        </w:rPr>
        <w:t xml:space="preserve">rise in </w:t>
      </w:r>
      <w:r w:rsidR="00E4733B" w:rsidRPr="00700883">
        <w:rPr>
          <w:rFonts w:ascii="Times New Roman" w:hAnsi="Times New Roman" w:cs="Times New Roman"/>
          <w:sz w:val="24"/>
          <w:szCs w:val="24"/>
        </w:rPr>
        <w:t>price</w:t>
      </w:r>
      <w:r w:rsidR="00A73E8F" w:rsidRPr="00700883">
        <w:rPr>
          <w:rFonts w:ascii="Times New Roman" w:hAnsi="Times New Roman" w:cs="Times New Roman"/>
          <w:sz w:val="24"/>
          <w:szCs w:val="24"/>
        </w:rPr>
        <w:t xml:space="preserve"> of crude oil</w:t>
      </w:r>
      <w:r w:rsidR="00E4733B" w:rsidRPr="00700883">
        <w:rPr>
          <w:rFonts w:ascii="Times New Roman" w:hAnsi="Times New Roman" w:cs="Times New Roman"/>
          <w:sz w:val="24"/>
          <w:szCs w:val="24"/>
        </w:rPr>
        <w:t xml:space="preserve"> increases real national income through higher export earnings</w:t>
      </w:r>
      <w:r w:rsidR="00F73244" w:rsidRPr="00700883">
        <w:rPr>
          <w:rFonts w:ascii="Times New Roman" w:hAnsi="Times New Roman" w:cs="Times New Roman"/>
          <w:sz w:val="24"/>
          <w:szCs w:val="24"/>
        </w:rPr>
        <w:t>.</w:t>
      </w:r>
      <w:r w:rsidR="00E4733B" w:rsidRPr="00700883">
        <w:rPr>
          <w:rFonts w:ascii="Times New Roman" w:hAnsi="Times New Roman" w:cs="Times New Roman"/>
          <w:sz w:val="24"/>
          <w:szCs w:val="24"/>
        </w:rPr>
        <w:t xml:space="preserve"> </w:t>
      </w:r>
      <w:r w:rsidR="00F73244" w:rsidRPr="00700883">
        <w:rPr>
          <w:rFonts w:ascii="Times New Roman" w:hAnsi="Times New Roman" w:cs="Times New Roman"/>
          <w:sz w:val="24"/>
          <w:szCs w:val="24"/>
        </w:rPr>
        <w:t>Although</w:t>
      </w:r>
      <w:r w:rsidR="00E4733B" w:rsidRPr="00700883">
        <w:rPr>
          <w:rFonts w:ascii="Times New Roman" w:hAnsi="Times New Roman" w:cs="Times New Roman"/>
          <w:sz w:val="24"/>
          <w:szCs w:val="24"/>
        </w:rPr>
        <w:t xml:space="preserve"> p</w:t>
      </w:r>
      <w:r w:rsidR="00570AC5" w:rsidRPr="00700883">
        <w:rPr>
          <w:rFonts w:ascii="Times New Roman" w:hAnsi="Times New Roman" w:cs="Times New Roman"/>
          <w:sz w:val="24"/>
          <w:szCs w:val="24"/>
        </w:rPr>
        <w:t xml:space="preserve">art of this </w:t>
      </w:r>
      <w:r w:rsidR="00F73244" w:rsidRPr="00700883">
        <w:rPr>
          <w:rFonts w:ascii="Times New Roman" w:hAnsi="Times New Roman" w:cs="Times New Roman"/>
          <w:sz w:val="24"/>
          <w:szCs w:val="24"/>
        </w:rPr>
        <w:t>earnings</w:t>
      </w:r>
      <w:r w:rsidR="00570AC5" w:rsidRPr="00700883">
        <w:rPr>
          <w:rFonts w:ascii="Times New Roman" w:hAnsi="Times New Roman" w:cs="Times New Roman"/>
          <w:sz w:val="24"/>
          <w:szCs w:val="24"/>
        </w:rPr>
        <w:t xml:space="preserve"> </w:t>
      </w:r>
      <w:r w:rsidR="00700883" w:rsidRPr="00700883">
        <w:rPr>
          <w:rFonts w:ascii="Times New Roman" w:hAnsi="Times New Roman" w:cs="Times New Roman"/>
          <w:sz w:val="24"/>
          <w:szCs w:val="24"/>
        </w:rPr>
        <w:t>may</w:t>
      </w:r>
      <w:r w:rsidR="00570AC5" w:rsidRPr="00700883">
        <w:rPr>
          <w:rFonts w:ascii="Times New Roman" w:hAnsi="Times New Roman" w:cs="Times New Roman"/>
          <w:sz w:val="24"/>
          <w:szCs w:val="24"/>
        </w:rPr>
        <w:t xml:space="preserve"> be </w:t>
      </w:r>
      <w:r w:rsidR="00E4733B" w:rsidRPr="00700883">
        <w:rPr>
          <w:rFonts w:ascii="Times New Roman" w:hAnsi="Times New Roman" w:cs="Times New Roman"/>
          <w:sz w:val="24"/>
          <w:szCs w:val="24"/>
        </w:rPr>
        <w:t xml:space="preserve">offset by losses </w:t>
      </w:r>
      <w:r w:rsidR="00570AC5" w:rsidRPr="00700883">
        <w:rPr>
          <w:rFonts w:ascii="Times New Roman" w:hAnsi="Times New Roman" w:cs="Times New Roman"/>
          <w:sz w:val="24"/>
          <w:szCs w:val="24"/>
        </w:rPr>
        <w:t>from lower demand for exports</w:t>
      </w:r>
      <w:r w:rsidRPr="00700883">
        <w:rPr>
          <w:rFonts w:ascii="Times New Roman" w:hAnsi="Times New Roman" w:cs="Times New Roman"/>
          <w:sz w:val="24"/>
          <w:szCs w:val="24"/>
        </w:rPr>
        <w:t>.</w:t>
      </w:r>
      <w:r w:rsidR="00E4733B" w:rsidRPr="00700883">
        <w:rPr>
          <w:rFonts w:ascii="Times New Roman" w:hAnsi="Times New Roman" w:cs="Times New Roman"/>
          <w:sz w:val="24"/>
          <w:szCs w:val="24"/>
        </w:rPr>
        <w:t xml:space="preserve"> </w:t>
      </w:r>
      <w:r w:rsidR="001B3D74" w:rsidRPr="00700883">
        <w:rPr>
          <w:rFonts w:ascii="Times New Roman" w:hAnsi="Times New Roman" w:cs="Times New Roman"/>
          <w:sz w:val="24"/>
          <w:szCs w:val="24"/>
        </w:rPr>
        <w:t>Moreover,</w:t>
      </w:r>
      <w:r w:rsidR="00E4733B" w:rsidRPr="00700883">
        <w:rPr>
          <w:rFonts w:ascii="Times New Roman" w:hAnsi="Times New Roman" w:cs="Times New Roman"/>
          <w:sz w:val="24"/>
          <w:szCs w:val="24"/>
        </w:rPr>
        <w:t xml:space="preserve"> in net oil-importing countries, higher oil prices lead to </w:t>
      </w:r>
      <w:r w:rsidR="00A73E8F" w:rsidRPr="00700883">
        <w:rPr>
          <w:rFonts w:ascii="Times New Roman" w:hAnsi="Times New Roman" w:cs="Times New Roman"/>
          <w:sz w:val="24"/>
          <w:szCs w:val="24"/>
        </w:rPr>
        <w:t xml:space="preserve">increase in revenue and </w:t>
      </w:r>
      <w:r w:rsidRPr="00700883">
        <w:rPr>
          <w:rFonts w:ascii="Times New Roman" w:hAnsi="Times New Roman" w:cs="Times New Roman"/>
          <w:sz w:val="24"/>
          <w:szCs w:val="24"/>
        </w:rPr>
        <w:t>inflation</w:t>
      </w:r>
      <w:r w:rsidR="00E4733B" w:rsidRPr="00700883">
        <w:rPr>
          <w:rFonts w:ascii="Times New Roman" w:hAnsi="Times New Roman" w:cs="Times New Roman"/>
          <w:sz w:val="24"/>
          <w:szCs w:val="24"/>
        </w:rPr>
        <w:t xml:space="preserve"> </w:t>
      </w:r>
      <w:r w:rsidR="00A73E8F" w:rsidRPr="00700883">
        <w:rPr>
          <w:rFonts w:ascii="Times New Roman" w:hAnsi="Times New Roman" w:cs="Times New Roman"/>
          <w:sz w:val="24"/>
          <w:szCs w:val="24"/>
        </w:rPr>
        <w:t xml:space="preserve">together with </w:t>
      </w:r>
      <w:r w:rsidR="00E4733B" w:rsidRPr="00700883">
        <w:rPr>
          <w:rFonts w:ascii="Times New Roman" w:hAnsi="Times New Roman" w:cs="Times New Roman"/>
          <w:sz w:val="24"/>
          <w:szCs w:val="24"/>
        </w:rPr>
        <w:t>increase</w:t>
      </w:r>
      <w:r w:rsidR="00A73E8F" w:rsidRPr="00700883">
        <w:rPr>
          <w:rFonts w:ascii="Times New Roman" w:hAnsi="Times New Roman" w:cs="Times New Roman"/>
          <w:sz w:val="24"/>
          <w:szCs w:val="24"/>
        </w:rPr>
        <w:t xml:space="preserve"> in input</w:t>
      </w:r>
      <w:r w:rsidR="00E4733B" w:rsidRPr="00700883">
        <w:rPr>
          <w:rFonts w:ascii="Times New Roman" w:hAnsi="Times New Roman" w:cs="Times New Roman"/>
          <w:sz w:val="24"/>
          <w:szCs w:val="24"/>
        </w:rPr>
        <w:t xml:space="preserve"> costs, </w:t>
      </w:r>
      <w:r w:rsidR="00A73E8F" w:rsidRPr="00700883">
        <w:rPr>
          <w:rFonts w:ascii="Times New Roman" w:hAnsi="Times New Roman" w:cs="Times New Roman"/>
          <w:sz w:val="24"/>
          <w:szCs w:val="24"/>
        </w:rPr>
        <w:t xml:space="preserve">causing a fall in </w:t>
      </w:r>
      <w:r w:rsidR="00E4733B" w:rsidRPr="00700883">
        <w:rPr>
          <w:rFonts w:ascii="Times New Roman" w:hAnsi="Times New Roman" w:cs="Times New Roman"/>
          <w:sz w:val="24"/>
          <w:szCs w:val="24"/>
        </w:rPr>
        <w:t xml:space="preserve">non-oil demand </w:t>
      </w:r>
      <w:r w:rsidR="00700883">
        <w:rPr>
          <w:rFonts w:ascii="Times New Roman" w:hAnsi="Times New Roman" w:cs="Times New Roman"/>
          <w:sz w:val="24"/>
          <w:szCs w:val="24"/>
        </w:rPr>
        <w:t>with a corresponding fall in</w:t>
      </w:r>
      <w:r w:rsidR="00E4733B" w:rsidRPr="00700883">
        <w:rPr>
          <w:rFonts w:ascii="Times New Roman" w:hAnsi="Times New Roman" w:cs="Times New Roman"/>
          <w:sz w:val="24"/>
          <w:szCs w:val="24"/>
        </w:rPr>
        <w:t xml:space="preserve"> </w:t>
      </w:r>
      <w:r w:rsidR="00700883">
        <w:rPr>
          <w:rFonts w:ascii="Times New Roman" w:hAnsi="Times New Roman" w:cs="Times New Roman"/>
          <w:sz w:val="24"/>
          <w:szCs w:val="24"/>
        </w:rPr>
        <w:t xml:space="preserve">level of </w:t>
      </w:r>
      <w:r w:rsidR="00E4733B" w:rsidRPr="00700883">
        <w:rPr>
          <w:rFonts w:ascii="Times New Roman" w:hAnsi="Times New Roman" w:cs="Times New Roman"/>
          <w:sz w:val="24"/>
          <w:szCs w:val="24"/>
        </w:rPr>
        <w:t>investment</w:t>
      </w:r>
      <w:r w:rsidR="000E52FD" w:rsidRPr="00700883">
        <w:rPr>
          <w:rFonts w:ascii="Times New Roman" w:hAnsi="Times New Roman" w:cs="Times New Roman"/>
          <w:sz w:val="24"/>
          <w:szCs w:val="24"/>
        </w:rPr>
        <w:t xml:space="preserve"> (Wakef</w:t>
      </w:r>
      <w:r w:rsidR="000E52FD" w:rsidRPr="00F979E7">
        <w:rPr>
          <w:rFonts w:ascii="Times New Roman" w:hAnsi="Times New Roman" w:cs="Times New Roman"/>
          <w:sz w:val="24"/>
          <w:szCs w:val="24"/>
        </w:rPr>
        <w:t>ord,</w:t>
      </w:r>
      <w:r w:rsidR="000E52FD" w:rsidRPr="000E52FD">
        <w:rPr>
          <w:rFonts w:ascii="Times New Roman" w:hAnsi="Times New Roman" w:cs="Times New Roman"/>
          <w:sz w:val="24"/>
          <w:szCs w:val="24"/>
        </w:rPr>
        <w:t xml:space="preserve"> 2006)</w:t>
      </w:r>
      <w:r w:rsidR="00E4733B" w:rsidRPr="000E52FD">
        <w:rPr>
          <w:rFonts w:ascii="Times New Roman" w:hAnsi="Times New Roman" w:cs="Times New Roman"/>
          <w:sz w:val="24"/>
          <w:szCs w:val="24"/>
        </w:rPr>
        <w:t xml:space="preserve">. </w:t>
      </w:r>
      <w:r w:rsidR="00700883">
        <w:rPr>
          <w:rFonts w:ascii="Times New Roman" w:hAnsi="Times New Roman" w:cs="Times New Roman"/>
          <w:sz w:val="24"/>
          <w:szCs w:val="24"/>
        </w:rPr>
        <w:t xml:space="preserve">Consequently, this results to a fall in </w:t>
      </w:r>
      <w:r w:rsidR="001B3D74" w:rsidRPr="000E52FD">
        <w:rPr>
          <w:rFonts w:ascii="Times New Roman" w:hAnsi="Times New Roman" w:cs="Times New Roman"/>
          <w:sz w:val="24"/>
          <w:szCs w:val="24"/>
        </w:rPr>
        <w:t>t</w:t>
      </w:r>
      <w:r w:rsidR="00E4733B" w:rsidRPr="000E52FD">
        <w:rPr>
          <w:rFonts w:ascii="Times New Roman" w:hAnsi="Times New Roman" w:cs="Times New Roman"/>
          <w:sz w:val="24"/>
          <w:szCs w:val="24"/>
        </w:rPr>
        <w:t xml:space="preserve">ax revenues and </w:t>
      </w:r>
      <w:r w:rsidR="00700883">
        <w:rPr>
          <w:rFonts w:ascii="Times New Roman" w:hAnsi="Times New Roman" w:cs="Times New Roman"/>
          <w:sz w:val="24"/>
          <w:szCs w:val="24"/>
        </w:rPr>
        <w:t>increase in</w:t>
      </w:r>
      <w:r w:rsidR="00E4733B" w:rsidRPr="000E52FD">
        <w:rPr>
          <w:rFonts w:ascii="Times New Roman" w:hAnsi="Times New Roman" w:cs="Times New Roman"/>
          <w:sz w:val="24"/>
          <w:szCs w:val="24"/>
        </w:rPr>
        <w:t xml:space="preserve"> budget deficit due to rigidities in government expenditure</w:t>
      </w:r>
      <w:r w:rsidR="00700883">
        <w:rPr>
          <w:rFonts w:ascii="Times New Roman" w:hAnsi="Times New Roman" w:cs="Times New Roman"/>
          <w:sz w:val="24"/>
          <w:szCs w:val="24"/>
        </w:rPr>
        <w:t>, which in turn</w:t>
      </w:r>
      <w:r w:rsidR="00BB5BC1" w:rsidRPr="000E52FD">
        <w:rPr>
          <w:rFonts w:ascii="Times New Roman" w:hAnsi="Times New Roman" w:cs="Times New Roman"/>
          <w:sz w:val="24"/>
          <w:szCs w:val="24"/>
        </w:rPr>
        <w:t xml:space="preserve"> drives interest rates up b</w:t>
      </w:r>
      <w:r w:rsidR="00E4733B" w:rsidRPr="000E52FD">
        <w:rPr>
          <w:rFonts w:ascii="Times New Roman" w:hAnsi="Times New Roman" w:cs="Times New Roman"/>
          <w:sz w:val="24"/>
          <w:szCs w:val="24"/>
        </w:rPr>
        <w:t>ecause of resis</w:t>
      </w:r>
      <w:r w:rsidR="001B3D74" w:rsidRPr="000E52FD">
        <w:rPr>
          <w:rFonts w:ascii="Times New Roman" w:hAnsi="Times New Roman" w:cs="Times New Roman"/>
          <w:sz w:val="24"/>
          <w:szCs w:val="24"/>
        </w:rPr>
        <w:t>tance to real declines in wages.</w:t>
      </w:r>
      <w:r w:rsidR="00E4733B" w:rsidRPr="000E52FD">
        <w:rPr>
          <w:rFonts w:ascii="Times New Roman" w:hAnsi="Times New Roman" w:cs="Times New Roman"/>
          <w:sz w:val="24"/>
          <w:szCs w:val="24"/>
        </w:rPr>
        <w:t xml:space="preserve"> </w:t>
      </w:r>
      <w:r w:rsidR="004B54A9">
        <w:rPr>
          <w:rFonts w:ascii="Times New Roman" w:hAnsi="Times New Roman" w:cs="Times New Roman"/>
          <w:sz w:val="24"/>
          <w:szCs w:val="24"/>
        </w:rPr>
        <w:t>In addition, this increase in o</w:t>
      </w:r>
      <w:r w:rsidR="000E52FD" w:rsidRPr="000E52FD">
        <w:rPr>
          <w:rFonts w:ascii="Times New Roman" w:hAnsi="Times New Roman" w:cs="Times New Roman"/>
          <w:sz w:val="24"/>
          <w:szCs w:val="24"/>
        </w:rPr>
        <w:t xml:space="preserve">il </w:t>
      </w:r>
      <w:r w:rsidR="001B3D74" w:rsidRPr="000E52FD">
        <w:rPr>
          <w:rFonts w:ascii="Times New Roman" w:hAnsi="Times New Roman" w:cs="Times New Roman"/>
          <w:sz w:val="24"/>
          <w:szCs w:val="24"/>
        </w:rPr>
        <w:t xml:space="preserve">price </w:t>
      </w:r>
      <w:r w:rsidR="004B54A9">
        <w:rPr>
          <w:rFonts w:ascii="Times New Roman" w:hAnsi="Times New Roman" w:cs="Times New Roman"/>
          <w:sz w:val="24"/>
          <w:szCs w:val="24"/>
        </w:rPr>
        <w:t>could also</w:t>
      </w:r>
      <w:r w:rsidR="001B3D74" w:rsidRPr="000E52FD">
        <w:rPr>
          <w:rFonts w:ascii="Times New Roman" w:hAnsi="Times New Roman" w:cs="Times New Roman"/>
          <w:sz w:val="24"/>
          <w:szCs w:val="24"/>
        </w:rPr>
        <w:t xml:space="preserve"> </w:t>
      </w:r>
      <w:r w:rsidR="00E4733B" w:rsidRPr="000E52FD">
        <w:rPr>
          <w:rFonts w:ascii="Times New Roman" w:hAnsi="Times New Roman" w:cs="Times New Roman"/>
          <w:sz w:val="24"/>
          <w:szCs w:val="24"/>
        </w:rPr>
        <w:t>leads to upward pressure on nominal wage levels</w:t>
      </w:r>
      <w:r w:rsidR="001B3D74" w:rsidRPr="000E52FD">
        <w:rPr>
          <w:rFonts w:ascii="Times New Roman" w:hAnsi="Times New Roman" w:cs="Times New Roman"/>
          <w:sz w:val="24"/>
          <w:szCs w:val="24"/>
        </w:rPr>
        <w:t xml:space="preserve"> and wage pressures in conjunction</w:t>
      </w:r>
      <w:r w:rsidR="00E4733B" w:rsidRPr="000E52FD">
        <w:rPr>
          <w:rFonts w:ascii="Times New Roman" w:hAnsi="Times New Roman" w:cs="Times New Roman"/>
          <w:sz w:val="24"/>
          <w:szCs w:val="24"/>
        </w:rPr>
        <w:t xml:space="preserve"> with reduced demand</w:t>
      </w:r>
      <w:r w:rsidR="000E52FD" w:rsidRPr="000E52FD">
        <w:rPr>
          <w:rFonts w:ascii="Times New Roman" w:hAnsi="Times New Roman" w:cs="Times New Roman"/>
          <w:sz w:val="24"/>
          <w:szCs w:val="24"/>
        </w:rPr>
        <w:t>, resulting to increase unemployment</w:t>
      </w:r>
      <w:r w:rsidR="00D0201B" w:rsidRPr="000E52FD">
        <w:rPr>
          <w:rFonts w:ascii="Times New Roman" w:hAnsi="Times New Roman" w:cs="Times New Roman"/>
          <w:sz w:val="24"/>
          <w:szCs w:val="24"/>
        </w:rPr>
        <w:t xml:space="preserve"> in the short term</w:t>
      </w:r>
      <w:r w:rsidR="007D6BF2" w:rsidRPr="000E52FD">
        <w:rPr>
          <w:rFonts w:ascii="Times New Roman" w:hAnsi="Times New Roman" w:cs="Times New Roman"/>
          <w:sz w:val="24"/>
          <w:szCs w:val="24"/>
        </w:rPr>
        <w:t>.</w:t>
      </w:r>
      <w:r w:rsidR="00D0201B" w:rsidRPr="000E52FD">
        <w:rPr>
          <w:rFonts w:ascii="Times New Roman" w:hAnsi="Times New Roman" w:cs="Times New Roman"/>
          <w:sz w:val="24"/>
          <w:szCs w:val="24"/>
        </w:rPr>
        <w:t xml:space="preserve"> The</w:t>
      </w:r>
      <w:r w:rsidR="001B3D74" w:rsidRPr="000E52FD">
        <w:rPr>
          <w:rFonts w:ascii="Times New Roman" w:hAnsi="Times New Roman" w:cs="Times New Roman"/>
          <w:sz w:val="24"/>
          <w:szCs w:val="24"/>
        </w:rPr>
        <w:t xml:space="preserve">refore, </w:t>
      </w:r>
      <w:r w:rsidR="00A61AE5">
        <w:rPr>
          <w:rFonts w:ascii="Times New Roman" w:hAnsi="Times New Roman" w:cs="Times New Roman"/>
          <w:sz w:val="24"/>
          <w:szCs w:val="24"/>
        </w:rPr>
        <w:t xml:space="preserve">as </w:t>
      </w:r>
      <w:r w:rsidR="00A61AE5" w:rsidRPr="000E52FD">
        <w:rPr>
          <w:rFonts w:ascii="Times New Roman" w:hAnsi="Times New Roman" w:cs="Times New Roman"/>
          <w:sz w:val="24"/>
          <w:szCs w:val="24"/>
        </w:rPr>
        <w:t>this</w:t>
      </w:r>
      <w:r w:rsidR="00D0201B" w:rsidRPr="000E52FD">
        <w:rPr>
          <w:rFonts w:ascii="Times New Roman" w:hAnsi="Times New Roman" w:cs="Times New Roman"/>
          <w:sz w:val="24"/>
          <w:szCs w:val="24"/>
        </w:rPr>
        <w:t xml:space="preserve"> </w:t>
      </w:r>
      <w:r w:rsidR="00A61AE5">
        <w:rPr>
          <w:rFonts w:ascii="Times New Roman" w:hAnsi="Times New Roman" w:cs="Times New Roman"/>
          <w:sz w:val="24"/>
          <w:szCs w:val="24"/>
        </w:rPr>
        <w:t xml:space="preserve">effect becomes more severe, </w:t>
      </w:r>
      <w:r w:rsidR="001B3D74" w:rsidRPr="000E52FD">
        <w:rPr>
          <w:rFonts w:ascii="Times New Roman" w:hAnsi="Times New Roman" w:cs="Times New Roman"/>
          <w:sz w:val="24"/>
          <w:szCs w:val="24"/>
        </w:rPr>
        <w:t>the more sudden and p</w:t>
      </w:r>
      <w:r w:rsidR="00E4733B" w:rsidRPr="000E52FD">
        <w:rPr>
          <w:rFonts w:ascii="Times New Roman" w:hAnsi="Times New Roman" w:cs="Times New Roman"/>
          <w:sz w:val="24"/>
          <w:szCs w:val="24"/>
        </w:rPr>
        <w:t xml:space="preserve">ronounced the </w:t>
      </w:r>
      <w:r w:rsidR="00A61AE5" w:rsidRPr="000E52FD">
        <w:rPr>
          <w:rFonts w:ascii="Times New Roman" w:hAnsi="Times New Roman" w:cs="Times New Roman"/>
          <w:sz w:val="24"/>
          <w:szCs w:val="24"/>
        </w:rPr>
        <w:t>prices increase</w:t>
      </w:r>
      <w:r w:rsidR="00A61AE5">
        <w:rPr>
          <w:rFonts w:ascii="Times New Roman" w:hAnsi="Times New Roman" w:cs="Times New Roman"/>
          <w:sz w:val="24"/>
          <w:szCs w:val="24"/>
        </w:rPr>
        <w:t xml:space="preserve"> with a</w:t>
      </w:r>
      <w:r w:rsidR="00E4733B" w:rsidRPr="000E52FD">
        <w:rPr>
          <w:rFonts w:ascii="Times New Roman" w:hAnsi="Times New Roman" w:cs="Times New Roman"/>
          <w:sz w:val="24"/>
          <w:szCs w:val="24"/>
        </w:rPr>
        <w:t xml:space="preserve"> magnified impact on consumer and business confidence (</w:t>
      </w:r>
      <w:r w:rsidR="00E4733B" w:rsidRPr="00F979E7">
        <w:rPr>
          <w:rFonts w:ascii="Times New Roman" w:hAnsi="Times New Roman" w:cs="Times New Roman"/>
          <w:sz w:val="24"/>
          <w:szCs w:val="24"/>
        </w:rPr>
        <w:t>Majidi,</w:t>
      </w:r>
      <w:r w:rsidR="00E4733B" w:rsidRPr="000E52FD">
        <w:rPr>
          <w:rFonts w:ascii="Times New Roman" w:hAnsi="Times New Roman" w:cs="Times New Roman"/>
          <w:sz w:val="24"/>
          <w:szCs w:val="24"/>
        </w:rPr>
        <w:t xml:space="preserve"> 2006).</w:t>
      </w:r>
      <w:r w:rsidR="00127D61">
        <w:rPr>
          <w:rFonts w:ascii="Times New Roman" w:hAnsi="Times New Roman" w:cs="Times New Roman"/>
          <w:sz w:val="24"/>
          <w:szCs w:val="24"/>
        </w:rPr>
        <w:t xml:space="preserve"> </w:t>
      </w:r>
    </w:p>
    <w:p w:rsidR="00C12890" w:rsidRDefault="00C12890" w:rsidP="00127D61">
      <w:pPr>
        <w:autoSpaceDE w:val="0"/>
        <w:autoSpaceDN w:val="0"/>
        <w:adjustRightInd w:val="0"/>
        <w:spacing w:after="0" w:line="240" w:lineRule="auto"/>
        <w:jc w:val="both"/>
        <w:rPr>
          <w:rFonts w:ascii="Times New Roman" w:hAnsi="Times New Roman" w:cs="Times New Roman"/>
          <w:sz w:val="24"/>
          <w:szCs w:val="24"/>
        </w:rPr>
      </w:pPr>
    </w:p>
    <w:p w:rsidR="006339FD" w:rsidRPr="00E52678" w:rsidRDefault="00127D61" w:rsidP="00695219">
      <w:pPr>
        <w:autoSpaceDE w:val="0"/>
        <w:autoSpaceDN w:val="0"/>
        <w:adjustRightInd w:val="0"/>
        <w:spacing w:after="0" w:line="240" w:lineRule="auto"/>
        <w:jc w:val="both"/>
        <w:rPr>
          <w:rFonts w:ascii="Times New Roman" w:hAnsi="Times New Roman" w:cs="Times New Roman"/>
          <w:sz w:val="24"/>
          <w:szCs w:val="24"/>
        </w:rPr>
      </w:pPr>
      <w:r w:rsidRPr="00C12890">
        <w:rPr>
          <w:rFonts w:ascii="Times New Roman" w:hAnsi="Times New Roman" w:cs="Times New Roman"/>
          <w:sz w:val="24"/>
          <w:szCs w:val="24"/>
        </w:rPr>
        <w:t xml:space="preserve">Nonetheless, </w:t>
      </w:r>
      <w:r w:rsidR="00C12890" w:rsidRPr="00C12890">
        <w:rPr>
          <w:rFonts w:ascii="Times New Roman" w:hAnsi="Times New Roman" w:cs="Times New Roman"/>
          <w:sz w:val="24"/>
          <w:szCs w:val="24"/>
        </w:rPr>
        <w:t xml:space="preserve">the Nigeria </w:t>
      </w:r>
      <w:r w:rsidR="00A645EF" w:rsidRPr="00C12890">
        <w:rPr>
          <w:rFonts w:ascii="Times New Roman" w:hAnsi="Times New Roman" w:cs="Times New Roman"/>
          <w:sz w:val="24"/>
          <w:szCs w:val="24"/>
        </w:rPr>
        <w:t xml:space="preserve">crude oil output has been severely affected by increasing theft, </w:t>
      </w:r>
      <w:r w:rsidR="00C12890" w:rsidRPr="00C12890">
        <w:rPr>
          <w:rFonts w:ascii="Times New Roman" w:hAnsi="Times New Roman" w:cs="Times New Roman"/>
          <w:sz w:val="24"/>
          <w:szCs w:val="24"/>
        </w:rPr>
        <w:t xml:space="preserve">persistent insurgent attack such as the </w:t>
      </w:r>
      <w:r w:rsidR="00A645EF" w:rsidRPr="00C12890">
        <w:rPr>
          <w:rFonts w:ascii="Times New Roman" w:hAnsi="Times New Roman" w:cs="Times New Roman"/>
          <w:sz w:val="24"/>
          <w:szCs w:val="24"/>
        </w:rPr>
        <w:t xml:space="preserve">Niger-Delta, </w:t>
      </w:r>
      <w:r w:rsidR="00C12890" w:rsidRPr="00C12890">
        <w:rPr>
          <w:rFonts w:ascii="Times New Roman" w:hAnsi="Times New Roman" w:cs="Times New Roman"/>
          <w:sz w:val="24"/>
          <w:szCs w:val="24"/>
        </w:rPr>
        <w:t>worsened by</w:t>
      </w:r>
      <w:r w:rsidR="00A645EF" w:rsidRPr="00C12890">
        <w:rPr>
          <w:rFonts w:ascii="Times New Roman" w:hAnsi="Times New Roman" w:cs="Times New Roman"/>
          <w:sz w:val="24"/>
          <w:szCs w:val="24"/>
        </w:rPr>
        <w:t xml:space="preserve"> a continuous decline in </w:t>
      </w:r>
      <w:r w:rsidR="00C12890" w:rsidRPr="00C12890">
        <w:rPr>
          <w:rFonts w:ascii="Times New Roman" w:hAnsi="Times New Roman" w:cs="Times New Roman"/>
          <w:sz w:val="24"/>
          <w:szCs w:val="24"/>
        </w:rPr>
        <w:t xml:space="preserve">crude oil </w:t>
      </w:r>
      <w:r w:rsidR="00131231">
        <w:rPr>
          <w:rFonts w:ascii="Times New Roman" w:hAnsi="Times New Roman" w:cs="Times New Roman"/>
          <w:sz w:val="24"/>
          <w:szCs w:val="24"/>
        </w:rPr>
        <w:t>price in the world market. This continues decline may cause a fall in</w:t>
      </w:r>
      <w:r w:rsidR="00A645EF" w:rsidRPr="00C12890">
        <w:rPr>
          <w:rFonts w:ascii="Times New Roman" w:hAnsi="Times New Roman" w:cs="Times New Roman"/>
          <w:sz w:val="24"/>
          <w:szCs w:val="24"/>
        </w:rPr>
        <w:t xml:space="preserve"> foreign exchange earnings</w:t>
      </w:r>
      <w:r w:rsidR="00131231">
        <w:rPr>
          <w:rFonts w:ascii="Times New Roman" w:hAnsi="Times New Roman" w:cs="Times New Roman"/>
          <w:sz w:val="24"/>
          <w:szCs w:val="24"/>
        </w:rPr>
        <w:t xml:space="preserve"> of the country especially in the case of mono-product economy </w:t>
      </w:r>
      <w:r w:rsidR="00A645EF" w:rsidRPr="00C12890">
        <w:rPr>
          <w:rFonts w:ascii="Times New Roman" w:hAnsi="Times New Roman" w:cs="Times New Roman"/>
          <w:sz w:val="24"/>
          <w:szCs w:val="24"/>
        </w:rPr>
        <w:t xml:space="preserve">and </w:t>
      </w:r>
      <w:r w:rsidR="00131231">
        <w:rPr>
          <w:rFonts w:ascii="Times New Roman" w:hAnsi="Times New Roman" w:cs="Times New Roman"/>
          <w:sz w:val="24"/>
          <w:szCs w:val="24"/>
        </w:rPr>
        <w:t xml:space="preserve">consequently resulting to a fall in </w:t>
      </w:r>
      <w:r w:rsidR="00A645EF" w:rsidRPr="00C12890">
        <w:rPr>
          <w:rFonts w:ascii="Times New Roman" w:hAnsi="Times New Roman" w:cs="Times New Roman"/>
          <w:sz w:val="24"/>
          <w:szCs w:val="24"/>
        </w:rPr>
        <w:t xml:space="preserve">the capacity of the Central Bank of Nigeria (CBN) to fund foreign exchange market. The low </w:t>
      </w:r>
      <w:r w:rsidR="00C12890" w:rsidRPr="00C12890">
        <w:rPr>
          <w:rFonts w:ascii="Times New Roman" w:hAnsi="Times New Roman" w:cs="Times New Roman"/>
          <w:sz w:val="24"/>
          <w:szCs w:val="24"/>
        </w:rPr>
        <w:t>level of foreign exchange reserve has induced</w:t>
      </w:r>
      <w:r w:rsidR="00A645EF" w:rsidRPr="00C12890">
        <w:rPr>
          <w:rFonts w:ascii="Times New Roman" w:hAnsi="Times New Roman" w:cs="Times New Roman"/>
          <w:sz w:val="24"/>
          <w:szCs w:val="24"/>
        </w:rPr>
        <w:t xml:space="preserve"> free movement of exchange rate and as a result, has implication on the demand side. The demand </w:t>
      </w:r>
      <w:r w:rsidR="00C12890" w:rsidRPr="00C12890">
        <w:rPr>
          <w:rFonts w:ascii="Times New Roman" w:hAnsi="Times New Roman" w:cs="Times New Roman"/>
          <w:sz w:val="24"/>
          <w:szCs w:val="24"/>
        </w:rPr>
        <w:t>for</w:t>
      </w:r>
      <w:r w:rsidR="00A645EF" w:rsidRPr="00C12890">
        <w:rPr>
          <w:rFonts w:ascii="Times New Roman" w:hAnsi="Times New Roman" w:cs="Times New Roman"/>
          <w:sz w:val="24"/>
          <w:szCs w:val="24"/>
        </w:rPr>
        <w:t xml:space="preserve"> foreign exchange has been on increase in </w:t>
      </w:r>
      <w:r w:rsidR="00C12890" w:rsidRPr="00C12890">
        <w:rPr>
          <w:rFonts w:ascii="Times New Roman" w:hAnsi="Times New Roman" w:cs="Times New Roman"/>
          <w:sz w:val="24"/>
          <w:szCs w:val="24"/>
        </w:rPr>
        <w:t>present</w:t>
      </w:r>
      <w:r w:rsidR="00A645EF" w:rsidRPr="00C12890">
        <w:rPr>
          <w:rFonts w:ascii="Times New Roman" w:hAnsi="Times New Roman" w:cs="Times New Roman"/>
          <w:sz w:val="24"/>
          <w:szCs w:val="24"/>
        </w:rPr>
        <w:t xml:space="preserve"> </w:t>
      </w:r>
      <w:r w:rsidR="00C12890" w:rsidRPr="00C12890">
        <w:rPr>
          <w:rFonts w:ascii="Times New Roman" w:hAnsi="Times New Roman" w:cs="Times New Roman"/>
          <w:sz w:val="24"/>
          <w:szCs w:val="24"/>
        </w:rPr>
        <w:t>time</w:t>
      </w:r>
      <w:r w:rsidR="00A645EF" w:rsidRPr="00C12890">
        <w:rPr>
          <w:rFonts w:ascii="Times New Roman" w:hAnsi="Times New Roman" w:cs="Times New Roman"/>
          <w:sz w:val="24"/>
          <w:szCs w:val="24"/>
        </w:rPr>
        <w:t xml:space="preserve"> </w:t>
      </w:r>
      <w:r w:rsidR="00C12890" w:rsidRPr="00C12890">
        <w:rPr>
          <w:rFonts w:ascii="Times New Roman" w:hAnsi="Times New Roman" w:cs="Times New Roman"/>
          <w:sz w:val="24"/>
          <w:szCs w:val="24"/>
        </w:rPr>
        <w:t>due to</w:t>
      </w:r>
      <w:r w:rsidR="00A645EF" w:rsidRPr="00C12890">
        <w:rPr>
          <w:rFonts w:ascii="Times New Roman" w:hAnsi="Times New Roman" w:cs="Times New Roman"/>
          <w:sz w:val="24"/>
          <w:szCs w:val="24"/>
        </w:rPr>
        <w:t xml:space="preserve"> high demand for imported finish products, dependence of the industrial sector on imported raw materials and other input, capital flow reversals by portfolio investments and high speculative demand </w:t>
      </w:r>
      <w:r w:rsidR="002B3BF7">
        <w:rPr>
          <w:rFonts w:ascii="Times New Roman" w:hAnsi="Times New Roman" w:cs="Times New Roman"/>
          <w:sz w:val="24"/>
          <w:szCs w:val="24"/>
        </w:rPr>
        <w:t>has</w:t>
      </w:r>
      <w:r w:rsidR="00A645EF" w:rsidRPr="00C12890">
        <w:rPr>
          <w:rFonts w:ascii="Times New Roman" w:hAnsi="Times New Roman" w:cs="Times New Roman"/>
          <w:sz w:val="24"/>
          <w:szCs w:val="24"/>
        </w:rPr>
        <w:t xml:space="preserve"> </w:t>
      </w:r>
      <w:r w:rsidR="00A645EF" w:rsidRPr="00C12890">
        <w:rPr>
          <w:rFonts w:ascii="Times New Roman" w:hAnsi="Times New Roman" w:cs="Times New Roman"/>
          <w:sz w:val="24"/>
          <w:szCs w:val="24"/>
        </w:rPr>
        <w:lastRenderedPageBreak/>
        <w:t>cause</w:t>
      </w:r>
      <w:r w:rsidR="002B3BF7">
        <w:rPr>
          <w:rFonts w:ascii="Times New Roman" w:hAnsi="Times New Roman" w:cs="Times New Roman"/>
          <w:sz w:val="24"/>
          <w:szCs w:val="24"/>
        </w:rPr>
        <w:t>d</w:t>
      </w:r>
      <w:r w:rsidR="00A645EF" w:rsidRPr="00C12890">
        <w:rPr>
          <w:rFonts w:ascii="Times New Roman" w:hAnsi="Times New Roman" w:cs="Times New Roman"/>
          <w:sz w:val="24"/>
          <w:szCs w:val="24"/>
        </w:rPr>
        <w:t xml:space="preserve"> uncertainty in the foreign exchange market </w:t>
      </w:r>
      <w:r w:rsidR="00A645EF" w:rsidRPr="008C6635">
        <w:rPr>
          <w:rFonts w:ascii="Times New Roman" w:hAnsi="Times New Roman" w:cs="Times New Roman"/>
          <w:sz w:val="24"/>
          <w:szCs w:val="24"/>
        </w:rPr>
        <w:t>(CBN, 2013). Consequently, the increased foreign exchange demand in the face of unstable supply cause</w:t>
      </w:r>
      <w:r w:rsidR="002B3BF7" w:rsidRPr="008C6635">
        <w:rPr>
          <w:rFonts w:ascii="Times New Roman" w:hAnsi="Times New Roman" w:cs="Times New Roman"/>
          <w:sz w:val="24"/>
          <w:szCs w:val="24"/>
        </w:rPr>
        <w:t>d</w:t>
      </w:r>
      <w:r w:rsidR="00A645EF" w:rsidRPr="00C12890">
        <w:rPr>
          <w:rFonts w:ascii="Times New Roman" w:hAnsi="Times New Roman" w:cs="Times New Roman"/>
          <w:sz w:val="24"/>
          <w:szCs w:val="24"/>
        </w:rPr>
        <w:t xml:space="preserve"> exchange rate volatility</w:t>
      </w:r>
      <w:r w:rsidR="00A645EF" w:rsidRPr="002B3BF7">
        <w:rPr>
          <w:rFonts w:ascii="Times New Roman" w:hAnsi="Times New Roman" w:cs="Times New Roman"/>
          <w:sz w:val="24"/>
          <w:szCs w:val="24"/>
        </w:rPr>
        <w:t xml:space="preserve">. Be that as it may, </w:t>
      </w:r>
      <w:r w:rsidR="00A47A2F" w:rsidRPr="002B3BF7">
        <w:rPr>
          <w:rFonts w:ascii="Times New Roman" w:hAnsi="Times New Roman" w:cs="Times New Roman"/>
          <w:sz w:val="24"/>
          <w:szCs w:val="24"/>
        </w:rPr>
        <w:t xml:space="preserve">the oscillation </w:t>
      </w:r>
      <w:r w:rsidR="002B3BF7" w:rsidRPr="002B3BF7">
        <w:rPr>
          <w:rFonts w:ascii="Times New Roman" w:hAnsi="Times New Roman" w:cs="Times New Roman"/>
          <w:sz w:val="24"/>
          <w:szCs w:val="24"/>
        </w:rPr>
        <w:t xml:space="preserve">in </w:t>
      </w:r>
      <w:r w:rsidR="00A47A2F" w:rsidRPr="002B3BF7">
        <w:rPr>
          <w:rFonts w:ascii="Times New Roman" w:hAnsi="Times New Roman" w:cs="Times New Roman"/>
          <w:sz w:val="24"/>
          <w:szCs w:val="24"/>
        </w:rPr>
        <w:t>o</w:t>
      </w:r>
      <w:r w:rsidR="00A645EF" w:rsidRPr="002B3BF7">
        <w:rPr>
          <w:rFonts w:ascii="Times New Roman" w:hAnsi="Times New Roman" w:cs="Times New Roman"/>
          <w:sz w:val="24"/>
          <w:szCs w:val="24"/>
        </w:rPr>
        <w:t xml:space="preserve">il price can benefit </w:t>
      </w:r>
      <w:r w:rsidR="00A47A2F" w:rsidRPr="002B3BF7">
        <w:rPr>
          <w:rFonts w:ascii="Times New Roman" w:hAnsi="Times New Roman" w:cs="Times New Roman"/>
          <w:sz w:val="24"/>
          <w:szCs w:val="24"/>
        </w:rPr>
        <w:t>or</w:t>
      </w:r>
      <w:r w:rsidR="00A645EF" w:rsidRPr="002B3BF7">
        <w:rPr>
          <w:rFonts w:ascii="Times New Roman" w:hAnsi="Times New Roman" w:cs="Times New Roman"/>
          <w:sz w:val="24"/>
          <w:szCs w:val="24"/>
        </w:rPr>
        <w:t xml:space="preserve"> hurt </w:t>
      </w:r>
      <w:r w:rsidR="00C12890" w:rsidRPr="002B3BF7">
        <w:rPr>
          <w:rFonts w:ascii="Times New Roman" w:hAnsi="Times New Roman" w:cs="Times New Roman"/>
          <w:sz w:val="24"/>
          <w:szCs w:val="24"/>
        </w:rPr>
        <w:t>an</w:t>
      </w:r>
      <w:r w:rsidR="00A645EF" w:rsidRPr="002B3BF7">
        <w:rPr>
          <w:rFonts w:ascii="Times New Roman" w:hAnsi="Times New Roman" w:cs="Times New Roman"/>
          <w:sz w:val="24"/>
          <w:szCs w:val="24"/>
        </w:rPr>
        <w:t xml:space="preserve"> economy (Oriakhi and Osaze, 201</w:t>
      </w:r>
      <w:r w:rsidR="001F4577">
        <w:rPr>
          <w:rFonts w:ascii="Times New Roman" w:hAnsi="Times New Roman" w:cs="Times New Roman"/>
          <w:sz w:val="24"/>
          <w:szCs w:val="24"/>
        </w:rPr>
        <w:t>3</w:t>
      </w:r>
      <w:r w:rsidR="00A645EF" w:rsidRPr="002B3BF7">
        <w:rPr>
          <w:rFonts w:ascii="Times New Roman" w:hAnsi="Times New Roman" w:cs="Times New Roman"/>
          <w:sz w:val="24"/>
          <w:szCs w:val="24"/>
        </w:rPr>
        <w:t xml:space="preserve">). </w:t>
      </w:r>
      <w:r w:rsidR="00A47A2F" w:rsidRPr="002B3BF7">
        <w:rPr>
          <w:rFonts w:ascii="Times New Roman" w:hAnsi="Times New Roman" w:cs="Times New Roman"/>
          <w:sz w:val="24"/>
          <w:szCs w:val="24"/>
        </w:rPr>
        <w:t>The higher the oscillation, the more volatile the output of oil rich countries and government revenue</w:t>
      </w:r>
      <w:r w:rsidR="00A01FF8" w:rsidRPr="002B3BF7">
        <w:rPr>
          <w:rFonts w:ascii="Times New Roman" w:hAnsi="Times New Roman" w:cs="Times New Roman"/>
          <w:sz w:val="24"/>
          <w:szCs w:val="24"/>
        </w:rPr>
        <w:t xml:space="preserve"> becomes</w:t>
      </w:r>
      <w:r w:rsidR="00A645EF" w:rsidRPr="002B3BF7">
        <w:rPr>
          <w:rFonts w:ascii="Times New Roman" w:hAnsi="Times New Roman" w:cs="Times New Roman"/>
          <w:sz w:val="24"/>
          <w:szCs w:val="24"/>
        </w:rPr>
        <w:t>.</w:t>
      </w:r>
      <w:r w:rsidR="00A01FF8" w:rsidRPr="002B3BF7">
        <w:rPr>
          <w:rFonts w:ascii="Times New Roman" w:hAnsi="Times New Roman" w:cs="Times New Roman"/>
          <w:sz w:val="24"/>
          <w:szCs w:val="24"/>
        </w:rPr>
        <w:t xml:space="preserve"> Inversely, the current fall in</w:t>
      </w:r>
      <w:r w:rsidR="00A645EF" w:rsidRPr="002B3BF7">
        <w:rPr>
          <w:rFonts w:ascii="Times New Roman" w:hAnsi="Times New Roman" w:cs="Times New Roman"/>
          <w:sz w:val="24"/>
          <w:szCs w:val="24"/>
        </w:rPr>
        <w:t xml:space="preserve"> </w:t>
      </w:r>
      <w:r w:rsidR="00A01FF8" w:rsidRPr="002B3BF7">
        <w:rPr>
          <w:rFonts w:ascii="Times New Roman" w:hAnsi="Times New Roman" w:cs="Times New Roman"/>
          <w:sz w:val="24"/>
          <w:szCs w:val="24"/>
        </w:rPr>
        <w:t>o</w:t>
      </w:r>
      <w:r w:rsidR="00A645EF" w:rsidRPr="002B3BF7">
        <w:rPr>
          <w:rFonts w:ascii="Times New Roman" w:hAnsi="Times New Roman" w:cs="Times New Roman"/>
          <w:sz w:val="24"/>
          <w:szCs w:val="24"/>
        </w:rPr>
        <w:t xml:space="preserve">il price </w:t>
      </w:r>
      <w:r w:rsidR="002B3BF7" w:rsidRPr="002B3BF7">
        <w:rPr>
          <w:rFonts w:ascii="Times New Roman" w:hAnsi="Times New Roman" w:cs="Times New Roman"/>
          <w:sz w:val="24"/>
          <w:szCs w:val="24"/>
        </w:rPr>
        <w:t xml:space="preserve">in Nigeria </w:t>
      </w:r>
      <w:r w:rsidR="00A645EF" w:rsidRPr="002B3BF7">
        <w:rPr>
          <w:rFonts w:ascii="Times New Roman" w:hAnsi="Times New Roman" w:cs="Times New Roman"/>
          <w:sz w:val="24"/>
          <w:szCs w:val="24"/>
        </w:rPr>
        <w:t xml:space="preserve">has affected the index </w:t>
      </w:r>
      <w:r w:rsidR="00A01FF8" w:rsidRPr="002B3BF7">
        <w:rPr>
          <w:rFonts w:ascii="Times New Roman" w:hAnsi="Times New Roman" w:cs="Times New Roman"/>
          <w:sz w:val="24"/>
          <w:szCs w:val="24"/>
        </w:rPr>
        <w:t xml:space="preserve">and </w:t>
      </w:r>
      <w:r w:rsidR="00A645EF" w:rsidRPr="002B3BF7">
        <w:rPr>
          <w:rFonts w:ascii="Times New Roman" w:hAnsi="Times New Roman" w:cs="Times New Roman"/>
          <w:sz w:val="24"/>
          <w:szCs w:val="24"/>
        </w:rPr>
        <w:t xml:space="preserve">continuous depreciation of the </w:t>
      </w:r>
      <w:r w:rsidR="00384DC8">
        <w:rPr>
          <w:rFonts w:ascii="Times New Roman" w:hAnsi="Times New Roman" w:cs="Times New Roman"/>
          <w:sz w:val="24"/>
          <w:szCs w:val="24"/>
        </w:rPr>
        <w:t xml:space="preserve">local currency </w:t>
      </w:r>
      <w:r w:rsidR="00A645EF" w:rsidRPr="002B3BF7">
        <w:rPr>
          <w:rFonts w:ascii="Times New Roman" w:hAnsi="Times New Roman" w:cs="Times New Roman"/>
          <w:sz w:val="24"/>
          <w:szCs w:val="24"/>
        </w:rPr>
        <w:t>(Ismail, 2009)</w:t>
      </w:r>
      <w:r w:rsidR="00384DC8">
        <w:rPr>
          <w:rFonts w:ascii="Times New Roman" w:hAnsi="Times New Roman" w:cs="Times New Roman"/>
          <w:sz w:val="24"/>
          <w:szCs w:val="24"/>
        </w:rPr>
        <w:t xml:space="preserve">. To this point, many analysts tag the </w:t>
      </w:r>
      <w:r w:rsidR="002B3BF7" w:rsidRPr="00384DC8">
        <w:rPr>
          <w:rFonts w:ascii="Times New Roman" w:hAnsi="Times New Roman" w:cs="Times New Roman"/>
          <w:sz w:val="24"/>
          <w:szCs w:val="24"/>
        </w:rPr>
        <w:t xml:space="preserve">current </w:t>
      </w:r>
      <w:r w:rsidR="00A645EF" w:rsidRPr="00384DC8">
        <w:rPr>
          <w:rFonts w:ascii="Times New Roman" w:hAnsi="Times New Roman" w:cs="Times New Roman"/>
          <w:sz w:val="24"/>
          <w:szCs w:val="24"/>
        </w:rPr>
        <w:t>macroeconomic instability</w:t>
      </w:r>
      <w:r w:rsidR="00384DC8" w:rsidRPr="00384DC8">
        <w:rPr>
          <w:rFonts w:ascii="Times New Roman" w:hAnsi="Times New Roman" w:cs="Times New Roman"/>
          <w:sz w:val="24"/>
          <w:szCs w:val="24"/>
        </w:rPr>
        <w:t xml:space="preserve"> in Nigeria to the recent fall in crude oil revenue owing to the fall in oil prices and the </w:t>
      </w:r>
      <w:r w:rsidR="00A645EF" w:rsidRPr="00384DC8">
        <w:rPr>
          <w:rFonts w:ascii="Times New Roman" w:hAnsi="Times New Roman" w:cs="Times New Roman"/>
          <w:sz w:val="24"/>
          <w:szCs w:val="24"/>
        </w:rPr>
        <w:t xml:space="preserve">volatile </w:t>
      </w:r>
      <w:r w:rsidR="00384DC8" w:rsidRPr="00384DC8">
        <w:rPr>
          <w:rFonts w:ascii="Times New Roman" w:hAnsi="Times New Roman" w:cs="Times New Roman"/>
          <w:sz w:val="24"/>
          <w:szCs w:val="24"/>
        </w:rPr>
        <w:t xml:space="preserve">nature of </w:t>
      </w:r>
      <w:r w:rsidR="00A645EF" w:rsidRPr="00384DC8">
        <w:rPr>
          <w:rFonts w:ascii="Times New Roman" w:hAnsi="Times New Roman" w:cs="Times New Roman"/>
          <w:sz w:val="24"/>
          <w:szCs w:val="24"/>
        </w:rPr>
        <w:t>real exchange rate</w:t>
      </w:r>
      <w:r w:rsidR="00384DC8" w:rsidRPr="00384DC8">
        <w:rPr>
          <w:rFonts w:ascii="Times New Roman" w:hAnsi="Times New Roman" w:cs="Times New Roman"/>
          <w:sz w:val="24"/>
          <w:szCs w:val="24"/>
        </w:rPr>
        <w:t xml:space="preserve"> experienced during the first quarter</w:t>
      </w:r>
      <w:r w:rsidR="00A645EF" w:rsidRPr="00384DC8">
        <w:rPr>
          <w:rFonts w:ascii="Times New Roman" w:hAnsi="Times New Roman" w:cs="Times New Roman"/>
          <w:sz w:val="24"/>
          <w:szCs w:val="24"/>
        </w:rPr>
        <w:t>.</w:t>
      </w:r>
      <w:r w:rsidR="00A645EF" w:rsidRPr="002B3BF7">
        <w:rPr>
          <w:rFonts w:ascii="Times New Roman" w:hAnsi="Times New Roman" w:cs="Times New Roman"/>
          <w:sz w:val="24"/>
          <w:szCs w:val="24"/>
        </w:rPr>
        <w:t xml:space="preserve"> </w:t>
      </w:r>
      <w:r w:rsidR="002B3BF7" w:rsidRPr="002B3BF7">
        <w:rPr>
          <w:rFonts w:ascii="Times New Roman" w:hAnsi="Times New Roman" w:cs="Times New Roman"/>
          <w:sz w:val="24"/>
          <w:szCs w:val="24"/>
        </w:rPr>
        <w:t xml:space="preserve">Also, </w:t>
      </w:r>
      <w:r w:rsidR="00A645EF" w:rsidRPr="002B3BF7">
        <w:rPr>
          <w:rFonts w:ascii="Times New Roman" w:hAnsi="Times New Roman" w:cs="Times New Roman"/>
          <w:sz w:val="24"/>
          <w:szCs w:val="24"/>
        </w:rPr>
        <w:t xml:space="preserve">Nigeria’s reliance on oil production for income generation has serious implications </w:t>
      </w:r>
      <w:r w:rsidR="002B3BF7" w:rsidRPr="002B3BF7">
        <w:rPr>
          <w:rFonts w:ascii="Times New Roman" w:hAnsi="Times New Roman" w:cs="Times New Roman"/>
          <w:sz w:val="24"/>
          <w:szCs w:val="24"/>
        </w:rPr>
        <w:t xml:space="preserve">in </w:t>
      </w:r>
      <w:r w:rsidR="00A645EF" w:rsidRPr="002B3BF7">
        <w:rPr>
          <w:rFonts w:ascii="Times New Roman" w:hAnsi="Times New Roman" w:cs="Times New Roman"/>
          <w:sz w:val="24"/>
          <w:szCs w:val="24"/>
        </w:rPr>
        <w:t xml:space="preserve">managing </w:t>
      </w:r>
      <w:r w:rsidR="002B3BF7" w:rsidRPr="002B3BF7">
        <w:rPr>
          <w:rFonts w:ascii="Times New Roman" w:hAnsi="Times New Roman" w:cs="Times New Roman"/>
          <w:sz w:val="24"/>
          <w:szCs w:val="24"/>
        </w:rPr>
        <w:t>her</w:t>
      </w:r>
      <w:r w:rsidR="00A645EF" w:rsidRPr="002B3BF7">
        <w:rPr>
          <w:rFonts w:ascii="Times New Roman" w:hAnsi="Times New Roman" w:cs="Times New Roman"/>
          <w:sz w:val="24"/>
          <w:szCs w:val="24"/>
        </w:rPr>
        <w:t xml:space="preserve"> economic policies.</w:t>
      </w:r>
      <w:r w:rsidR="00A645EF" w:rsidRPr="00A645EF">
        <w:rPr>
          <w:rFonts w:ascii="Times New Roman" w:hAnsi="Times New Roman" w:cs="Times New Roman"/>
          <w:color w:val="FF0000"/>
          <w:sz w:val="24"/>
          <w:szCs w:val="24"/>
        </w:rPr>
        <w:t xml:space="preserve"> </w:t>
      </w:r>
      <w:r w:rsidR="0057465C" w:rsidRPr="0020551C">
        <w:rPr>
          <w:rFonts w:ascii="Times New Roman" w:hAnsi="Times New Roman" w:cs="Times New Roman"/>
          <w:sz w:val="24"/>
          <w:szCs w:val="24"/>
        </w:rPr>
        <w:t>Consequently,</w:t>
      </w:r>
      <w:r w:rsidR="00FC1EA6" w:rsidRPr="0020551C">
        <w:rPr>
          <w:rFonts w:ascii="Times New Roman" w:hAnsi="Times New Roman" w:cs="Times New Roman"/>
          <w:sz w:val="24"/>
          <w:szCs w:val="24"/>
        </w:rPr>
        <w:t xml:space="preserve"> </w:t>
      </w:r>
      <w:r w:rsidR="00682E9F" w:rsidRPr="0020551C">
        <w:rPr>
          <w:rFonts w:ascii="Times New Roman" w:hAnsi="Times New Roman" w:cs="Times New Roman"/>
          <w:sz w:val="24"/>
          <w:szCs w:val="24"/>
        </w:rPr>
        <w:t xml:space="preserve">the </w:t>
      </w:r>
      <w:r w:rsidR="00FC1EA6" w:rsidRPr="0020551C">
        <w:rPr>
          <w:rFonts w:ascii="Times New Roman" w:hAnsi="Times New Roman" w:cs="Times New Roman"/>
          <w:sz w:val="24"/>
          <w:szCs w:val="24"/>
        </w:rPr>
        <w:t xml:space="preserve">short fall on oil revenue occasioned by </w:t>
      </w:r>
      <w:r w:rsidR="00682E9F" w:rsidRPr="0020551C">
        <w:rPr>
          <w:rFonts w:ascii="Times New Roman" w:hAnsi="Times New Roman" w:cs="Times New Roman"/>
          <w:sz w:val="24"/>
          <w:szCs w:val="24"/>
        </w:rPr>
        <w:t>oscillation</w:t>
      </w:r>
      <w:r w:rsidR="00FC1EA6" w:rsidRPr="0020551C">
        <w:rPr>
          <w:rFonts w:ascii="Times New Roman" w:hAnsi="Times New Roman" w:cs="Times New Roman"/>
          <w:sz w:val="24"/>
          <w:szCs w:val="24"/>
        </w:rPr>
        <w:t xml:space="preserve"> in international oil prices had often led to deficit in the country’s budget</w:t>
      </w:r>
      <w:r w:rsidR="0057465C" w:rsidRPr="0020551C">
        <w:rPr>
          <w:rFonts w:ascii="Times New Roman" w:hAnsi="Times New Roman" w:cs="Times New Roman"/>
          <w:sz w:val="24"/>
          <w:szCs w:val="24"/>
        </w:rPr>
        <w:t xml:space="preserve">. These </w:t>
      </w:r>
      <w:r w:rsidR="00FC1EA6" w:rsidRPr="0020551C">
        <w:rPr>
          <w:rFonts w:ascii="Times New Roman" w:hAnsi="Times New Roman" w:cs="Times New Roman"/>
          <w:sz w:val="24"/>
          <w:szCs w:val="24"/>
        </w:rPr>
        <w:t xml:space="preserve">deficits </w:t>
      </w:r>
      <w:r w:rsidR="00682E9F" w:rsidRPr="0020551C">
        <w:rPr>
          <w:rFonts w:ascii="Times New Roman" w:hAnsi="Times New Roman" w:cs="Times New Roman"/>
          <w:sz w:val="24"/>
          <w:szCs w:val="24"/>
        </w:rPr>
        <w:t xml:space="preserve">normally </w:t>
      </w:r>
      <w:r w:rsidR="0057465C" w:rsidRPr="0020551C">
        <w:rPr>
          <w:rFonts w:ascii="Times New Roman" w:hAnsi="Times New Roman" w:cs="Times New Roman"/>
          <w:sz w:val="24"/>
          <w:szCs w:val="24"/>
        </w:rPr>
        <w:t xml:space="preserve">have been managed </w:t>
      </w:r>
      <w:r w:rsidR="00FC1EA6" w:rsidRPr="0020551C">
        <w:rPr>
          <w:rFonts w:ascii="Times New Roman" w:hAnsi="Times New Roman" w:cs="Times New Roman"/>
          <w:sz w:val="24"/>
          <w:szCs w:val="24"/>
        </w:rPr>
        <w:t xml:space="preserve">by external or internal borrowings </w:t>
      </w:r>
      <w:r w:rsidR="00682E9F" w:rsidRPr="0020551C">
        <w:rPr>
          <w:rFonts w:ascii="Times New Roman" w:hAnsi="Times New Roman" w:cs="Times New Roman"/>
          <w:sz w:val="24"/>
          <w:szCs w:val="24"/>
        </w:rPr>
        <w:t>and most likely,</w:t>
      </w:r>
      <w:r w:rsidR="00FC1EA6" w:rsidRPr="0020551C">
        <w:rPr>
          <w:rFonts w:ascii="Times New Roman" w:hAnsi="Times New Roman" w:cs="Times New Roman"/>
          <w:sz w:val="24"/>
          <w:szCs w:val="24"/>
        </w:rPr>
        <w:t xml:space="preserve"> through downward adjustment in </w:t>
      </w:r>
      <w:r w:rsidR="00682E9F" w:rsidRPr="0020551C">
        <w:rPr>
          <w:rFonts w:ascii="Times New Roman" w:hAnsi="Times New Roman" w:cs="Times New Roman"/>
          <w:sz w:val="24"/>
          <w:szCs w:val="24"/>
        </w:rPr>
        <w:t>b</w:t>
      </w:r>
      <w:r w:rsidR="00FC1EA6" w:rsidRPr="0020551C">
        <w:rPr>
          <w:rFonts w:ascii="Times New Roman" w:hAnsi="Times New Roman" w:cs="Times New Roman"/>
          <w:sz w:val="24"/>
          <w:szCs w:val="24"/>
        </w:rPr>
        <w:t xml:space="preserve">udgetary allocation. </w:t>
      </w:r>
      <w:r w:rsidR="001B143A" w:rsidRPr="0020551C">
        <w:rPr>
          <w:rFonts w:ascii="Times New Roman" w:hAnsi="Times New Roman" w:cs="Times New Roman"/>
          <w:sz w:val="24"/>
          <w:szCs w:val="24"/>
        </w:rPr>
        <w:t xml:space="preserve">However, this short fall in oil receipt owing to oscillation in international oil price has negative effect on economy performance </w:t>
      </w:r>
      <w:r w:rsidR="006537D2" w:rsidRPr="0020551C">
        <w:rPr>
          <w:rFonts w:ascii="Times New Roman" w:hAnsi="Times New Roman" w:cs="Times New Roman"/>
          <w:sz w:val="24"/>
          <w:szCs w:val="24"/>
        </w:rPr>
        <w:t xml:space="preserve">best </w:t>
      </w:r>
      <w:r w:rsidR="00FC1EA6" w:rsidRPr="0020551C">
        <w:rPr>
          <w:rFonts w:ascii="Times New Roman" w:hAnsi="Times New Roman" w:cs="Times New Roman"/>
          <w:sz w:val="24"/>
          <w:szCs w:val="24"/>
        </w:rPr>
        <w:t xml:space="preserve">explained by </w:t>
      </w:r>
      <w:r w:rsidR="006537D2" w:rsidRPr="00297ECA">
        <w:rPr>
          <w:rFonts w:ascii="Times New Roman" w:hAnsi="Times New Roman" w:cs="Times New Roman"/>
          <w:sz w:val="24"/>
          <w:szCs w:val="24"/>
        </w:rPr>
        <w:t>Dutch Disease</w:t>
      </w:r>
      <w:r w:rsidR="00B42655" w:rsidRPr="00297ECA">
        <w:rPr>
          <w:rFonts w:ascii="Times New Roman" w:hAnsi="Times New Roman" w:cs="Times New Roman"/>
          <w:sz w:val="24"/>
          <w:szCs w:val="24"/>
        </w:rPr>
        <w:t xml:space="preserve">. </w:t>
      </w:r>
      <w:r w:rsidR="006537D2" w:rsidRPr="00297ECA">
        <w:rPr>
          <w:rFonts w:ascii="Times New Roman" w:hAnsi="Times New Roman" w:cs="Times New Roman"/>
          <w:sz w:val="24"/>
          <w:szCs w:val="24"/>
        </w:rPr>
        <w:t xml:space="preserve"> </w:t>
      </w:r>
      <w:r w:rsidR="00B42655" w:rsidRPr="00297ECA">
        <w:rPr>
          <w:rFonts w:ascii="Times New Roman" w:hAnsi="Times New Roman" w:cs="Times New Roman"/>
          <w:sz w:val="24"/>
          <w:szCs w:val="24"/>
        </w:rPr>
        <w:t xml:space="preserve">This </w:t>
      </w:r>
      <w:r w:rsidR="00FC1EA6" w:rsidRPr="00297ECA">
        <w:rPr>
          <w:rFonts w:ascii="Times New Roman" w:hAnsi="Times New Roman" w:cs="Times New Roman"/>
          <w:sz w:val="24"/>
          <w:szCs w:val="24"/>
        </w:rPr>
        <w:t>syndrome</w:t>
      </w:r>
      <w:r w:rsidR="001B143A" w:rsidRPr="00297ECA">
        <w:rPr>
          <w:rFonts w:ascii="Times New Roman" w:hAnsi="Times New Roman" w:cs="Times New Roman"/>
          <w:sz w:val="24"/>
          <w:szCs w:val="24"/>
        </w:rPr>
        <w:t xml:space="preserve"> </w:t>
      </w:r>
      <w:r w:rsidR="006537D2" w:rsidRPr="00297ECA">
        <w:rPr>
          <w:rFonts w:ascii="Times New Roman" w:hAnsi="Times New Roman" w:cs="Times New Roman"/>
          <w:sz w:val="24"/>
          <w:szCs w:val="24"/>
        </w:rPr>
        <w:t xml:space="preserve">explains the </w:t>
      </w:r>
      <w:r w:rsidR="00B42655" w:rsidRPr="00297ECA">
        <w:rPr>
          <w:rFonts w:ascii="Times New Roman" w:hAnsi="Times New Roman" w:cs="Times New Roman"/>
          <w:sz w:val="24"/>
          <w:szCs w:val="24"/>
        </w:rPr>
        <w:t xml:space="preserve">possibility of </w:t>
      </w:r>
      <w:r w:rsidR="00FC1EA6" w:rsidRPr="00297ECA">
        <w:rPr>
          <w:rFonts w:ascii="Times New Roman" w:hAnsi="Times New Roman" w:cs="Times New Roman"/>
          <w:sz w:val="24"/>
          <w:szCs w:val="24"/>
        </w:rPr>
        <w:t xml:space="preserve">decline in </w:t>
      </w:r>
      <w:r w:rsidR="00B42655" w:rsidRPr="00297ECA">
        <w:rPr>
          <w:rFonts w:ascii="Times New Roman" w:hAnsi="Times New Roman" w:cs="Times New Roman"/>
          <w:sz w:val="24"/>
          <w:szCs w:val="24"/>
        </w:rPr>
        <w:t xml:space="preserve">the productivity of </w:t>
      </w:r>
      <w:r w:rsidR="00FC1EA6" w:rsidRPr="00297ECA">
        <w:rPr>
          <w:rFonts w:ascii="Times New Roman" w:hAnsi="Times New Roman" w:cs="Times New Roman"/>
          <w:sz w:val="24"/>
          <w:szCs w:val="24"/>
        </w:rPr>
        <w:t>manufacturing sector</w:t>
      </w:r>
      <w:r w:rsidR="006537D2" w:rsidRPr="00297ECA">
        <w:rPr>
          <w:rFonts w:ascii="Times New Roman" w:hAnsi="Times New Roman" w:cs="Times New Roman"/>
          <w:sz w:val="24"/>
          <w:szCs w:val="24"/>
        </w:rPr>
        <w:t xml:space="preserve"> </w:t>
      </w:r>
      <w:r w:rsidR="00B42655" w:rsidRPr="00297ECA">
        <w:rPr>
          <w:rFonts w:ascii="Times New Roman" w:hAnsi="Times New Roman" w:cs="Times New Roman"/>
          <w:sz w:val="24"/>
          <w:szCs w:val="24"/>
        </w:rPr>
        <w:t>regardless of</w:t>
      </w:r>
      <w:r w:rsidR="00297ECA" w:rsidRPr="00297ECA">
        <w:rPr>
          <w:rFonts w:ascii="Times New Roman" w:hAnsi="Times New Roman" w:cs="Times New Roman"/>
          <w:sz w:val="24"/>
          <w:szCs w:val="24"/>
        </w:rPr>
        <w:t xml:space="preserve"> any</w:t>
      </w:r>
      <w:r w:rsidR="00FC1EA6" w:rsidRPr="00297ECA">
        <w:rPr>
          <w:rFonts w:ascii="Times New Roman" w:hAnsi="Times New Roman" w:cs="Times New Roman"/>
          <w:sz w:val="24"/>
          <w:szCs w:val="24"/>
        </w:rPr>
        <w:t xml:space="preserve"> </w:t>
      </w:r>
      <w:r w:rsidR="00B02E9C">
        <w:rPr>
          <w:rFonts w:ascii="Times New Roman" w:hAnsi="Times New Roman" w:cs="Times New Roman"/>
          <w:sz w:val="24"/>
          <w:szCs w:val="24"/>
        </w:rPr>
        <w:t>i</w:t>
      </w:r>
      <w:r w:rsidR="00FC1EA6" w:rsidRPr="00297ECA">
        <w:rPr>
          <w:rFonts w:ascii="Times New Roman" w:hAnsi="Times New Roman" w:cs="Times New Roman"/>
          <w:sz w:val="24"/>
          <w:szCs w:val="24"/>
        </w:rPr>
        <w:t>ncrease in the exploitation of natural resources.</w:t>
      </w:r>
      <w:r w:rsidR="00FC1EA6" w:rsidRPr="002A57E2">
        <w:rPr>
          <w:rFonts w:ascii="Times New Roman" w:hAnsi="Times New Roman" w:cs="Times New Roman"/>
          <w:color w:val="FF0000"/>
          <w:sz w:val="24"/>
          <w:szCs w:val="24"/>
        </w:rPr>
        <w:t xml:space="preserve"> </w:t>
      </w:r>
      <w:r w:rsidR="00B02E9C" w:rsidRPr="00E52678">
        <w:rPr>
          <w:rFonts w:ascii="Times New Roman" w:hAnsi="Times New Roman" w:cs="Times New Roman"/>
          <w:sz w:val="24"/>
          <w:szCs w:val="24"/>
        </w:rPr>
        <w:t>This affects the development of many emerging economies due to over dependent in oil revenue</w:t>
      </w:r>
      <w:r w:rsidR="001B143A" w:rsidRPr="00E52678">
        <w:rPr>
          <w:rFonts w:ascii="Times New Roman" w:hAnsi="Times New Roman" w:cs="Times New Roman"/>
          <w:sz w:val="24"/>
          <w:szCs w:val="24"/>
        </w:rPr>
        <w:t>.</w:t>
      </w:r>
      <w:r w:rsidR="00185439" w:rsidRPr="00E52678">
        <w:rPr>
          <w:rFonts w:ascii="Times New Roman" w:hAnsi="Times New Roman" w:cs="Times New Roman"/>
          <w:sz w:val="24"/>
          <w:szCs w:val="24"/>
        </w:rPr>
        <w:t xml:space="preserve"> Thus,</w:t>
      </w:r>
      <w:r w:rsidR="00D074D0" w:rsidRPr="00E52678">
        <w:rPr>
          <w:rFonts w:ascii="Times New Roman" w:hAnsi="Times New Roman" w:cs="Times New Roman"/>
          <w:sz w:val="24"/>
          <w:szCs w:val="24"/>
        </w:rPr>
        <w:t xml:space="preserve"> mak</w:t>
      </w:r>
      <w:r w:rsidR="00B02E9C" w:rsidRPr="00E52678">
        <w:rPr>
          <w:rFonts w:ascii="Times New Roman" w:hAnsi="Times New Roman" w:cs="Times New Roman"/>
          <w:sz w:val="24"/>
          <w:szCs w:val="24"/>
        </w:rPr>
        <w:t>ing</w:t>
      </w:r>
      <w:r w:rsidR="00D074D0" w:rsidRPr="00E52678">
        <w:rPr>
          <w:rFonts w:ascii="Times New Roman" w:hAnsi="Times New Roman" w:cs="Times New Roman"/>
          <w:sz w:val="24"/>
          <w:szCs w:val="24"/>
        </w:rPr>
        <w:t xml:space="preserve"> </w:t>
      </w:r>
      <w:r w:rsidR="00FC1EA6" w:rsidRPr="00E52678">
        <w:rPr>
          <w:rFonts w:ascii="Times New Roman" w:hAnsi="Times New Roman" w:cs="Times New Roman"/>
          <w:sz w:val="24"/>
          <w:szCs w:val="24"/>
        </w:rPr>
        <w:t>fiscal planning</w:t>
      </w:r>
      <w:r w:rsidR="00D074D0" w:rsidRPr="00E52678">
        <w:rPr>
          <w:rFonts w:ascii="Times New Roman" w:hAnsi="Times New Roman" w:cs="Times New Roman"/>
          <w:sz w:val="24"/>
          <w:szCs w:val="24"/>
        </w:rPr>
        <w:t xml:space="preserve"> </w:t>
      </w:r>
      <w:r w:rsidR="00B02E9C" w:rsidRPr="00E52678">
        <w:rPr>
          <w:rFonts w:ascii="Times New Roman" w:hAnsi="Times New Roman" w:cs="Times New Roman"/>
          <w:sz w:val="24"/>
          <w:szCs w:val="24"/>
        </w:rPr>
        <w:t>uneasy and in that case</w:t>
      </w:r>
      <w:r w:rsidR="00D074D0" w:rsidRPr="00E52678">
        <w:rPr>
          <w:rFonts w:ascii="Times New Roman" w:hAnsi="Times New Roman" w:cs="Times New Roman"/>
          <w:sz w:val="24"/>
          <w:szCs w:val="24"/>
        </w:rPr>
        <w:t xml:space="preserve"> the quality of public spending</w:t>
      </w:r>
      <w:r w:rsidR="00E52678" w:rsidRPr="00E52678">
        <w:rPr>
          <w:rFonts w:ascii="Times New Roman" w:hAnsi="Times New Roman" w:cs="Times New Roman"/>
          <w:sz w:val="24"/>
          <w:szCs w:val="24"/>
        </w:rPr>
        <w:t xml:space="preserve"> will be lessen</w:t>
      </w:r>
      <w:r w:rsidR="00D074D0" w:rsidRPr="00E52678">
        <w:rPr>
          <w:rFonts w:ascii="Times New Roman" w:hAnsi="Times New Roman" w:cs="Times New Roman"/>
          <w:sz w:val="24"/>
          <w:szCs w:val="24"/>
        </w:rPr>
        <w:t xml:space="preserve">, </w:t>
      </w:r>
      <w:r w:rsidR="00E52678" w:rsidRPr="00E52678">
        <w:rPr>
          <w:rFonts w:ascii="Times New Roman" w:hAnsi="Times New Roman" w:cs="Times New Roman"/>
          <w:sz w:val="24"/>
          <w:szCs w:val="24"/>
        </w:rPr>
        <w:t xml:space="preserve">which in most cases causes </w:t>
      </w:r>
      <w:r w:rsidR="00FC1EA6" w:rsidRPr="00E52678">
        <w:rPr>
          <w:rFonts w:ascii="Times New Roman" w:hAnsi="Times New Roman" w:cs="Times New Roman"/>
          <w:sz w:val="24"/>
          <w:szCs w:val="24"/>
        </w:rPr>
        <w:t>financial disaster</w:t>
      </w:r>
      <w:r w:rsidR="00D074D0" w:rsidRPr="00E52678">
        <w:rPr>
          <w:rFonts w:ascii="Times New Roman" w:hAnsi="Times New Roman" w:cs="Times New Roman"/>
          <w:sz w:val="24"/>
          <w:szCs w:val="24"/>
        </w:rPr>
        <w:t xml:space="preserve">. </w:t>
      </w:r>
    </w:p>
    <w:p w:rsidR="006339FD" w:rsidRPr="00E52678" w:rsidRDefault="006339FD" w:rsidP="00695219">
      <w:pPr>
        <w:autoSpaceDE w:val="0"/>
        <w:autoSpaceDN w:val="0"/>
        <w:adjustRightInd w:val="0"/>
        <w:spacing w:after="0" w:line="240" w:lineRule="auto"/>
        <w:jc w:val="both"/>
        <w:rPr>
          <w:rFonts w:ascii="Times New Roman" w:hAnsi="Times New Roman" w:cs="Times New Roman"/>
          <w:sz w:val="24"/>
          <w:szCs w:val="24"/>
        </w:rPr>
      </w:pPr>
    </w:p>
    <w:p w:rsidR="00373464" w:rsidRDefault="0094557E" w:rsidP="00373464">
      <w:pPr>
        <w:autoSpaceDE w:val="0"/>
        <w:autoSpaceDN w:val="0"/>
        <w:adjustRightInd w:val="0"/>
        <w:spacing w:after="0" w:line="240" w:lineRule="auto"/>
        <w:jc w:val="both"/>
        <w:rPr>
          <w:rFonts w:ascii="Times New Roman" w:hAnsi="Times New Roman" w:cs="Times New Roman"/>
          <w:sz w:val="24"/>
          <w:szCs w:val="24"/>
        </w:rPr>
      </w:pPr>
      <w:r w:rsidRPr="00C606DB">
        <w:rPr>
          <w:rFonts w:ascii="Times New Roman" w:hAnsi="Times New Roman" w:cs="Times New Roman"/>
          <w:sz w:val="24"/>
          <w:szCs w:val="24"/>
        </w:rPr>
        <w:t xml:space="preserve">Considering the recent </w:t>
      </w:r>
      <w:r w:rsidR="00CD5946" w:rsidRPr="00C606DB">
        <w:rPr>
          <w:rFonts w:ascii="Times New Roman" w:hAnsi="Times New Roman" w:cs="Times New Roman"/>
          <w:sz w:val="24"/>
          <w:szCs w:val="24"/>
        </w:rPr>
        <w:t>green alternative policy</w:t>
      </w:r>
      <w:r w:rsidRPr="00C606DB">
        <w:rPr>
          <w:rFonts w:ascii="Times New Roman" w:hAnsi="Times New Roman" w:cs="Times New Roman"/>
          <w:sz w:val="24"/>
          <w:szCs w:val="24"/>
        </w:rPr>
        <w:t xml:space="preserve"> by federal government of Nigeria to diversify the economy </w:t>
      </w:r>
      <w:r w:rsidR="00CD5946" w:rsidRPr="00C606DB">
        <w:rPr>
          <w:rFonts w:ascii="Times New Roman" w:hAnsi="Times New Roman" w:cs="Times New Roman"/>
          <w:sz w:val="24"/>
          <w:szCs w:val="24"/>
        </w:rPr>
        <w:t xml:space="preserve">with emphasis on agriculture, mining and manufacturing and as well, the world preached inclusive growth, </w:t>
      </w:r>
      <w:r w:rsidR="00D074D0" w:rsidRPr="00C606DB">
        <w:rPr>
          <w:rFonts w:ascii="Times New Roman" w:hAnsi="Times New Roman" w:cs="Times New Roman"/>
          <w:sz w:val="24"/>
          <w:szCs w:val="24"/>
        </w:rPr>
        <w:t>t</w:t>
      </w:r>
      <w:r w:rsidR="00CE08C0" w:rsidRPr="00C606DB">
        <w:rPr>
          <w:rFonts w:ascii="Times New Roman" w:hAnsi="Times New Roman" w:cs="Times New Roman"/>
          <w:sz w:val="24"/>
          <w:szCs w:val="24"/>
        </w:rPr>
        <w:t>here</w:t>
      </w:r>
      <w:r w:rsidR="00D074D0" w:rsidRPr="00C606DB">
        <w:rPr>
          <w:rFonts w:ascii="Times New Roman" w:hAnsi="Times New Roman" w:cs="Times New Roman"/>
          <w:sz w:val="24"/>
          <w:szCs w:val="24"/>
        </w:rPr>
        <w:t xml:space="preserve"> is </w:t>
      </w:r>
      <w:r w:rsidR="00CE08C0" w:rsidRPr="00C606DB">
        <w:rPr>
          <w:rFonts w:ascii="Times New Roman" w:hAnsi="Times New Roman" w:cs="Times New Roman"/>
          <w:sz w:val="24"/>
          <w:szCs w:val="24"/>
        </w:rPr>
        <w:t xml:space="preserve">need for urgent protection of the economy from exchange rate </w:t>
      </w:r>
      <w:r w:rsidR="00CD5946" w:rsidRPr="00C606DB">
        <w:rPr>
          <w:rFonts w:ascii="Times New Roman" w:hAnsi="Times New Roman" w:cs="Times New Roman"/>
          <w:sz w:val="24"/>
          <w:szCs w:val="24"/>
        </w:rPr>
        <w:t>dynamics</w:t>
      </w:r>
      <w:r w:rsidR="00CE08C0" w:rsidRPr="00C606DB">
        <w:rPr>
          <w:rFonts w:ascii="Times New Roman" w:hAnsi="Times New Roman" w:cs="Times New Roman"/>
          <w:sz w:val="24"/>
          <w:szCs w:val="24"/>
        </w:rPr>
        <w:t xml:space="preserve"> and oil price </w:t>
      </w:r>
      <w:r w:rsidR="00CD5946" w:rsidRPr="00C606DB">
        <w:rPr>
          <w:rFonts w:ascii="Times New Roman" w:hAnsi="Times New Roman" w:cs="Times New Roman"/>
          <w:sz w:val="24"/>
          <w:szCs w:val="24"/>
        </w:rPr>
        <w:t>oscillation</w:t>
      </w:r>
      <w:r w:rsidR="00D074D0" w:rsidRPr="00C606DB">
        <w:rPr>
          <w:rFonts w:ascii="Times New Roman" w:hAnsi="Times New Roman" w:cs="Times New Roman"/>
          <w:sz w:val="24"/>
          <w:szCs w:val="24"/>
        </w:rPr>
        <w:t xml:space="preserve"> since it is now a well established fact that dependency on </w:t>
      </w:r>
      <w:r w:rsidR="00CD5946" w:rsidRPr="00C606DB">
        <w:rPr>
          <w:rFonts w:ascii="Times New Roman" w:hAnsi="Times New Roman" w:cs="Times New Roman"/>
          <w:sz w:val="24"/>
          <w:szCs w:val="24"/>
        </w:rPr>
        <w:t>oil</w:t>
      </w:r>
      <w:r w:rsidR="00D074D0" w:rsidRPr="00C606DB">
        <w:rPr>
          <w:rFonts w:ascii="Times New Roman" w:hAnsi="Times New Roman" w:cs="Times New Roman"/>
          <w:sz w:val="24"/>
          <w:szCs w:val="24"/>
        </w:rPr>
        <w:t xml:space="preserve"> revenue</w:t>
      </w:r>
      <w:r w:rsidR="00CD5946" w:rsidRPr="00C606DB">
        <w:rPr>
          <w:rFonts w:ascii="Times New Roman" w:hAnsi="Times New Roman" w:cs="Times New Roman"/>
          <w:sz w:val="24"/>
          <w:szCs w:val="24"/>
        </w:rPr>
        <w:t xml:space="preserve"> alone</w:t>
      </w:r>
      <w:r w:rsidR="00D074D0" w:rsidRPr="00C606DB">
        <w:rPr>
          <w:rFonts w:ascii="Times New Roman" w:hAnsi="Times New Roman" w:cs="Times New Roman"/>
          <w:sz w:val="24"/>
          <w:szCs w:val="24"/>
        </w:rPr>
        <w:t xml:space="preserve">, makes the </w:t>
      </w:r>
      <w:r w:rsidR="00CD5946" w:rsidRPr="00C606DB">
        <w:rPr>
          <w:rFonts w:ascii="Times New Roman" w:hAnsi="Times New Roman" w:cs="Times New Roman"/>
          <w:sz w:val="24"/>
          <w:szCs w:val="24"/>
        </w:rPr>
        <w:t>Nigerian</w:t>
      </w:r>
      <w:r w:rsidR="00D074D0" w:rsidRPr="00C606DB">
        <w:rPr>
          <w:rFonts w:ascii="Times New Roman" w:hAnsi="Times New Roman" w:cs="Times New Roman"/>
          <w:sz w:val="24"/>
          <w:szCs w:val="24"/>
        </w:rPr>
        <w:t xml:space="preserve"> economy vulnerable</w:t>
      </w:r>
      <w:r w:rsidR="00CE08C0" w:rsidRPr="00AA527F">
        <w:rPr>
          <w:rFonts w:ascii="Times New Roman" w:hAnsi="Times New Roman" w:cs="Times New Roman"/>
          <w:sz w:val="24"/>
          <w:szCs w:val="24"/>
        </w:rPr>
        <w:t>.</w:t>
      </w:r>
      <w:r w:rsidR="00BF43E2" w:rsidRPr="00AA527F">
        <w:rPr>
          <w:rFonts w:ascii="Times New Roman" w:hAnsi="Times New Roman" w:cs="Times New Roman"/>
          <w:sz w:val="24"/>
          <w:szCs w:val="24"/>
        </w:rPr>
        <w:t xml:space="preserve"> </w:t>
      </w:r>
      <w:r w:rsidR="00CD5946" w:rsidRPr="00712DBD">
        <w:rPr>
          <w:rFonts w:ascii="Times New Roman" w:hAnsi="Times New Roman" w:cs="Times New Roman"/>
          <w:sz w:val="24"/>
          <w:szCs w:val="24"/>
        </w:rPr>
        <w:t xml:space="preserve">However for these reasons </w:t>
      </w:r>
      <w:r w:rsidR="0062726E" w:rsidRPr="00712DBD">
        <w:rPr>
          <w:rFonts w:ascii="Times New Roman" w:hAnsi="Times New Roman" w:cs="Times New Roman"/>
          <w:sz w:val="24"/>
          <w:szCs w:val="24"/>
        </w:rPr>
        <w:t>the study</w:t>
      </w:r>
      <w:r w:rsidR="00CD5946" w:rsidRPr="00712DBD">
        <w:rPr>
          <w:rFonts w:ascii="Times New Roman" w:hAnsi="Times New Roman" w:cs="Times New Roman"/>
          <w:sz w:val="24"/>
          <w:szCs w:val="24"/>
        </w:rPr>
        <w:t xml:space="preserve"> </w:t>
      </w:r>
      <w:r w:rsidR="008A0E0A" w:rsidRPr="00712DBD">
        <w:rPr>
          <w:rFonts w:ascii="Times New Roman" w:hAnsi="Times New Roman" w:cs="Times New Roman"/>
          <w:sz w:val="24"/>
          <w:szCs w:val="24"/>
        </w:rPr>
        <w:t>analysis the relationship between oil price oscillations, exchange rate dynamics and economic performance.</w:t>
      </w:r>
      <w:r w:rsidR="000B7A31" w:rsidRPr="00712DBD">
        <w:rPr>
          <w:rFonts w:ascii="Times New Roman" w:hAnsi="Times New Roman" w:cs="Times New Roman"/>
          <w:sz w:val="24"/>
          <w:szCs w:val="24"/>
        </w:rPr>
        <w:t xml:space="preserve"> Also, the study extended its investigation on the effect of oil price oscillation on exchange rate dynamic.</w:t>
      </w:r>
      <w:r w:rsidR="008A0E0A" w:rsidRPr="000B7A31">
        <w:rPr>
          <w:rFonts w:ascii="Times New Roman" w:hAnsi="Times New Roman" w:cs="Times New Roman"/>
          <w:color w:val="FF0000"/>
          <w:sz w:val="24"/>
          <w:szCs w:val="24"/>
        </w:rPr>
        <w:t xml:space="preserve"> </w:t>
      </w:r>
      <w:r w:rsidR="008A0E0A" w:rsidRPr="00C606DB">
        <w:rPr>
          <w:rFonts w:ascii="Times New Roman" w:hAnsi="Times New Roman" w:cs="Times New Roman"/>
          <w:sz w:val="24"/>
          <w:szCs w:val="24"/>
        </w:rPr>
        <w:t>While p</w:t>
      </w:r>
      <w:r w:rsidR="008A0E0A" w:rsidRPr="00C606DB">
        <w:rPr>
          <w:rFonts w:ascii="Times New Roman" w:hAnsi="Times New Roman" w:cs="Times New Roman"/>
          <w:iCs/>
          <w:sz w:val="24"/>
          <w:szCs w:val="24"/>
        </w:rPr>
        <w:t xml:space="preserve">revious </w:t>
      </w:r>
      <w:r w:rsidR="00BF43E2" w:rsidRPr="00C606DB">
        <w:rPr>
          <w:rFonts w:ascii="Times New Roman" w:hAnsi="Times New Roman" w:cs="Times New Roman"/>
          <w:iCs/>
          <w:sz w:val="24"/>
          <w:szCs w:val="24"/>
        </w:rPr>
        <w:t xml:space="preserve">studies </w:t>
      </w:r>
      <w:r w:rsidR="00695219" w:rsidRPr="00C606DB">
        <w:rPr>
          <w:rFonts w:ascii="Times New Roman" w:hAnsi="Times New Roman" w:cs="Times New Roman"/>
          <w:iCs/>
          <w:sz w:val="24"/>
          <w:szCs w:val="24"/>
        </w:rPr>
        <w:t xml:space="preserve">in </w:t>
      </w:r>
      <w:r w:rsidR="008A0E0A" w:rsidRPr="00C606DB">
        <w:rPr>
          <w:rFonts w:ascii="Times New Roman" w:hAnsi="Times New Roman" w:cs="Times New Roman"/>
          <w:iCs/>
          <w:sz w:val="24"/>
          <w:szCs w:val="24"/>
        </w:rPr>
        <w:t xml:space="preserve">this discussion in </w:t>
      </w:r>
      <w:r w:rsidR="00695219" w:rsidRPr="00C606DB">
        <w:rPr>
          <w:rFonts w:ascii="Times New Roman" w:hAnsi="Times New Roman" w:cs="Times New Roman"/>
          <w:iCs/>
          <w:sz w:val="24"/>
          <w:szCs w:val="24"/>
        </w:rPr>
        <w:t xml:space="preserve">Nigeria </w:t>
      </w:r>
      <w:r w:rsidR="008A0E0A" w:rsidRPr="00C606DB">
        <w:rPr>
          <w:rFonts w:ascii="Times New Roman" w:hAnsi="Times New Roman" w:cs="Times New Roman"/>
          <w:iCs/>
          <w:sz w:val="24"/>
          <w:szCs w:val="24"/>
        </w:rPr>
        <w:t>adopted</w:t>
      </w:r>
      <w:r w:rsidR="00BF43E2" w:rsidRPr="00C606DB">
        <w:rPr>
          <w:rFonts w:ascii="Times New Roman" w:hAnsi="Times New Roman" w:cs="Times New Roman"/>
          <w:sz w:val="24"/>
          <w:szCs w:val="24"/>
        </w:rPr>
        <w:t xml:space="preserve"> VAR</w:t>
      </w:r>
      <w:r w:rsidR="008A0E0A" w:rsidRPr="00C606DB">
        <w:rPr>
          <w:rFonts w:ascii="Times New Roman" w:hAnsi="Times New Roman" w:cs="Times New Roman"/>
          <w:iCs/>
          <w:sz w:val="24"/>
          <w:szCs w:val="24"/>
        </w:rPr>
        <w:t xml:space="preserve">-based cointegration </w:t>
      </w:r>
      <w:r w:rsidR="00373464" w:rsidRPr="00C606DB">
        <w:rPr>
          <w:rFonts w:ascii="Times New Roman" w:hAnsi="Times New Roman" w:cs="Times New Roman"/>
          <w:iCs/>
          <w:sz w:val="24"/>
          <w:szCs w:val="24"/>
        </w:rPr>
        <w:t xml:space="preserve">and vector error correction technique </w:t>
      </w:r>
      <w:r w:rsidR="008A0E0A" w:rsidRPr="00C606DB">
        <w:rPr>
          <w:rFonts w:ascii="Times New Roman" w:hAnsi="Times New Roman" w:cs="Times New Roman"/>
          <w:iCs/>
          <w:sz w:val="24"/>
          <w:szCs w:val="24"/>
        </w:rPr>
        <w:t>(</w:t>
      </w:r>
      <w:r w:rsidR="00373464" w:rsidRPr="00C606DB">
        <w:rPr>
          <w:rFonts w:ascii="Times New Roman" w:hAnsi="Times New Roman" w:cs="Times New Roman"/>
          <w:iCs/>
          <w:sz w:val="24"/>
          <w:szCs w:val="24"/>
        </w:rPr>
        <w:t>see</w:t>
      </w:r>
      <w:r w:rsidR="008A0E0A" w:rsidRPr="00C606DB">
        <w:rPr>
          <w:rFonts w:ascii="Times New Roman" w:hAnsi="Times New Roman" w:cs="Times New Roman"/>
          <w:iCs/>
          <w:sz w:val="24"/>
          <w:szCs w:val="24"/>
        </w:rPr>
        <w:t xml:space="preserve"> Aliyu, 2009</w:t>
      </w:r>
      <w:r w:rsidR="0010039D">
        <w:rPr>
          <w:rFonts w:ascii="Times New Roman" w:hAnsi="Times New Roman" w:cs="Times New Roman"/>
          <w:iCs/>
          <w:sz w:val="24"/>
          <w:szCs w:val="24"/>
        </w:rPr>
        <w:t xml:space="preserve"> and</w:t>
      </w:r>
      <w:r w:rsidR="0010039D" w:rsidRPr="00982B9A">
        <w:rPr>
          <w:rFonts w:ascii="Times New Roman" w:hAnsi="Times New Roman" w:cs="Times New Roman"/>
          <w:iCs/>
          <w:sz w:val="24"/>
          <w:szCs w:val="24"/>
        </w:rPr>
        <w:t xml:space="preserve">; </w:t>
      </w:r>
      <w:r w:rsidR="0010039D" w:rsidRPr="00982B9A">
        <w:rPr>
          <w:rFonts w:ascii="Times New Roman" w:hAnsi="Times New Roman" w:cs="Times New Roman"/>
          <w:sz w:val="24"/>
          <w:szCs w:val="24"/>
        </w:rPr>
        <w:t>Ogundipe, Ojeagaa and Ogundipe, 2014</w:t>
      </w:r>
      <w:r w:rsidR="008A0E0A" w:rsidRPr="00982B9A">
        <w:rPr>
          <w:rFonts w:ascii="Times New Roman" w:hAnsi="Times New Roman" w:cs="Times New Roman"/>
          <w:iCs/>
          <w:sz w:val="24"/>
          <w:szCs w:val="24"/>
        </w:rPr>
        <w:t>)</w:t>
      </w:r>
      <w:r w:rsidR="00373464" w:rsidRPr="00982B9A">
        <w:rPr>
          <w:rFonts w:ascii="Times New Roman" w:hAnsi="Times New Roman" w:cs="Times New Roman"/>
          <w:iCs/>
          <w:sz w:val="24"/>
          <w:szCs w:val="24"/>
        </w:rPr>
        <w:t xml:space="preserve"> on the basis of quarterly data from 1986Q1 to 2007Q4</w:t>
      </w:r>
      <w:r w:rsidR="00373464" w:rsidRPr="00982B9A">
        <w:rPr>
          <w:rFonts w:ascii="Times New Roman" w:hAnsi="Times New Roman" w:cs="Times New Roman"/>
          <w:sz w:val="24"/>
          <w:szCs w:val="24"/>
        </w:rPr>
        <w:t xml:space="preserve">, we employ </w:t>
      </w:r>
      <w:r w:rsidR="0062726E">
        <w:rPr>
          <w:rFonts w:ascii="Times New Roman" w:hAnsi="Times New Roman" w:cs="Times New Roman"/>
          <w:sz w:val="24"/>
          <w:szCs w:val="24"/>
        </w:rPr>
        <w:t xml:space="preserve">multiple regression model and </w:t>
      </w:r>
      <w:r w:rsidR="00373464" w:rsidRPr="00982B9A">
        <w:rPr>
          <w:rFonts w:ascii="Times New Roman" w:hAnsi="Times New Roman" w:cs="Times New Roman"/>
          <w:sz w:val="24"/>
          <w:szCs w:val="24"/>
        </w:rPr>
        <w:t>e</w:t>
      </w:r>
      <w:r w:rsidR="00BF43E2" w:rsidRPr="00982B9A">
        <w:rPr>
          <w:rFonts w:ascii="Times New Roman" w:hAnsi="Times New Roman" w:cs="Times New Roman"/>
          <w:sz w:val="24"/>
          <w:szCs w:val="24"/>
        </w:rPr>
        <w:t>xponential generalized autoregressive</w:t>
      </w:r>
      <w:r w:rsidR="00BF43E2" w:rsidRPr="00C606DB">
        <w:rPr>
          <w:rFonts w:ascii="Times New Roman" w:hAnsi="Times New Roman" w:cs="Times New Roman"/>
          <w:sz w:val="24"/>
          <w:szCs w:val="24"/>
        </w:rPr>
        <w:t xml:space="preserve"> conditional heteroscedastic method with annual data </w:t>
      </w:r>
      <w:r w:rsidR="00695219" w:rsidRPr="00C606DB">
        <w:rPr>
          <w:rFonts w:ascii="Times New Roman" w:hAnsi="Times New Roman" w:cs="Times New Roman"/>
          <w:sz w:val="24"/>
          <w:szCs w:val="24"/>
        </w:rPr>
        <w:t>that span the periods 1970 to 201</w:t>
      </w:r>
      <w:r w:rsidR="00B15054">
        <w:rPr>
          <w:rFonts w:ascii="Times New Roman" w:hAnsi="Times New Roman" w:cs="Times New Roman"/>
          <w:sz w:val="24"/>
          <w:szCs w:val="24"/>
        </w:rPr>
        <w:t>3</w:t>
      </w:r>
      <w:r w:rsidR="0062726E">
        <w:rPr>
          <w:rFonts w:ascii="Times New Roman" w:hAnsi="Times New Roman" w:cs="Times New Roman"/>
          <w:sz w:val="24"/>
          <w:szCs w:val="24"/>
        </w:rPr>
        <w:t xml:space="preserve"> for the analysis</w:t>
      </w:r>
      <w:r w:rsidR="00695219" w:rsidRPr="00C606DB">
        <w:rPr>
          <w:rFonts w:ascii="Times New Roman" w:hAnsi="Times New Roman" w:cs="Times New Roman"/>
          <w:sz w:val="24"/>
          <w:szCs w:val="24"/>
        </w:rPr>
        <w:t xml:space="preserve">. </w:t>
      </w:r>
      <w:r w:rsidR="008C5099" w:rsidRPr="00C606DB">
        <w:rPr>
          <w:rFonts w:ascii="Times New Roman" w:hAnsi="Times New Roman" w:cs="Times New Roman"/>
          <w:sz w:val="24"/>
          <w:szCs w:val="24"/>
        </w:rPr>
        <w:t>Th</w:t>
      </w:r>
      <w:r w:rsidR="00373464" w:rsidRPr="00C606DB">
        <w:rPr>
          <w:rFonts w:ascii="Times New Roman" w:hAnsi="Times New Roman" w:cs="Times New Roman"/>
          <w:sz w:val="24"/>
          <w:szCs w:val="24"/>
        </w:rPr>
        <w:t>us, th</w:t>
      </w:r>
      <w:r w:rsidR="008C5099" w:rsidRPr="00C606DB">
        <w:rPr>
          <w:rFonts w:ascii="Times New Roman" w:hAnsi="Times New Roman" w:cs="Times New Roman"/>
          <w:sz w:val="24"/>
          <w:szCs w:val="24"/>
        </w:rPr>
        <w:t>is paper differs</w:t>
      </w:r>
      <w:r w:rsidR="00695219" w:rsidRPr="00C606DB">
        <w:rPr>
          <w:rFonts w:ascii="Times New Roman" w:hAnsi="Times New Roman" w:cs="Times New Roman"/>
          <w:sz w:val="24"/>
          <w:szCs w:val="24"/>
        </w:rPr>
        <w:t xml:space="preserve"> from the works of Aliyu (2009) in terms of the </w:t>
      </w:r>
      <w:r w:rsidR="008C5099" w:rsidRPr="00C606DB">
        <w:rPr>
          <w:rFonts w:ascii="Times New Roman" w:hAnsi="Times New Roman" w:cs="Times New Roman"/>
          <w:sz w:val="24"/>
          <w:szCs w:val="24"/>
        </w:rPr>
        <w:t xml:space="preserve">methodology and scope. </w:t>
      </w:r>
      <w:r w:rsidR="00F7291D" w:rsidRPr="00C606DB">
        <w:rPr>
          <w:rFonts w:ascii="Times New Roman" w:hAnsi="Times New Roman" w:cs="Times New Roman"/>
          <w:sz w:val="24"/>
          <w:szCs w:val="24"/>
        </w:rPr>
        <w:t xml:space="preserve">Hence, the </w:t>
      </w:r>
      <w:r w:rsidR="00DB66AF" w:rsidRPr="00C606DB">
        <w:rPr>
          <w:rFonts w:ascii="Times New Roman" w:hAnsi="Times New Roman" w:cs="Times New Roman"/>
          <w:sz w:val="24"/>
          <w:szCs w:val="24"/>
        </w:rPr>
        <w:t>paper</w:t>
      </w:r>
      <w:r w:rsidR="00DB66AF">
        <w:rPr>
          <w:rFonts w:ascii="Times New Roman" w:hAnsi="Times New Roman" w:cs="Times New Roman"/>
          <w:sz w:val="24"/>
          <w:szCs w:val="24"/>
        </w:rPr>
        <w:t xml:space="preserve"> further </w:t>
      </w:r>
      <w:r w:rsidR="00DB66AF" w:rsidRPr="00C606DB">
        <w:rPr>
          <w:rFonts w:ascii="Times New Roman" w:hAnsi="Times New Roman" w:cs="Times New Roman"/>
          <w:sz w:val="24"/>
          <w:szCs w:val="24"/>
        </w:rPr>
        <w:t>assesses</w:t>
      </w:r>
      <w:r w:rsidR="00F7291D" w:rsidRPr="00C606DB">
        <w:rPr>
          <w:rFonts w:ascii="Times New Roman" w:hAnsi="Times New Roman" w:cs="Times New Roman"/>
          <w:sz w:val="24"/>
          <w:szCs w:val="24"/>
        </w:rPr>
        <w:t xml:space="preserve"> </w:t>
      </w:r>
      <w:r w:rsidR="000A7F13" w:rsidRPr="00C606DB">
        <w:rPr>
          <w:rFonts w:ascii="Times New Roman" w:hAnsi="Times New Roman" w:cs="Times New Roman"/>
          <w:sz w:val="24"/>
          <w:szCs w:val="24"/>
        </w:rPr>
        <w:t>the exhibition of volatility clustering from 1970 to 201</w:t>
      </w:r>
      <w:r w:rsidR="00B15054">
        <w:rPr>
          <w:rFonts w:ascii="Times New Roman" w:hAnsi="Times New Roman" w:cs="Times New Roman"/>
          <w:sz w:val="24"/>
          <w:szCs w:val="24"/>
        </w:rPr>
        <w:t>3</w:t>
      </w:r>
      <w:r w:rsidR="000A7F13" w:rsidRPr="00C606DB">
        <w:rPr>
          <w:rFonts w:ascii="Times New Roman" w:hAnsi="Times New Roman" w:cs="Times New Roman"/>
          <w:sz w:val="24"/>
          <w:szCs w:val="24"/>
        </w:rPr>
        <w:t>. Th</w:t>
      </w:r>
      <w:r w:rsidR="00AA527F">
        <w:rPr>
          <w:rFonts w:ascii="Times New Roman" w:hAnsi="Times New Roman" w:cs="Times New Roman"/>
          <w:sz w:val="24"/>
          <w:szCs w:val="24"/>
        </w:rPr>
        <w:t>is study was extended with</w:t>
      </w:r>
      <w:r w:rsidR="000A7F13" w:rsidRPr="00C606DB">
        <w:rPr>
          <w:rFonts w:ascii="Times New Roman" w:hAnsi="Times New Roman" w:cs="Times New Roman"/>
          <w:sz w:val="24"/>
          <w:szCs w:val="24"/>
        </w:rPr>
        <w:t xml:space="preserve"> further </w:t>
      </w:r>
      <w:r w:rsidR="00380AAF" w:rsidRPr="00C606DB">
        <w:rPr>
          <w:rFonts w:ascii="Times New Roman" w:hAnsi="Times New Roman" w:cs="Times New Roman"/>
          <w:sz w:val="24"/>
          <w:szCs w:val="24"/>
        </w:rPr>
        <w:t xml:space="preserve">inquire </w:t>
      </w:r>
      <w:r w:rsidR="00AA527F">
        <w:rPr>
          <w:rFonts w:ascii="Times New Roman" w:hAnsi="Times New Roman" w:cs="Times New Roman"/>
          <w:sz w:val="24"/>
          <w:szCs w:val="24"/>
        </w:rPr>
        <w:t xml:space="preserve">in </w:t>
      </w:r>
      <w:r w:rsidR="00380AAF" w:rsidRPr="00C606DB">
        <w:rPr>
          <w:rFonts w:ascii="Times New Roman" w:hAnsi="Times New Roman" w:cs="Times New Roman"/>
          <w:sz w:val="24"/>
          <w:szCs w:val="24"/>
        </w:rPr>
        <w:t xml:space="preserve">the long run relationship between </w:t>
      </w:r>
      <w:r w:rsidR="00DB66AF">
        <w:rPr>
          <w:rFonts w:ascii="Times New Roman" w:hAnsi="Times New Roman" w:cs="Times New Roman"/>
          <w:sz w:val="24"/>
          <w:szCs w:val="24"/>
        </w:rPr>
        <w:t>in the series</w:t>
      </w:r>
      <w:r w:rsidR="00380AAF" w:rsidRPr="00C606DB">
        <w:rPr>
          <w:rFonts w:ascii="Times New Roman" w:hAnsi="Times New Roman" w:cs="Times New Roman"/>
          <w:sz w:val="24"/>
          <w:szCs w:val="24"/>
        </w:rPr>
        <w:t xml:space="preserve">; and </w:t>
      </w:r>
      <w:r w:rsidR="00DB66AF">
        <w:rPr>
          <w:rFonts w:ascii="Times New Roman" w:hAnsi="Times New Roman" w:cs="Times New Roman"/>
          <w:sz w:val="24"/>
          <w:szCs w:val="24"/>
        </w:rPr>
        <w:t xml:space="preserve">the </w:t>
      </w:r>
      <w:r w:rsidR="00380AAF" w:rsidRPr="00C606DB">
        <w:rPr>
          <w:rFonts w:ascii="Times New Roman" w:hAnsi="Times New Roman" w:cs="Times New Roman"/>
          <w:sz w:val="24"/>
          <w:szCs w:val="24"/>
        </w:rPr>
        <w:t xml:space="preserve">direction of causality between </w:t>
      </w:r>
      <w:r w:rsidR="00DB66AF">
        <w:rPr>
          <w:rFonts w:ascii="Times New Roman" w:hAnsi="Times New Roman" w:cs="Times New Roman"/>
          <w:sz w:val="24"/>
          <w:szCs w:val="24"/>
        </w:rPr>
        <w:t>them</w:t>
      </w:r>
      <w:r w:rsidR="00380AAF" w:rsidRPr="00C606DB">
        <w:rPr>
          <w:rFonts w:ascii="Times New Roman" w:hAnsi="Times New Roman" w:cs="Times New Roman"/>
          <w:sz w:val="24"/>
          <w:szCs w:val="24"/>
        </w:rPr>
        <w:t xml:space="preserve"> using granger causality </w:t>
      </w:r>
      <w:r w:rsidR="00C606DB">
        <w:rPr>
          <w:rFonts w:ascii="Times New Roman" w:hAnsi="Times New Roman" w:cs="Times New Roman"/>
          <w:sz w:val="24"/>
          <w:szCs w:val="24"/>
        </w:rPr>
        <w:t>tests</w:t>
      </w:r>
      <w:r w:rsidR="00380AAF" w:rsidRPr="00C606DB">
        <w:rPr>
          <w:rFonts w:ascii="Times New Roman" w:hAnsi="Times New Roman" w:cs="Times New Roman"/>
          <w:sz w:val="24"/>
          <w:szCs w:val="24"/>
        </w:rPr>
        <w:t xml:space="preserve">. </w:t>
      </w:r>
      <w:r w:rsidR="008C5099" w:rsidRPr="00C606DB">
        <w:rPr>
          <w:rFonts w:ascii="Times New Roman" w:hAnsi="Times New Roman" w:cs="Times New Roman"/>
          <w:sz w:val="24"/>
          <w:szCs w:val="24"/>
        </w:rPr>
        <w:t xml:space="preserve">EGARCH is considered </w:t>
      </w:r>
      <w:r w:rsidR="00C606DB">
        <w:rPr>
          <w:rFonts w:ascii="Times New Roman" w:hAnsi="Times New Roman" w:cs="Times New Roman"/>
          <w:sz w:val="24"/>
          <w:szCs w:val="24"/>
        </w:rPr>
        <w:t xml:space="preserve">most </w:t>
      </w:r>
      <w:r w:rsidR="00380AAF" w:rsidRPr="00C606DB">
        <w:rPr>
          <w:rFonts w:ascii="Times New Roman" w:hAnsi="Times New Roman" w:cs="Times New Roman"/>
          <w:sz w:val="24"/>
          <w:szCs w:val="24"/>
        </w:rPr>
        <w:t>appropriate</w:t>
      </w:r>
      <w:r w:rsidR="00BF43E2" w:rsidRPr="00C606DB">
        <w:rPr>
          <w:rFonts w:ascii="Times New Roman" w:hAnsi="Times New Roman" w:cs="Times New Roman"/>
          <w:sz w:val="24"/>
          <w:szCs w:val="24"/>
        </w:rPr>
        <w:t xml:space="preserve"> for this study because it has the ability of predicting volatility even over horizons as long as one year</w:t>
      </w:r>
      <w:r w:rsidR="00C606DB">
        <w:rPr>
          <w:rFonts w:ascii="Times New Roman" w:hAnsi="Times New Roman" w:cs="Times New Roman"/>
          <w:sz w:val="24"/>
          <w:szCs w:val="24"/>
        </w:rPr>
        <w:t xml:space="preserve"> and more</w:t>
      </w:r>
      <w:r w:rsidR="00BF43E2" w:rsidRPr="00C606DB">
        <w:rPr>
          <w:rFonts w:ascii="Times New Roman" w:hAnsi="Times New Roman" w:cs="Times New Roman"/>
          <w:sz w:val="24"/>
          <w:szCs w:val="24"/>
        </w:rPr>
        <w:t>. Also, it is a multifactor volatility models</w:t>
      </w:r>
      <w:r w:rsidR="00380AAF" w:rsidRPr="00C606DB">
        <w:rPr>
          <w:rFonts w:ascii="Times New Roman" w:hAnsi="Times New Roman" w:cs="Times New Roman"/>
          <w:sz w:val="24"/>
          <w:szCs w:val="24"/>
        </w:rPr>
        <w:t>.</w:t>
      </w:r>
      <w:r w:rsidR="00BF43E2" w:rsidRPr="00C606DB">
        <w:rPr>
          <w:rFonts w:ascii="Times New Roman" w:hAnsi="Times New Roman" w:cs="Times New Roman"/>
          <w:sz w:val="24"/>
          <w:szCs w:val="24"/>
        </w:rPr>
        <w:t xml:space="preserve"> </w:t>
      </w:r>
      <w:r w:rsidR="00380AAF" w:rsidRPr="00C606DB">
        <w:rPr>
          <w:rFonts w:ascii="Times New Roman" w:hAnsi="Times New Roman" w:cs="Times New Roman"/>
          <w:sz w:val="24"/>
          <w:szCs w:val="24"/>
        </w:rPr>
        <w:t xml:space="preserve">The rest of the paper </w:t>
      </w:r>
      <w:r w:rsidR="00373464" w:rsidRPr="00C606DB">
        <w:rPr>
          <w:rFonts w:ascii="Times New Roman" w:hAnsi="Times New Roman" w:cs="Times New Roman"/>
          <w:sz w:val="24"/>
          <w:szCs w:val="24"/>
        </w:rPr>
        <w:t xml:space="preserve">is organized in the following way. Section two </w:t>
      </w:r>
      <w:r w:rsidR="0086441D">
        <w:rPr>
          <w:rFonts w:ascii="Times New Roman" w:hAnsi="Times New Roman" w:cs="Times New Roman"/>
          <w:sz w:val="24"/>
          <w:szCs w:val="24"/>
        </w:rPr>
        <w:t>dwell</w:t>
      </w:r>
      <w:r w:rsidR="00373464" w:rsidRPr="00C606DB">
        <w:rPr>
          <w:rFonts w:ascii="Times New Roman" w:hAnsi="Times New Roman" w:cs="Times New Roman"/>
          <w:sz w:val="24"/>
          <w:szCs w:val="24"/>
        </w:rPr>
        <w:t xml:space="preserve"> on </w:t>
      </w:r>
      <w:r w:rsidR="00735FB4" w:rsidRPr="00C606DB">
        <w:rPr>
          <w:rFonts w:ascii="Times New Roman" w:hAnsi="Times New Roman" w:cs="Times New Roman"/>
          <w:sz w:val="24"/>
          <w:szCs w:val="24"/>
        </w:rPr>
        <w:t xml:space="preserve">review </w:t>
      </w:r>
      <w:r w:rsidR="00735FB4">
        <w:rPr>
          <w:rFonts w:ascii="Times New Roman" w:hAnsi="Times New Roman" w:cs="Times New Roman"/>
          <w:sz w:val="24"/>
          <w:szCs w:val="24"/>
        </w:rPr>
        <w:t xml:space="preserve">of related </w:t>
      </w:r>
      <w:r w:rsidR="00373464" w:rsidRPr="00C606DB">
        <w:rPr>
          <w:rFonts w:ascii="Times New Roman" w:hAnsi="Times New Roman" w:cs="Times New Roman"/>
          <w:sz w:val="24"/>
          <w:szCs w:val="24"/>
        </w:rPr>
        <w:t>literature</w:t>
      </w:r>
      <w:r w:rsidR="00380AAF" w:rsidRPr="00C606DB">
        <w:rPr>
          <w:rFonts w:ascii="Times New Roman" w:hAnsi="Times New Roman" w:cs="Times New Roman"/>
          <w:sz w:val="24"/>
          <w:szCs w:val="24"/>
        </w:rPr>
        <w:t>, section</w:t>
      </w:r>
      <w:r w:rsidR="00373464" w:rsidRPr="00C606DB">
        <w:rPr>
          <w:rFonts w:ascii="Times New Roman" w:hAnsi="Times New Roman" w:cs="Times New Roman"/>
          <w:sz w:val="24"/>
          <w:szCs w:val="24"/>
        </w:rPr>
        <w:t xml:space="preserve"> </w:t>
      </w:r>
      <w:r w:rsidR="00C67A39">
        <w:rPr>
          <w:rFonts w:ascii="Times New Roman" w:hAnsi="Times New Roman" w:cs="Times New Roman"/>
          <w:sz w:val="24"/>
          <w:szCs w:val="24"/>
        </w:rPr>
        <w:t>three</w:t>
      </w:r>
      <w:r w:rsidR="00373464" w:rsidRPr="00C606DB">
        <w:rPr>
          <w:rFonts w:ascii="Times New Roman" w:hAnsi="Times New Roman" w:cs="Times New Roman"/>
          <w:sz w:val="24"/>
          <w:szCs w:val="24"/>
        </w:rPr>
        <w:t xml:space="preserve"> presents the research methodology</w:t>
      </w:r>
      <w:r w:rsidR="00380AAF" w:rsidRPr="00C606DB">
        <w:rPr>
          <w:rFonts w:ascii="Times New Roman" w:hAnsi="Times New Roman" w:cs="Times New Roman"/>
          <w:sz w:val="24"/>
          <w:szCs w:val="24"/>
        </w:rPr>
        <w:t xml:space="preserve"> and data source</w:t>
      </w:r>
      <w:r w:rsidR="00C67A39">
        <w:rPr>
          <w:rFonts w:ascii="Times New Roman" w:hAnsi="Times New Roman" w:cs="Times New Roman"/>
          <w:sz w:val="24"/>
          <w:szCs w:val="24"/>
        </w:rPr>
        <w:t>, while</w:t>
      </w:r>
      <w:r w:rsidR="00380AAF" w:rsidRPr="00C606DB">
        <w:rPr>
          <w:rFonts w:ascii="Times New Roman" w:hAnsi="Times New Roman" w:cs="Times New Roman"/>
          <w:sz w:val="24"/>
          <w:szCs w:val="24"/>
        </w:rPr>
        <w:t xml:space="preserve"> </w:t>
      </w:r>
      <w:r w:rsidR="00C67A39">
        <w:rPr>
          <w:rFonts w:ascii="Times New Roman" w:hAnsi="Times New Roman" w:cs="Times New Roman"/>
          <w:sz w:val="24"/>
          <w:szCs w:val="24"/>
        </w:rPr>
        <w:t>s</w:t>
      </w:r>
      <w:r w:rsidR="00380AAF" w:rsidRPr="00C606DB">
        <w:rPr>
          <w:rFonts w:ascii="Times New Roman" w:hAnsi="Times New Roman" w:cs="Times New Roman"/>
          <w:sz w:val="24"/>
          <w:szCs w:val="24"/>
        </w:rPr>
        <w:t xml:space="preserve">ection </w:t>
      </w:r>
      <w:r w:rsidR="00373464" w:rsidRPr="00C606DB">
        <w:rPr>
          <w:rFonts w:ascii="Times New Roman" w:hAnsi="Times New Roman" w:cs="Times New Roman"/>
          <w:sz w:val="24"/>
          <w:szCs w:val="24"/>
        </w:rPr>
        <w:t>f</w:t>
      </w:r>
      <w:r w:rsidR="00C67A39">
        <w:rPr>
          <w:rFonts w:ascii="Times New Roman" w:hAnsi="Times New Roman" w:cs="Times New Roman"/>
          <w:sz w:val="24"/>
          <w:szCs w:val="24"/>
        </w:rPr>
        <w:t>our</w:t>
      </w:r>
      <w:r w:rsidR="00373464" w:rsidRPr="00C606DB">
        <w:rPr>
          <w:rFonts w:ascii="Times New Roman" w:hAnsi="Times New Roman" w:cs="Times New Roman"/>
          <w:sz w:val="24"/>
          <w:szCs w:val="24"/>
        </w:rPr>
        <w:t xml:space="preserve"> contains empirical results and discussion</w:t>
      </w:r>
      <w:r w:rsidR="00C606DB">
        <w:rPr>
          <w:rFonts w:ascii="Times New Roman" w:hAnsi="Times New Roman" w:cs="Times New Roman"/>
          <w:sz w:val="24"/>
          <w:szCs w:val="24"/>
        </w:rPr>
        <w:t xml:space="preserve"> </w:t>
      </w:r>
      <w:r w:rsidR="00C67A39">
        <w:rPr>
          <w:rFonts w:ascii="Times New Roman" w:hAnsi="Times New Roman" w:cs="Times New Roman"/>
          <w:sz w:val="24"/>
          <w:szCs w:val="24"/>
        </w:rPr>
        <w:t>and</w:t>
      </w:r>
      <w:r w:rsidR="00373464" w:rsidRPr="00C606DB">
        <w:rPr>
          <w:rFonts w:ascii="Times New Roman" w:hAnsi="Times New Roman" w:cs="Times New Roman"/>
          <w:sz w:val="24"/>
          <w:szCs w:val="24"/>
        </w:rPr>
        <w:t xml:space="preserve"> </w:t>
      </w:r>
      <w:r w:rsidR="00C606DB" w:rsidRPr="00C606DB">
        <w:rPr>
          <w:rFonts w:ascii="Times New Roman" w:hAnsi="Times New Roman" w:cs="Times New Roman"/>
          <w:sz w:val="24"/>
          <w:szCs w:val="24"/>
        </w:rPr>
        <w:t xml:space="preserve">section </w:t>
      </w:r>
      <w:r w:rsidR="00C67A39">
        <w:rPr>
          <w:rFonts w:ascii="Times New Roman" w:hAnsi="Times New Roman" w:cs="Times New Roman"/>
          <w:sz w:val="24"/>
          <w:szCs w:val="24"/>
        </w:rPr>
        <w:t>five</w:t>
      </w:r>
      <w:r w:rsidR="00C606DB" w:rsidRPr="00C606DB">
        <w:rPr>
          <w:rFonts w:ascii="Times New Roman" w:hAnsi="Times New Roman" w:cs="Times New Roman"/>
          <w:sz w:val="24"/>
          <w:szCs w:val="24"/>
        </w:rPr>
        <w:t xml:space="preserve"> </w:t>
      </w:r>
      <w:r w:rsidR="00373464" w:rsidRPr="00C606DB">
        <w:rPr>
          <w:rFonts w:ascii="Times New Roman" w:hAnsi="Times New Roman" w:cs="Times New Roman"/>
          <w:sz w:val="24"/>
          <w:szCs w:val="24"/>
        </w:rPr>
        <w:t>finally</w:t>
      </w:r>
      <w:r w:rsidR="00C606DB" w:rsidRPr="00C606DB">
        <w:rPr>
          <w:rFonts w:ascii="Times New Roman" w:hAnsi="Times New Roman" w:cs="Times New Roman"/>
          <w:sz w:val="24"/>
          <w:szCs w:val="24"/>
        </w:rPr>
        <w:t xml:space="preserve"> discussed</w:t>
      </w:r>
      <w:r w:rsidR="00373464" w:rsidRPr="00C606DB">
        <w:rPr>
          <w:rFonts w:ascii="Times New Roman" w:hAnsi="Times New Roman" w:cs="Times New Roman"/>
          <w:sz w:val="24"/>
          <w:szCs w:val="24"/>
        </w:rPr>
        <w:t xml:space="preserve"> </w:t>
      </w:r>
      <w:r w:rsidR="00C606DB">
        <w:rPr>
          <w:rFonts w:ascii="Times New Roman" w:hAnsi="Times New Roman" w:cs="Times New Roman"/>
          <w:sz w:val="24"/>
          <w:szCs w:val="24"/>
        </w:rPr>
        <w:t xml:space="preserve">the </w:t>
      </w:r>
      <w:r w:rsidR="00373464" w:rsidRPr="00C606DB">
        <w:rPr>
          <w:rFonts w:ascii="Times New Roman" w:hAnsi="Times New Roman" w:cs="Times New Roman"/>
          <w:sz w:val="24"/>
          <w:szCs w:val="24"/>
        </w:rPr>
        <w:t>summary and recommendations</w:t>
      </w:r>
      <w:r w:rsidR="00C606DB" w:rsidRPr="00C606DB">
        <w:rPr>
          <w:rFonts w:ascii="Times New Roman" w:hAnsi="Times New Roman" w:cs="Times New Roman"/>
          <w:sz w:val="24"/>
          <w:szCs w:val="24"/>
        </w:rPr>
        <w:t>.</w:t>
      </w:r>
    </w:p>
    <w:p w:rsidR="00C67A39" w:rsidRDefault="00C67A39" w:rsidP="00373464">
      <w:pPr>
        <w:autoSpaceDE w:val="0"/>
        <w:autoSpaceDN w:val="0"/>
        <w:adjustRightInd w:val="0"/>
        <w:spacing w:after="0" w:line="240" w:lineRule="auto"/>
        <w:jc w:val="both"/>
        <w:rPr>
          <w:rFonts w:ascii="Times New Roman" w:hAnsi="Times New Roman" w:cs="Times New Roman"/>
          <w:sz w:val="24"/>
          <w:szCs w:val="24"/>
        </w:rPr>
      </w:pPr>
    </w:p>
    <w:p w:rsidR="0086441D" w:rsidRPr="00097446" w:rsidRDefault="0086441D" w:rsidP="0086441D">
      <w:pPr>
        <w:pStyle w:val="ListParagraph"/>
        <w:numPr>
          <w:ilvl w:val="0"/>
          <w:numId w:val="26"/>
        </w:numPr>
        <w:autoSpaceDE w:val="0"/>
        <w:autoSpaceDN w:val="0"/>
        <w:adjustRightInd w:val="0"/>
        <w:spacing w:after="0" w:line="240" w:lineRule="auto"/>
        <w:ind w:hanging="720"/>
        <w:jc w:val="both"/>
        <w:rPr>
          <w:rFonts w:ascii="Times New Roman" w:hAnsi="Times New Roman" w:cs="Times New Roman"/>
          <w:b/>
          <w:sz w:val="24"/>
          <w:szCs w:val="24"/>
        </w:rPr>
      </w:pPr>
      <w:r w:rsidRPr="00097446">
        <w:rPr>
          <w:rFonts w:ascii="Times New Roman" w:hAnsi="Times New Roman" w:cs="Times New Roman"/>
          <w:b/>
          <w:sz w:val="24"/>
          <w:szCs w:val="24"/>
        </w:rPr>
        <w:t xml:space="preserve">Review of </w:t>
      </w:r>
      <w:r w:rsidR="00735FB4" w:rsidRPr="00097446">
        <w:rPr>
          <w:rFonts w:ascii="Times New Roman" w:hAnsi="Times New Roman" w:cs="Times New Roman"/>
          <w:b/>
          <w:sz w:val="24"/>
          <w:szCs w:val="24"/>
        </w:rPr>
        <w:t xml:space="preserve">Related </w:t>
      </w:r>
      <w:r w:rsidR="00F84782" w:rsidRPr="00097446">
        <w:rPr>
          <w:rFonts w:ascii="Times New Roman" w:hAnsi="Times New Roman" w:cs="Times New Roman"/>
          <w:b/>
          <w:sz w:val="24"/>
          <w:szCs w:val="24"/>
        </w:rPr>
        <w:t>theoretical</w:t>
      </w:r>
      <w:r w:rsidR="00856D3C" w:rsidRPr="00097446">
        <w:rPr>
          <w:rFonts w:ascii="Times New Roman" w:hAnsi="Times New Roman" w:cs="Times New Roman"/>
          <w:b/>
          <w:sz w:val="24"/>
          <w:szCs w:val="24"/>
        </w:rPr>
        <w:t xml:space="preserve"> and Empirical</w:t>
      </w:r>
      <w:r w:rsidR="00F84782" w:rsidRPr="00097446">
        <w:rPr>
          <w:rFonts w:ascii="Times New Roman" w:hAnsi="Times New Roman" w:cs="Times New Roman"/>
          <w:b/>
          <w:sz w:val="24"/>
          <w:szCs w:val="24"/>
        </w:rPr>
        <w:t xml:space="preserve"> </w:t>
      </w:r>
      <w:r w:rsidRPr="00097446">
        <w:rPr>
          <w:rFonts w:ascii="Times New Roman" w:hAnsi="Times New Roman" w:cs="Times New Roman"/>
          <w:b/>
          <w:sz w:val="24"/>
          <w:szCs w:val="24"/>
        </w:rPr>
        <w:t>Literature:</w:t>
      </w:r>
    </w:p>
    <w:p w:rsidR="00735FB4" w:rsidRPr="00735FB4" w:rsidRDefault="00735FB4" w:rsidP="00735FB4">
      <w:pPr>
        <w:autoSpaceDE w:val="0"/>
        <w:autoSpaceDN w:val="0"/>
        <w:adjustRightInd w:val="0"/>
        <w:spacing w:after="0" w:line="240" w:lineRule="auto"/>
        <w:jc w:val="both"/>
        <w:rPr>
          <w:rFonts w:ascii="Times New Roman" w:hAnsi="Times New Roman" w:cs="Times New Roman"/>
          <w:b/>
          <w:color w:val="FF0000"/>
          <w:sz w:val="8"/>
          <w:szCs w:val="24"/>
        </w:rPr>
      </w:pPr>
    </w:p>
    <w:p w:rsidR="00A3774A" w:rsidRPr="00672A40" w:rsidRDefault="00735FB4" w:rsidP="00243662">
      <w:pPr>
        <w:spacing w:after="0" w:line="240" w:lineRule="auto"/>
        <w:jc w:val="both"/>
        <w:rPr>
          <w:rFonts w:ascii="Times New Roman" w:hAnsi="Times New Roman" w:cs="Times New Roman"/>
          <w:sz w:val="24"/>
          <w:szCs w:val="24"/>
        </w:rPr>
      </w:pPr>
      <w:r w:rsidRPr="00243662">
        <w:rPr>
          <w:rFonts w:ascii="Times New Roman" w:hAnsi="Times New Roman" w:cs="Times New Roman"/>
          <w:sz w:val="24"/>
          <w:szCs w:val="24"/>
        </w:rPr>
        <w:t xml:space="preserve">Oil price </w:t>
      </w:r>
      <w:r w:rsidR="007018BE" w:rsidRPr="00243662">
        <w:rPr>
          <w:rFonts w:ascii="Times New Roman" w:hAnsi="Times New Roman" w:cs="Times New Roman"/>
          <w:sz w:val="24"/>
          <w:szCs w:val="24"/>
        </w:rPr>
        <w:t>oscillations and exchange rate dynamics have</w:t>
      </w:r>
      <w:r w:rsidRPr="00243662">
        <w:rPr>
          <w:rFonts w:ascii="Times New Roman" w:hAnsi="Times New Roman" w:cs="Times New Roman"/>
          <w:sz w:val="24"/>
          <w:szCs w:val="24"/>
        </w:rPr>
        <w:t xml:space="preserve"> received significant </w:t>
      </w:r>
      <w:r w:rsidR="007018BE" w:rsidRPr="00243662">
        <w:rPr>
          <w:rFonts w:ascii="Times New Roman" w:hAnsi="Times New Roman" w:cs="Times New Roman"/>
          <w:sz w:val="24"/>
          <w:szCs w:val="24"/>
        </w:rPr>
        <w:t>attention</w:t>
      </w:r>
      <w:r w:rsidRPr="00243662">
        <w:rPr>
          <w:rFonts w:ascii="Times New Roman" w:hAnsi="Times New Roman" w:cs="Times New Roman"/>
          <w:sz w:val="24"/>
          <w:szCs w:val="24"/>
        </w:rPr>
        <w:t xml:space="preserve"> </w:t>
      </w:r>
      <w:r w:rsidR="007018BE" w:rsidRPr="00243662">
        <w:rPr>
          <w:rFonts w:ascii="Times New Roman" w:hAnsi="Times New Roman" w:cs="Times New Roman"/>
          <w:sz w:val="24"/>
          <w:szCs w:val="24"/>
        </w:rPr>
        <w:t xml:space="preserve">in the past and the present time </w:t>
      </w:r>
      <w:r w:rsidRPr="00243662">
        <w:rPr>
          <w:rFonts w:ascii="Times New Roman" w:hAnsi="Times New Roman" w:cs="Times New Roman"/>
          <w:sz w:val="24"/>
          <w:szCs w:val="24"/>
        </w:rPr>
        <w:t xml:space="preserve">for </w:t>
      </w:r>
      <w:r w:rsidR="007018BE" w:rsidRPr="00243662">
        <w:rPr>
          <w:rFonts w:ascii="Times New Roman" w:hAnsi="Times New Roman" w:cs="Times New Roman"/>
          <w:sz w:val="24"/>
          <w:szCs w:val="24"/>
        </w:rPr>
        <w:t>a distinguished</w:t>
      </w:r>
      <w:r w:rsidRPr="00243662">
        <w:rPr>
          <w:rFonts w:ascii="Times New Roman" w:hAnsi="Times New Roman" w:cs="Times New Roman"/>
          <w:sz w:val="24"/>
          <w:szCs w:val="24"/>
        </w:rPr>
        <w:t xml:space="preserve"> </w:t>
      </w:r>
      <w:r w:rsidR="007018BE" w:rsidRPr="00243662">
        <w:rPr>
          <w:rFonts w:ascii="Times New Roman" w:hAnsi="Times New Roman" w:cs="Times New Roman"/>
          <w:sz w:val="24"/>
          <w:szCs w:val="24"/>
        </w:rPr>
        <w:t>role it play</w:t>
      </w:r>
      <w:r w:rsidRPr="00243662">
        <w:rPr>
          <w:rFonts w:ascii="Times New Roman" w:hAnsi="Times New Roman" w:cs="Times New Roman"/>
          <w:sz w:val="24"/>
          <w:szCs w:val="24"/>
        </w:rPr>
        <w:t xml:space="preserve"> in </w:t>
      </w:r>
      <w:r w:rsidR="000654F1" w:rsidRPr="00243662">
        <w:rPr>
          <w:rFonts w:ascii="Times New Roman" w:hAnsi="Times New Roman" w:cs="Times New Roman"/>
          <w:sz w:val="24"/>
          <w:szCs w:val="24"/>
        </w:rPr>
        <w:t xml:space="preserve">economic </w:t>
      </w:r>
      <w:r w:rsidR="000654F1" w:rsidRPr="00982B9A">
        <w:rPr>
          <w:rFonts w:ascii="Times New Roman" w:hAnsi="Times New Roman" w:cs="Times New Roman"/>
          <w:sz w:val="24"/>
          <w:szCs w:val="24"/>
        </w:rPr>
        <w:t>performance</w:t>
      </w:r>
      <w:r w:rsidR="00F12F40" w:rsidRPr="00982B9A">
        <w:rPr>
          <w:rFonts w:ascii="Times New Roman" w:hAnsi="Times New Roman" w:cs="Times New Roman"/>
          <w:sz w:val="24"/>
          <w:szCs w:val="24"/>
        </w:rPr>
        <w:t xml:space="preserve"> (Ogundipe, et.al</w:t>
      </w:r>
      <w:r w:rsidR="00F12F40" w:rsidRPr="00243662">
        <w:rPr>
          <w:rFonts w:ascii="Times New Roman" w:hAnsi="Times New Roman" w:cs="Times New Roman"/>
          <w:sz w:val="24"/>
          <w:szCs w:val="24"/>
        </w:rPr>
        <w:t>, 2014)</w:t>
      </w:r>
      <w:r w:rsidRPr="00243662">
        <w:rPr>
          <w:rFonts w:ascii="Times New Roman" w:hAnsi="Times New Roman" w:cs="Times New Roman"/>
          <w:sz w:val="24"/>
          <w:szCs w:val="24"/>
        </w:rPr>
        <w:t xml:space="preserve">. The </w:t>
      </w:r>
      <w:r w:rsidR="007018BE" w:rsidRPr="00243662">
        <w:rPr>
          <w:rFonts w:ascii="Times New Roman" w:hAnsi="Times New Roman" w:cs="Times New Roman"/>
          <w:sz w:val="24"/>
          <w:szCs w:val="24"/>
        </w:rPr>
        <w:t>relation between cause and effect</w:t>
      </w:r>
      <w:r w:rsidRPr="00243662">
        <w:rPr>
          <w:rFonts w:ascii="Times New Roman" w:hAnsi="Times New Roman" w:cs="Times New Roman"/>
          <w:sz w:val="24"/>
          <w:szCs w:val="24"/>
        </w:rPr>
        <w:t xml:space="preserve"> of </w:t>
      </w:r>
      <w:r w:rsidR="007018BE" w:rsidRPr="00243662">
        <w:rPr>
          <w:rFonts w:ascii="Times New Roman" w:hAnsi="Times New Roman" w:cs="Times New Roman"/>
          <w:sz w:val="24"/>
          <w:szCs w:val="24"/>
        </w:rPr>
        <w:t xml:space="preserve">enormous </w:t>
      </w:r>
      <w:r w:rsidRPr="00243662">
        <w:rPr>
          <w:rFonts w:ascii="Times New Roman" w:hAnsi="Times New Roman" w:cs="Times New Roman"/>
          <w:sz w:val="24"/>
          <w:szCs w:val="24"/>
        </w:rPr>
        <w:t xml:space="preserve">increases in oil price on </w:t>
      </w:r>
      <w:r w:rsidR="007018BE" w:rsidRPr="00243662">
        <w:rPr>
          <w:rFonts w:ascii="Times New Roman" w:hAnsi="Times New Roman" w:cs="Times New Roman"/>
          <w:sz w:val="24"/>
          <w:szCs w:val="24"/>
        </w:rPr>
        <w:t xml:space="preserve">economic performances through its influence on some </w:t>
      </w:r>
      <w:r w:rsidRPr="00243662">
        <w:rPr>
          <w:rFonts w:ascii="Times New Roman" w:hAnsi="Times New Roman" w:cs="Times New Roman"/>
          <w:sz w:val="24"/>
          <w:szCs w:val="24"/>
        </w:rPr>
        <w:t xml:space="preserve">macroeconomic variables have been of great </w:t>
      </w:r>
      <w:r w:rsidR="007018BE" w:rsidRPr="00243662">
        <w:rPr>
          <w:rFonts w:ascii="Times New Roman" w:hAnsi="Times New Roman" w:cs="Times New Roman"/>
          <w:sz w:val="24"/>
          <w:szCs w:val="24"/>
        </w:rPr>
        <w:t>worry</w:t>
      </w:r>
      <w:r w:rsidRPr="00243662">
        <w:rPr>
          <w:rFonts w:ascii="Times New Roman" w:hAnsi="Times New Roman" w:cs="Times New Roman"/>
          <w:sz w:val="24"/>
          <w:szCs w:val="24"/>
        </w:rPr>
        <w:t xml:space="preserve"> among </w:t>
      </w:r>
      <w:r w:rsidR="007018BE" w:rsidRPr="00243662">
        <w:rPr>
          <w:rFonts w:ascii="Times New Roman" w:hAnsi="Times New Roman" w:cs="Times New Roman"/>
          <w:sz w:val="24"/>
          <w:szCs w:val="24"/>
        </w:rPr>
        <w:t>researchers, economists, analysts</w:t>
      </w:r>
      <w:r w:rsidRPr="00243662">
        <w:rPr>
          <w:rFonts w:ascii="Times New Roman" w:hAnsi="Times New Roman" w:cs="Times New Roman"/>
          <w:sz w:val="24"/>
          <w:szCs w:val="24"/>
        </w:rPr>
        <w:t xml:space="preserve"> and as well</w:t>
      </w:r>
      <w:r w:rsidR="007018BE" w:rsidRPr="00243662">
        <w:rPr>
          <w:rFonts w:ascii="Times New Roman" w:hAnsi="Times New Roman" w:cs="Times New Roman"/>
          <w:sz w:val="24"/>
          <w:szCs w:val="24"/>
        </w:rPr>
        <w:t>,</w:t>
      </w:r>
      <w:r w:rsidRPr="00243662">
        <w:rPr>
          <w:rFonts w:ascii="Times New Roman" w:hAnsi="Times New Roman" w:cs="Times New Roman"/>
          <w:sz w:val="24"/>
          <w:szCs w:val="24"/>
        </w:rPr>
        <w:t xml:space="preserve"> the general public</w:t>
      </w:r>
      <w:r w:rsidR="007018BE" w:rsidRPr="00243662">
        <w:rPr>
          <w:rFonts w:ascii="Times New Roman" w:hAnsi="Times New Roman" w:cs="Times New Roman"/>
          <w:sz w:val="24"/>
          <w:szCs w:val="24"/>
        </w:rPr>
        <w:t xml:space="preserve"> </w:t>
      </w:r>
      <w:r w:rsidRPr="00243662">
        <w:rPr>
          <w:rFonts w:ascii="Times New Roman" w:hAnsi="Times New Roman" w:cs="Times New Roman"/>
          <w:sz w:val="24"/>
          <w:szCs w:val="24"/>
        </w:rPr>
        <w:t>since</w:t>
      </w:r>
      <w:r w:rsidR="007018BE" w:rsidRPr="00243662">
        <w:rPr>
          <w:rFonts w:ascii="Times New Roman" w:hAnsi="Times New Roman" w:cs="Times New Roman"/>
          <w:sz w:val="24"/>
          <w:szCs w:val="24"/>
        </w:rPr>
        <w:t xml:space="preserve"> the </w:t>
      </w:r>
      <w:r w:rsidR="002E71FC" w:rsidRPr="00243662">
        <w:rPr>
          <w:rFonts w:ascii="Times New Roman" w:hAnsi="Times New Roman" w:cs="Times New Roman"/>
          <w:sz w:val="24"/>
          <w:szCs w:val="24"/>
        </w:rPr>
        <w:t xml:space="preserve">ugly </w:t>
      </w:r>
      <w:r w:rsidR="007018BE" w:rsidRPr="00243662">
        <w:rPr>
          <w:rFonts w:ascii="Times New Roman" w:hAnsi="Times New Roman" w:cs="Times New Roman"/>
          <w:sz w:val="24"/>
          <w:szCs w:val="24"/>
        </w:rPr>
        <w:t>experience from</w:t>
      </w:r>
      <w:r w:rsidRPr="00243662">
        <w:rPr>
          <w:rFonts w:ascii="Times New Roman" w:hAnsi="Times New Roman" w:cs="Times New Roman"/>
          <w:sz w:val="24"/>
          <w:szCs w:val="24"/>
        </w:rPr>
        <w:t xml:space="preserve"> two </w:t>
      </w:r>
      <w:r w:rsidRPr="00243662">
        <w:rPr>
          <w:rFonts w:ascii="Times New Roman" w:hAnsi="Times New Roman" w:cs="Times New Roman"/>
          <w:sz w:val="24"/>
          <w:szCs w:val="24"/>
        </w:rPr>
        <w:lastRenderedPageBreak/>
        <w:t xml:space="preserve">major </w:t>
      </w:r>
      <w:r w:rsidR="002E71FC" w:rsidRPr="00243662">
        <w:rPr>
          <w:rFonts w:ascii="Times New Roman" w:hAnsi="Times New Roman" w:cs="Times New Roman"/>
          <w:sz w:val="24"/>
          <w:szCs w:val="24"/>
        </w:rPr>
        <w:t xml:space="preserve">international </w:t>
      </w:r>
      <w:r w:rsidRPr="00243662">
        <w:rPr>
          <w:rFonts w:ascii="Times New Roman" w:hAnsi="Times New Roman" w:cs="Times New Roman"/>
          <w:sz w:val="24"/>
          <w:szCs w:val="24"/>
        </w:rPr>
        <w:t xml:space="preserve">oil price shocks in the </w:t>
      </w:r>
      <w:r w:rsidRPr="00702EC3">
        <w:rPr>
          <w:rFonts w:ascii="Times New Roman" w:hAnsi="Times New Roman" w:cs="Times New Roman"/>
          <w:sz w:val="24"/>
          <w:szCs w:val="24"/>
        </w:rPr>
        <w:t>70s (Sill 2009</w:t>
      </w:r>
      <w:r w:rsidRPr="00243662">
        <w:rPr>
          <w:rFonts w:ascii="Times New Roman" w:hAnsi="Times New Roman" w:cs="Times New Roman"/>
          <w:sz w:val="24"/>
          <w:szCs w:val="24"/>
        </w:rPr>
        <w:t xml:space="preserve">). Many </w:t>
      </w:r>
      <w:r w:rsidR="002E71FC" w:rsidRPr="00243662">
        <w:rPr>
          <w:rFonts w:ascii="Times New Roman" w:hAnsi="Times New Roman" w:cs="Times New Roman"/>
          <w:sz w:val="24"/>
          <w:szCs w:val="24"/>
        </w:rPr>
        <w:t xml:space="preserve">studies </w:t>
      </w:r>
      <w:r w:rsidRPr="00243662">
        <w:rPr>
          <w:rFonts w:ascii="Times New Roman" w:hAnsi="Times New Roman" w:cs="Times New Roman"/>
          <w:sz w:val="24"/>
          <w:szCs w:val="24"/>
        </w:rPr>
        <w:t xml:space="preserve">have </w:t>
      </w:r>
      <w:r w:rsidR="002E71FC" w:rsidRPr="00243662">
        <w:rPr>
          <w:rFonts w:ascii="Times New Roman" w:hAnsi="Times New Roman" w:cs="Times New Roman"/>
          <w:sz w:val="24"/>
          <w:szCs w:val="24"/>
        </w:rPr>
        <w:t>argued</w:t>
      </w:r>
      <w:r w:rsidRPr="00243662">
        <w:rPr>
          <w:rFonts w:ascii="Times New Roman" w:hAnsi="Times New Roman" w:cs="Times New Roman"/>
          <w:sz w:val="24"/>
          <w:szCs w:val="24"/>
        </w:rPr>
        <w:t xml:space="preserve"> that oil price have a significant influence on exchange rate</w:t>
      </w:r>
      <w:r w:rsidR="00243662">
        <w:rPr>
          <w:rFonts w:ascii="Times New Roman" w:hAnsi="Times New Roman" w:cs="Times New Roman"/>
          <w:sz w:val="24"/>
          <w:szCs w:val="24"/>
        </w:rPr>
        <w:t>, maintaining</w:t>
      </w:r>
      <w:r w:rsidRPr="00243662">
        <w:rPr>
          <w:rFonts w:ascii="Times New Roman" w:hAnsi="Times New Roman" w:cs="Times New Roman"/>
          <w:sz w:val="24"/>
          <w:szCs w:val="24"/>
        </w:rPr>
        <w:t xml:space="preserve"> that oil price m</w:t>
      </w:r>
      <w:r w:rsidR="00F12F40" w:rsidRPr="00243662">
        <w:rPr>
          <w:rFonts w:ascii="Times New Roman" w:hAnsi="Times New Roman" w:cs="Times New Roman"/>
          <w:sz w:val="24"/>
          <w:szCs w:val="24"/>
        </w:rPr>
        <w:t>ay</w:t>
      </w:r>
      <w:r w:rsidRPr="00243662">
        <w:rPr>
          <w:rFonts w:ascii="Times New Roman" w:hAnsi="Times New Roman" w:cs="Times New Roman"/>
          <w:sz w:val="24"/>
          <w:szCs w:val="24"/>
        </w:rPr>
        <w:t xml:space="preserve"> be </w:t>
      </w:r>
      <w:r w:rsidR="00F12F40" w:rsidRPr="00243662">
        <w:rPr>
          <w:rFonts w:ascii="Times New Roman" w:hAnsi="Times New Roman" w:cs="Times New Roman"/>
          <w:sz w:val="24"/>
          <w:szCs w:val="24"/>
        </w:rPr>
        <w:t>sufficient</w:t>
      </w:r>
      <w:r w:rsidRPr="00243662">
        <w:rPr>
          <w:rFonts w:ascii="Times New Roman" w:hAnsi="Times New Roman" w:cs="Times New Roman"/>
          <w:sz w:val="24"/>
          <w:szCs w:val="24"/>
        </w:rPr>
        <w:t xml:space="preserve"> </w:t>
      </w:r>
      <w:r w:rsidR="00F12F40" w:rsidRPr="00243662">
        <w:rPr>
          <w:rFonts w:ascii="Times New Roman" w:hAnsi="Times New Roman" w:cs="Times New Roman"/>
          <w:sz w:val="24"/>
          <w:szCs w:val="24"/>
        </w:rPr>
        <w:t>to explain all the long-</w:t>
      </w:r>
      <w:r w:rsidRPr="00243662">
        <w:rPr>
          <w:rFonts w:ascii="Times New Roman" w:hAnsi="Times New Roman" w:cs="Times New Roman"/>
          <w:sz w:val="24"/>
          <w:szCs w:val="24"/>
        </w:rPr>
        <w:t>run movements in exchange rate (</w:t>
      </w:r>
      <w:r w:rsidR="006E4589" w:rsidRPr="00243662">
        <w:rPr>
          <w:rFonts w:ascii="Times New Roman" w:hAnsi="Times New Roman" w:cs="Times New Roman"/>
          <w:sz w:val="24"/>
          <w:szCs w:val="24"/>
        </w:rPr>
        <w:t xml:space="preserve">e.g. </w:t>
      </w:r>
      <w:r w:rsidRPr="001A29AC">
        <w:rPr>
          <w:rFonts w:ascii="Times New Roman" w:hAnsi="Times New Roman" w:cs="Times New Roman"/>
          <w:color w:val="000000" w:themeColor="text1"/>
          <w:sz w:val="24"/>
          <w:szCs w:val="24"/>
        </w:rPr>
        <w:t>Al-Ezzee, 2011)</w:t>
      </w:r>
      <w:r w:rsidR="00F12F40" w:rsidRPr="001A29AC">
        <w:rPr>
          <w:rFonts w:ascii="Times New Roman" w:hAnsi="Times New Roman" w:cs="Times New Roman"/>
          <w:color w:val="000000" w:themeColor="text1"/>
          <w:sz w:val="24"/>
          <w:szCs w:val="24"/>
        </w:rPr>
        <w:t>.</w:t>
      </w:r>
      <w:r w:rsidRPr="00243662">
        <w:rPr>
          <w:rFonts w:ascii="Times New Roman" w:hAnsi="Times New Roman" w:cs="Times New Roman"/>
          <w:sz w:val="24"/>
          <w:szCs w:val="24"/>
        </w:rPr>
        <w:t xml:space="preserve"> </w:t>
      </w:r>
      <w:r w:rsidR="00F12F40" w:rsidRPr="00243662">
        <w:rPr>
          <w:rFonts w:ascii="Times New Roman" w:hAnsi="Times New Roman" w:cs="Times New Roman"/>
          <w:sz w:val="24"/>
          <w:szCs w:val="24"/>
        </w:rPr>
        <w:t xml:space="preserve">Like other low income and emerging economies, </w:t>
      </w:r>
      <w:r w:rsidRPr="00243662">
        <w:rPr>
          <w:rFonts w:ascii="Times New Roman" w:hAnsi="Times New Roman" w:cs="Times New Roman"/>
          <w:sz w:val="24"/>
          <w:szCs w:val="24"/>
        </w:rPr>
        <w:t>Nigeria adopted two ma</w:t>
      </w:r>
      <w:r w:rsidR="00F12F40" w:rsidRPr="00243662">
        <w:rPr>
          <w:rFonts w:ascii="Times New Roman" w:hAnsi="Times New Roman" w:cs="Times New Roman"/>
          <w:sz w:val="24"/>
          <w:szCs w:val="24"/>
        </w:rPr>
        <w:t>jor</w:t>
      </w:r>
      <w:r w:rsidRPr="00243662">
        <w:rPr>
          <w:rFonts w:ascii="Times New Roman" w:hAnsi="Times New Roman" w:cs="Times New Roman"/>
          <w:sz w:val="24"/>
          <w:szCs w:val="24"/>
        </w:rPr>
        <w:t xml:space="preserve"> exchange rate regimes for the </w:t>
      </w:r>
      <w:r w:rsidR="00F12F40" w:rsidRPr="00243662">
        <w:rPr>
          <w:rFonts w:ascii="Times New Roman" w:hAnsi="Times New Roman" w:cs="Times New Roman"/>
          <w:sz w:val="24"/>
          <w:szCs w:val="24"/>
        </w:rPr>
        <w:t xml:space="preserve">sole aim </w:t>
      </w:r>
      <w:r w:rsidRPr="00243662">
        <w:rPr>
          <w:rFonts w:ascii="Times New Roman" w:hAnsi="Times New Roman" w:cs="Times New Roman"/>
          <w:sz w:val="24"/>
          <w:szCs w:val="24"/>
        </w:rPr>
        <w:t xml:space="preserve">of </w:t>
      </w:r>
      <w:r w:rsidR="00F12F40" w:rsidRPr="00243662">
        <w:rPr>
          <w:rFonts w:ascii="Times New Roman" w:hAnsi="Times New Roman" w:cs="Times New Roman"/>
          <w:sz w:val="24"/>
          <w:szCs w:val="24"/>
        </w:rPr>
        <w:t>attaining</w:t>
      </w:r>
      <w:r w:rsidRPr="00243662">
        <w:rPr>
          <w:rFonts w:ascii="Times New Roman" w:hAnsi="Times New Roman" w:cs="Times New Roman"/>
          <w:sz w:val="24"/>
          <w:szCs w:val="24"/>
        </w:rPr>
        <w:t xml:space="preserve"> internal and external</w:t>
      </w:r>
      <w:r w:rsidR="00F12F40" w:rsidRPr="00243662">
        <w:rPr>
          <w:rFonts w:ascii="Times New Roman" w:hAnsi="Times New Roman" w:cs="Times New Roman"/>
          <w:sz w:val="24"/>
          <w:szCs w:val="24"/>
        </w:rPr>
        <w:t xml:space="preserve"> balance; and to maintain s</w:t>
      </w:r>
      <w:r w:rsidRPr="00243662">
        <w:rPr>
          <w:rFonts w:ascii="Times New Roman" w:hAnsi="Times New Roman" w:cs="Times New Roman"/>
          <w:sz w:val="24"/>
          <w:szCs w:val="24"/>
        </w:rPr>
        <w:t xml:space="preserve">table exchange rate </w:t>
      </w:r>
      <w:r w:rsidR="00F12F40" w:rsidRPr="00243662">
        <w:rPr>
          <w:rFonts w:ascii="Times New Roman" w:hAnsi="Times New Roman" w:cs="Times New Roman"/>
          <w:sz w:val="24"/>
          <w:szCs w:val="24"/>
        </w:rPr>
        <w:t xml:space="preserve">in the economy </w:t>
      </w:r>
      <w:r w:rsidRPr="001A29AC">
        <w:rPr>
          <w:rFonts w:ascii="Times New Roman" w:hAnsi="Times New Roman" w:cs="Times New Roman"/>
          <w:color w:val="000000" w:themeColor="text1"/>
          <w:sz w:val="24"/>
          <w:szCs w:val="24"/>
        </w:rPr>
        <w:t>(Umar and Soliu 2009).</w:t>
      </w:r>
      <w:r w:rsidRPr="00243662">
        <w:rPr>
          <w:rFonts w:ascii="Times New Roman" w:hAnsi="Times New Roman" w:cs="Times New Roman"/>
          <w:sz w:val="24"/>
          <w:szCs w:val="24"/>
        </w:rPr>
        <w:t xml:space="preserve"> </w:t>
      </w:r>
      <w:r w:rsidR="00F12F40" w:rsidRPr="00243662">
        <w:rPr>
          <w:rFonts w:ascii="Times New Roman" w:hAnsi="Times New Roman" w:cs="Times New Roman"/>
          <w:sz w:val="24"/>
          <w:szCs w:val="24"/>
        </w:rPr>
        <w:t>Moreso, it has been stipulated that unstable</w:t>
      </w:r>
      <w:r w:rsidRPr="00243662">
        <w:rPr>
          <w:rFonts w:ascii="Times New Roman" w:hAnsi="Times New Roman" w:cs="Times New Roman"/>
          <w:sz w:val="24"/>
          <w:szCs w:val="24"/>
        </w:rPr>
        <w:t xml:space="preserve"> real exchange rate </w:t>
      </w:r>
      <w:r w:rsidR="00572AA4" w:rsidRPr="00243662">
        <w:rPr>
          <w:rFonts w:ascii="Times New Roman" w:hAnsi="Times New Roman" w:cs="Times New Roman"/>
          <w:sz w:val="24"/>
          <w:szCs w:val="24"/>
        </w:rPr>
        <w:t>aris</w:t>
      </w:r>
      <w:r w:rsidRPr="00243662">
        <w:rPr>
          <w:rFonts w:ascii="Times New Roman" w:hAnsi="Times New Roman" w:cs="Times New Roman"/>
          <w:sz w:val="24"/>
          <w:szCs w:val="24"/>
        </w:rPr>
        <w:t xml:space="preserve">ing from volatile oil prices are </w:t>
      </w:r>
      <w:r w:rsidR="00572AA4" w:rsidRPr="00243662">
        <w:rPr>
          <w:rFonts w:ascii="Times New Roman" w:hAnsi="Times New Roman" w:cs="Times New Roman"/>
          <w:sz w:val="24"/>
          <w:szCs w:val="24"/>
        </w:rPr>
        <w:t>detrimental to capital formation, non-</w:t>
      </w:r>
      <w:r w:rsidRPr="00243662">
        <w:rPr>
          <w:rFonts w:ascii="Times New Roman" w:hAnsi="Times New Roman" w:cs="Times New Roman"/>
          <w:sz w:val="24"/>
          <w:szCs w:val="24"/>
        </w:rPr>
        <w:t>oil se</w:t>
      </w:r>
      <w:r w:rsidR="00572AA4" w:rsidRPr="00243662">
        <w:rPr>
          <w:rFonts w:ascii="Times New Roman" w:hAnsi="Times New Roman" w:cs="Times New Roman"/>
          <w:sz w:val="24"/>
          <w:szCs w:val="24"/>
        </w:rPr>
        <w:t xml:space="preserve">ctor </w:t>
      </w:r>
      <w:r w:rsidR="00AA1DA3" w:rsidRPr="00243662">
        <w:rPr>
          <w:rFonts w:ascii="Times New Roman" w:hAnsi="Times New Roman" w:cs="Times New Roman"/>
          <w:sz w:val="24"/>
          <w:szCs w:val="24"/>
        </w:rPr>
        <w:t xml:space="preserve">performance </w:t>
      </w:r>
      <w:r w:rsidR="00572AA4" w:rsidRPr="00243662">
        <w:rPr>
          <w:rFonts w:ascii="Times New Roman" w:hAnsi="Times New Roman" w:cs="Times New Roman"/>
          <w:sz w:val="24"/>
          <w:szCs w:val="24"/>
        </w:rPr>
        <w:t>and per-</w:t>
      </w:r>
      <w:r w:rsidRPr="00243662">
        <w:rPr>
          <w:rFonts w:ascii="Times New Roman" w:hAnsi="Times New Roman" w:cs="Times New Roman"/>
          <w:sz w:val="24"/>
          <w:szCs w:val="24"/>
        </w:rPr>
        <w:t xml:space="preserve">capita income </w:t>
      </w:r>
      <w:r w:rsidR="00572AA4" w:rsidRPr="00243662">
        <w:rPr>
          <w:rFonts w:ascii="Times New Roman" w:hAnsi="Times New Roman" w:cs="Times New Roman"/>
          <w:sz w:val="24"/>
          <w:szCs w:val="24"/>
        </w:rPr>
        <w:t xml:space="preserve">of the households and their saving </w:t>
      </w:r>
      <w:r w:rsidR="00572AA4" w:rsidRPr="001A29AC">
        <w:rPr>
          <w:rFonts w:ascii="Times New Roman" w:hAnsi="Times New Roman" w:cs="Times New Roman"/>
          <w:color w:val="000000" w:themeColor="text1"/>
          <w:sz w:val="24"/>
          <w:szCs w:val="24"/>
        </w:rPr>
        <w:t xml:space="preserve">(Serven and Solimano, 1993 and Bagella, </w:t>
      </w:r>
      <w:r w:rsidRPr="001A29AC">
        <w:rPr>
          <w:rFonts w:ascii="Times New Roman" w:hAnsi="Times New Roman" w:cs="Times New Roman"/>
          <w:color w:val="000000" w:themeColor="text1"/>
          <w:sz w:val="24"/>
          <w:szCs w:val="24"/>
        </w:rPr>
        <w:t>2006).</w:t>
      </w:r>
      <w:r w:rsidRPr="00243662">
        <w:rPr>
          <w:rFonts w:ascii="Times New Roman" w:hAnsi="Times New Roman" w:cs="Times New Roman"/>
          <w:sz w:val="24"/>
          <w:szCs w:val="24"/>
        </w:rPr>
        <w:t xml:space="preserve"> Th</w:t>
      </w:r>
      <w:r w:rsidR="00572AA4" w:rsidRPr="00243662">
        <w:rPr>
          <w:rFonts w:ascii="Times New Roman" w:hAnsi="Times New Roman" w:cs="Times New Roman"/>
          <w:sz w:val="24"/>
          <w:szCs w:val="24"/>
        </w:rPr>
        <w:t xml:space="preserve">is is why </w:t>
      </w:r>
      <w:r w:rsidR="00572AA4" w:rsidRPr="00292681">
        <w:rPr>
          <w:rFonts w:ascii="Times New Roman" w:hAnsi="Times New Roman" w:cs="Times New Roman"/>
          <w:color w:val="000000" w:themeColor="text1"/>
          <w:sz w:val="24"/>
          <w:szCs w:val="24"/>
        </w:rPr>
        <w:t>Isard (2007)</w:t>
      </w:r>
      <w:r w:rsidR="00572AA4" w:rsidRPr="00243662">
        <w:rPr>
          <w:rFonts w:ascii="Times New Roman" w:hAnsi="Times New Roman" w:cs="Times New Roman"/>
          <w:sz w:val="24"/>
          <w:szCs w:val="24"/>
        </w:rPr>
        <w:t xml:space="preserve"> argued that the</w:t>
      </w:r>
      <w:r w:rsidRPr="00243662">
        <w:rPr>
          <w:rFonts w:ascii="Times New Roman" w:hAnsi="Times New Roman" w:cs="Times New Roman"/>
          <w:sz w:val="24"/>
          <w:szCs w:val="24"/>
        </w:rPr>
        <w:t xml:space="preserve"> consequences of </w:t>
      </w:r>
      <w:r w:rsidR="00AA1DA3" w:rsidRPr="00243662">
        <w:rPr>
          <w:rFonts w:ascii="Times New Roman" w:hAnsi="Times New Roman" w:cs="Times New Roman"/>
          <w:sz w:val="24"/>
          <w:szCs w:val="24"/>
        </w:rPr>
        <w:t>extensive</w:t>
      </w:r>
      <w:r w:rsidRPr="00243662">
        <w:rPr>
          <w:rFonts w:ascii="Times New Roman" w:hAnsi="Times New Roman" w:cs="Times New Roman"/>
          <w:sz w:val="24"/>
          <w:szCs w:val="24"/>
        </w:rPr>
        <w:t xml:space="preserve"> misalignments of exchange rate can lead to shortage in output and </w:t>
      </w:r>
      <w:r w:rsidR="00AA1DA3" w:rsidRPr="00243662">
        <w:rPr>
          <w:rFonts w:ascii="Times New Roman" w:hAnsi="Times New Roman" w:cs="Times New Roman"/>
          <w:sz w:val="24"/>
          <w:szCs w:val="24"/>
        </w:rPr>
        <w:t>vast</w:t>
      </w:r>
      <w:r w:rsidRPr="00243662">
        <w:rPr>
          <w:rFonts w:ascii="Times New Roman" w:hAnsi="Times New Roman" w:cs="Times New Roman"/>
          <w:sz w:val="24"/>
          <w:szCs w:val="24"/>
        </w:rPr>
        <w:t xml:space="preserve"> economic </w:t>
      </w:r>
      <w:r w:rsidR="006E4589" w:rsidRPr="00243662">
        <w:rPr>
          <w:rFonts w:ascii="Times New Roman" w:hAnsi="Times New Roman" w:cs="Times New Roman"/>
          <w:sz w:val="24"/>
          <w:szCs w:val="24"/>
        </w:rPr>
        <w:t>mishap</w:t>
      </w:r>
      <w:r w:rsidRPr="00243662">
        <w:rPr>
          <w:rFonts w:ascii="Times New Roman" w:hAnsi="Times New Roman" w:cs="Times New Roman"/>
          <w:sz w:val="24"/>
          <w:szCs w:val="24"/>
        </w:rPr>
        <w:t>.</w:t>
      </w:r>
      <w:r w:rsidR="00243662">
        <w:rPr>
          <w:rFonts w:ascii="Times New Roman" w:hAnsi="Times New Roman" w:cs="Times New Roman"/>
          <w:sz w:val="24"/>
          <w:szCs w:val="24"/>
        </w:rPr>
        <w:t xml:space="preserve"> </w:t>
      </w:r>
      <w:r w:rsidR="00C72A55" w:rsidRPr="00672A40">
        <w:rPr>
          <w:rFonts w:ascii="Times New Roman" w:hAnsi="Times New Roman" w:cs="Times New Roman"/>
          <w:sz w:val="24"/>
          <w:szCs w:val="24"/>
        </w:rPr>
        <w:t>In addition, in</w:t>
      </w:r>
      <w:r w:rsidR="005E214D" w:rsidRPr="00672A40">
        <w:rPr>
          <w:rFonts w:ascii="Times New Roman" w:hAnsi="Times New Roman" w:cs="Times New Roman"/>
          <w:sz w:val="24"/>
          <w:szCs w:val="24"/>
        </w:rPr>
        <w:t xml:space="preserve"> a</w:t>
      </w:r>
      <w:r w:rsidR="00C72A55" w:rsidRPr="00672A40">
        <w:rPr>
          <w:rFonts w:ascii="Times New Roman" w:hAnsi="Times New Roman" w:cs="Times New Roman"/>
          <w:sz w:val="24"/>
          <w:szCs w:val="24"/>
        </w:rPr>
        <w:t xml:space="preserve"> study by </w:t>
      </w:r>
      <w:r w:rsidR="00A3774A" w:rsidRPr="00672A40">
        <w:rPr>
          <w:rFonts w:ascii="Times New Roman" w:hAnsi="Times New Roman" w:cs="Times New Roman"/>
          <w:sz w:val="24"/>
          <w:szCs w:val="24"/>
        </w:rPr>
        <w:t xml:space="preserve">Trung and Vinh (2011) </w:t>
      </w:r>
      <w:r w:rsidR="00C72A55" w:rsidRPr="00672A40">
        <w:rPr>
          <w:rFonts w:ascii="Times New Roman" w:hAnsi="Times New Roman" w:cs="Times New Roman"/>
          <w:sz w:val="24"/>
          <w:szCs w:val="24"/>
        </w:rPr>
        <w:t xml:space="preserve">on the impact of oil shock, </w:t>
      </w:r>
      <w:r w:rsidR="00A3774A" w:rsidRPr="00672A40">
        <w:rPr>
          <w:rFonts w:ascii="Times New Roman" w:hAnsi="Times New Roman" w:cs="Times New Roman"/>
          <w:sz w:val="24"/>
          <w:szCs w:val="24"/>
        </w:rPr>
        <w:t>th</w:t>
      </w:r>
      <w:r w:rsidR="00C72A55" w:rsidRPr="00672A40">
        <w:rPr>
          <w:rFonts w:ascii="Times New Roman" w:hAnsi="Times New Roman" w:cs="Times New Roman"/>
          <w:sz w:val="24"/>
          <w:szCs w:val="24"/>
        </w:rPr>
        <w:t xml:space="preserve">ey pointed </w:t>
      </w:r>
      <w:r w:rsidR="00A3774A" w:rsidRPr="00672A40">
        <w:rPr>
          <w:rFonts w:ascii="Times New Roman" w:hAnsi="Times New Roman" w:cs="Times New Roman"/>
          <w:sz w:val="24"/>
          <w:szCs w:val="24"/>
        </w:rPr>
        <w:t xml:space="preserve">two reasons </w:t>
      </w:r>
      <w:r w:rsidR="00C72A55" w:rsidRPr="00672A40">
        <w:rPr>
          <w:rFonts w:ascii="Times New Roman" w:hAnsi="Times New Roman" w:cs="Times New Roman"/>
          <w:sz w:val="24"/>
          <w:szCs w:val="24"/>
        </w:rPr>
        <w:t>in which macroeconomic performance indicators</w:t>
      </w:r>
      <w:r w:rsidR="00A3774A" w:rsidRPr="00672A40">
        <w:rPr>
          <w:rFonts w:ascii="Times New Roman" w:hAnsi="Times New Roman" w:cs="Times New Roman"/>
          <w:sz w:val="24"/>
          <w:szCs w:val="24"/>
        </w:rPr>
        <w:t xml:space="preserve"> </w:t>
      </w:r>
      <w:r w:rsidR="00C72A55" w:rsidRPr="00672A40">
        <w:rPr>
          <w:rFonts w:ascii="Times New Roman" w:hAnsi="Times New Roman" w:cs="Times New Roman"/>
          <w:sz w:val="24"/>
          <w:szCs w:val="24"/>
        </w:rPr>
        <w:t>may</w:t>
      </w:r>
      <w:r w:rsidR="00A3774A" w:rsidRPr="00672A40">
        <w:rPr>
          <w:rFonts w:ascii="Times New Roman" w:hAnsi="Times New Roman" w:cs="Times New Roman"/>
          <w:sz w:val="24"/>
          <w:szCs w:val="24"/>
        </w:rPr>
        <w:t xml:space="preserve"> be affected by oil shocks.</w:t>
      </w:r>
      <w:r w:rsidR="00035A74" w:rsidRPr="00672A40">
        <w:rPr>
          <w:rFonts w:ascii="Times New Roman" w:hAnsi="Times New Roman" w:cs="Times New Roman"/>
          <w:sz w:val="24"/>
          <w:szCs w:val="24"/>
        </w:rPr>
        <w:t xml:space="preserve"> First, oil increase could deplete </w:t>
      </w:r>
      <w:r w:rsidR="00A3774A" w:rsidRPr="00672A40">
        <w:rPr>
          <w:rFonts w:ascii="Times New Roman" w:hAnsi="Times New Roman" w:cs="Times New Roman"/>
          <w:sz w:val="24"/>
          <w:szCs w:val="24"/>
        </w:rPr>
        <w:t xml:space="preserve">aggregate demand given that income is </w:t>
      </w:r>
      <w:r w:rsidR="00035A74" w:rsidRPr="00672A40">
        <w:rPr>
          <w:rFonts w:ascii="Times New Roman" w:hAnsi="Times New Roman" w:cs="Times New Roman"/>
          <w:sz w:val="24"/>
          <w:szCs w:val="24"/>
        </w:rPr>
        <w:t>reallocated</w:t>
      </w:r>
      <w:r w:rsidR="00A3774A" w:rsidRPr="00672A40">
        <w:rPr>
          <w:rFonts w:ascii="Times New Roman" w:hAnsi="Times New Roman" w:cs="Times New Roman"/>
          <w:sz w:val="24"/>
          <w:szCs w:val="24"/>
        </w:rPr>
        <w:t xml:space="preserve"> between net oil import and export countries. </w:t>
      </w:r>
      <w:r w:rsidR="00035A74" w:rsidRPr="00672A40">
        <w:rPr>
          <w:rFonts w:ascii="Times New Roman" w:hAnsi="Times New Roman" w:cs="Times New Roman"/>
          <w:sz w:val="24"/>
          <w:szCs w:val="24"/>
        </w:rPr>
        <w:t>Also, increase</w:t>
      </w:r>
      <w:r w:rsidR="00A3774A" w:rsidRPr="00672A40">
        <w:rPr>
          <w:rFonts w:ascii="Times New Roman" w:hAnsi="Times New Roman" w:cs="Times New Roman"/>
          <w:sz w:val="24"/>
          <w:szCs w:val="24"/>
        </w:rPr>
        <w:t xml:space="preserve"> </w:t>
      </w:r>
      <w:r w:rsidR="00035A74" w:rsidRPr="00672A40">
        <w:rPr>
          <w:rFonts w:ascii="Times New Roman" w:hAnsi="Times New Roman" w:cs="Times New Roman"/>
          <w:sz w:val="24"/>
          <w:szCs w:val="24"/>
        </w:rPr>
        <w:t xml:space="preserve">in oil price </w:t>
      </w:r>
      <w:r w:rsidR="00484554" w:rsidRPr="00672A40">
        <w:rPr>
          <w:rFonts w:ascii="Times New Roman" w:hAnsi="Times New Roman" w:cs="Times New Roman"/>
          <w:sz w:val="24"/>
          <w:szCs w:val="24"/>
        </w:rPr>
        <w:t>alter</w:t>
      </w:r>
      <w:r w:rsidR="00936943" w:rsidRPr="00672A40">
        <w:rPr>
          <w:rFonts w:ascii="Times New Roman" w:hAnsi="Times New Roman" w:cs="Times New Roman"/>
          <w:sz w:val="24"/>
          <w:szCs w:val="24"/>
        </w:rPr>
        <w:t>s</w:t>
      </w:r>
      <w:r w:rsidR="00A3774A" w:rsidRPr="00672A40">
        <w:rPr>
          <w:rFonts w:ascii="Times New Roman" w:hAnsi="Times New Roman" w:cs="Times New Roman"/>
          <w:sz w:val="24"/>
          <w:szCs w:val="24"/>
        </w:rPr>
        <w:t xml:space="preserve"> economic </w:t>
      </w:r>
      <w:r w:rsidR="00035A74" w:rsidRPr="00672A40">
        <w:rPr>
          <w:rFonts w:ascii="Times New Roman" w:hAnsi="Times New Roman" w:cs="Times New Roman"/>
          <w:sz w:val="24"/>
          <w:szCs w:val="24"/>
        </w:rPr>
        <w:t xml:space="preserve">performance </w:t>
      </w:r>
      <w:r w:rsidR="00A3774A" w:rsidRPr="00672A40">
        <w:rPr>
          <w:rFonts w:ascii="Times New Roman" w:hAnsi="Times New Roman" w:cs="Times New Roman"/>
          <w:sz w:val="24"/>
          <w:szCs w:val="24"/>
        </w:rPr>
        <w:t>because</w:t>
      </w:r>
      <w:r w:rsidR="00035A74" w:rsidRPr="00672A40">
        <w:rPr>
          <w:rFonts w:ascii="Times New Roman" w:hAnsi="Times New Roman" w:cs="Times New Roman"/>
          <w:sz w:val="24"/>
          <w:szCs w:val="24"/>
        </w:rPr>
        <w:t>, in low income countries like Nigeria,</w:t>
      </w:r>
      <w:r w:rsidR="00A3774A" w:rsidRPr="00672A40">
        <w:rPr>
          <w:rFonts w:ascii="Times New Roman" w:hAnsi="Times New Roman" w:cs="Times New Roman"/>
          <w:sz w:val="24"/>
          <w:szCs w:val="24"/>
        </w:rPr>
        <w:t xml:space="preserve"> </w:t>
      </w:r>
      <w:r w:rsidR="00035A74" w:rsidRPr="00672A40">
        <w:rPr>
          <w:rFonts w:ascii="Times New Roman" w:hAnsi="Times New Roman" w:cs="Times New Roman"/>
          <w:sz w:val="24"/>
          <w:szCs w:val="24"/>
        </w:rPr>
        <w:t xml:space="preserve">energy consumption takes the largest chunk of </w:t>
      </w:r>
      <w:r w:rsidR="00A3774A" w:rsidRPr="00672A40">
        <w:rPr>
          <w:rFonts w:ascii="Times New Roman" w:hAnsi="Times New Roman" w:cs="Times New Roman"/>
          <w:sz w:val="24"/>
          <w:szCs w:val="24"/>
        </w:rPr>
        <w:t xml:space="preserve">household income, and </w:t>
      </w:r>
      <w:r w:rsidR="00035A74" w:rsidRPr="00672A40">
        <w:rPr>
          <w:rFonts w:ascii="Times New Roman" w:hAnsi="Times New Roman" w:cs="Times New Roman"/>
          <w:sz w:val="24"/>
          <w:szCs w:val="24"/>
        </w:rPr>
        <w:t>the amount of crude oil</w:t>
      </w:r>
      <w:r w:rsidR="00484554" w:rsidRPr="00672A40">
        <w:rPr>
          <w:rFonts w:ascii="Times New Roman" w:hAnsi="Times New Roman" w:cs="Times New Roman"/>
          <w:sz w:val="24"/>
          <w:szCs w:val="24"/>
        </w:rPr>
        <w:t xml:space="preserve"> purchased by firms are reduced, resulting to </w:t>
      </w:r>
      <w:r w:rsidR="00A3774A" w:rsidRPr="00672A40">
        <w:rPr>
          <w:rFonts w:ascii="Times New Roman" w:hAnsi="Times New Roman" w:cs="Times New Roman"/>
          <w:sz w:val="24"/>
          <w:szCs w:val="24"/>
        </w:rPr>
        <w:t xml:space="preserve">underutilization of </w:t>
      </w:r>
      <w:r w:rsidR="00484554" w:rsidRPr="00672A40">
        <w:rPr>
          <w:rFonts w:ascii="Times New Roman" w:hAnsi="Times New Roman" w:cs="Times New Roman"/>
          <w:sz w:val="24"/>
          <w:szCs w:val="24"/>
        </w:rPr>
        <w:t>some</w:t>
      </w:r>
      <w:r w:rsidR="00A3774A" w:rsidRPr="00672A40">
        <w:rPr>
          <w:rFonts w:ascii="Times New Roman" w:hAnsi="Times New Roman" w:cs="Times New Roman"/>
          <w:sz w:val="24"/>
          <w:szCs w:val="24"/>
        </w:rPr>
        <w:t xml:space="preserve"> factors of production like labor and </w:t>
      </w:r>
      <w:r w:rsidR="00A3774A" w:rsidRPr="00982B9A">
        <w:rPr>
          <w:rFonts w:ascii="Times New Roman" w:hAnsi="Times New Roman" w:cs="Times New Roman"/>
          <w:sz w:val="24"/>
          <w:szCs w:val="24"/>
        </w:rPr>
        <w:t>capital</w:t>
      </w:r>
      <w:r w:rsidR="00484554" w:rsidRPr="00982B9A">
        <w:rPr>
          <w:rFonts w:ascii="Times New Roman" w:hAnsi="Times New Roman" w:cs="Times New Roman"/>
          <w:sz w:val="24"/>
          <w:szCs w:val="24"/>
        </w:rPr>
        <w:t xml:space="preserve"> (Ogundipe, et.al, 2014)</w:t>
      </w:r>
      <w:r w:rsidR="00A3774A" w:rsidRPr="00982B9A">
        <w:rPr>
          <w:rFonts w:ascii="Times New Roman" w:hAnsi="Times New Roman" w:cs="Times New Roman"/>
          <w:sz w:val="24"/>
          <w:szCs w:val="24"/>
        </w:rPr>
        <w:t>.</w:t>
      </w:r>
      <w:r w:rsidR="00A3774A" w:rsidRPr="00672A40">
        <w:rPr>
          <w:rFonts w:ascii="Times New Roman" w:hAnsi="Times New Roman" w:cs="Times New Roman"/>
          <w:sz w:val="24"/>
          <w:szCs w:val="24"/>
        </w:rPr>
        <w:t xml:space="preserve"> Second,</w:t>
      </w:r>
      <w:r w:rsidR="00484554" w:rsidRPr="00672A40">
        <w:rPr>
          <w:rFonts w:ascii="Times New Roman" w:hAnsi="Times New Roman" w:cs="Times New Roman"/>
          <w:sz w:val="24"/>
          <w:szCs w:val="24"/>
        </w:rPr>
        <w:t xml:space="preserve"> since crude oil is considered the basic input to production process, a rise in oil price cause</w:t>
      </w:r>
      <w:r w:rsidR="00936943" w:rsidRPr="00672A40">
        <w:rPr>
          <w:rFonts w:ascii="Times New Roman" w:hAnsi="Times New Roman" w:cs="Times New Roman"/>
          <w:sz w:val="24"/>
          <w:szCs w:val="24"/>
        </w:rPr>
        <w:t>s</w:t>
      </w:r>
      <w:r w:rsidR="00484554" w:rsidRPr="00672A40">
        <w:rPr>
          <w:rFonts w:ascii="Times New Roman" w:hAnsi="Times New Roman" w:cs="Times New Roman"/>
          <w:sz w:val="24"/>
          <w:szCs w:val="24"/>
        </w:rPr>
        <w:t xml:space="preserve"> a decline in th</w:t>
      </w:r>
      <w:r w:rsidR="00936943" w:rsidRPr="00672A40">
        <w:rPr>
          <w:rFonts w:ascii="Times New Roman" w:hAnsi="Times New Roman" w:cs="Times New Roman"/>
          <w:sz w:val="24"/>
          <w:szCs w:val="24"/>
        </w:rPr>
        <w:t>e supply of oil owing to a rise in the cost of crude oil production (i.e. supply side effect) which in turn leads</w:t>
      </w:r>
      <w:r w:rsidR="00A3774A" w:rsidRPr="00672A40">
        <w:rPr>
          <w:rFonts w:ascii="Times New Roman" w:hAnsi="Times New Roman" w:cs="Times New Roman"/>
          <w:sz w:val="24"/>
          <w:szCs w:val="24"/>
        </w:rPr>
        <w:t xml:space="preserve"> to </w:t>
      </w:r>
      <w:r w:rsidR="00936943" w:rsidRPr="00672A40">
        <w:rPr>
          <w:rFonts w:ascii="Times New Roman" w:hAnsi="Times New Roman" w:cs="Times New Roman"/>
          <w:sz w:val="24"/>
          <w:szCs w:val="24"/>
        </w:rPr>
        <w:t>degeneration of possible</w:t>
      </w:r>
      <w:r w:rsidR="00A3774A" w:rsidRPr="00672A40">
        <w:rPr>
          <w:rFonts w:ascii="Times New Roman" w:hAnsi="Times New Roman" w:cs="Times New Roman"/>
          <w:sz w:val="24"/>
          <w:szCs w:val="24"/>
        </w:rPr>
        <w:t xml:space="preserve"> output</w:t>
      </w:r>
      <w:r w:rsidR="00936943" w:rsidRPr="00672A40">
        <w:rPr>
          <w:rFonts w:ascii="Times New Roman" w:hAnsi="Times New Roman" w:cs="Times New Roman"/>
          <w:sz w:val="24"/>
          <w:szCs w:val="24"/>
        </w:rPr>
        <w:t xml:space="preserve"> and slowdown economic performance</w:t>
      </w:r>
      <w:r w:rsidR="00A3774A" w:rsidRPr="00672A40">
        <w:rPr>
          <w:rFonts w:ascii="Times New Roman" w:hAnsi="Times New Roman" w:cs="Times New Roman"/>
          <w:sz w:val="24"/>
          <w:szCs w:val="24"/>
        </w:rPr>
        <w:t xml:space="preserve">. </w:t>
      </w:r>
    </w:p>
    <w:p w:rsidR="00A3774A" w:rsidRDefault="00A3774A" w:rsidP="003774F8">
      <w:pPr>
        <w:spacing w:after="0" w:line="240" w:lineRule="auto"/>
        <w:jc w:val="both"/>
        <w:rPr>
          <w:rFonts w:ascii="Times New Roman" w:hAnsi="Times New Roman" w:cs="Times New Roman"/>
          <w:color w:val="00B050"/>
          <w:sz w:val="24"/>
          <w:szCs w:val="24"/>
        </w:rPr>
      </w:pPr>
    </w:p>
    <w:p w:rsidR="00735FB4" w:rsidRPr="002B2FE9" w:rsidRDefault="003774F8" w:rsidP="000B1F57">
      <w:pPr>
        <w:spacing w:after="0" w:line="240" w:lineRule="auto"/>
        <w:jc w:val="both"/>
        <w:rPr>
          <w:rFonts w:ascii="Times New Roman" w:hAnsi="Times New Roman" w:cs="Times New Roman"/>
          <w:sz w:val="24"/>
          <w:szCs w:val="24"/>
        </w:rPr>
      </w:pPr>
      <w:r w:rsidRPr="007E6D4C">
        <w:rPr>
          <w:rFonts w:ascii="Times New Roman" w:hAnsi="Times New Roman" w:cs="Times New Roman"/>
          <w:sz w:val="24"/>
          <w:szCs w:val="24"/>
        </w:rPr>
        <w:t xml:space="preserve">Considering the relevance of stable exchange rate in an economic performance, many researchers around the world have been on their quest to establish the benefits and the consequences of volatile exchange rate in developed, emerging and less developed countries. Be that as it may, </w:t>
      </w:r>
      <w:r w:rsidR="00A3774A" w:rsidRPr="002B00C1">
        <w:rPr>
          <w:rFonts w:ascii="Times New Roman" w:hAnsi="Times New Roman" w:cs="Times New Roman"/>
          <w:color w:val="000000" w:themeColor="text1"/>
          <w:sz w:val="24"/>
          <w:szCs w:val="24"/>
        </w:rPr>
        <w:t>Schnabl</w:t>
      </w:r>
      <w:r w:rsidR="00A3774A" w:rsidRPr="00960057">
        <w:rPr>
          <w:rFonts w:ascii="Times New Roman" w:hAnsi="Times New Roman" w:cs="Times New Roman"/>
          <w:color w:val="FF0000"/>
          <w:sz w:val="24"/>
          <w:szCs w:val="24"/>
        </w:rPr>
        <w:t xml:space="preserve"> </w:t>
      </w:r>
      <w:r w:rsidR="00A3774A" w:rsidRPr="002B00C1">
        <w:rPr>
          <w:rFonts w:ascii="Times New Roman" w:hAnsi="Times New Roman" w:cs="Times New Roman"/>
          <w:color w:val="000000" w:themeColor="text1"/>
          <w:sz w:val="24"/>
          <w:szCs w:val="24"/>
        </w:rPr>
        <w:t>(2007)</w:t>
      </w:r>
      <w:r w:rsidR="00A3774A" w:rsidRPr="007E6D4C">
        <w:rPr>
          <w:rFonts w:ascii="Times New Roman" w:hAnsi="Times New Roman" w:cs="Times New Roman"/>
          <w:sz w:val="24"/>
          <w:szCs w:val="24"/>
        </w:rPr>
        <w:t xml:space="preserve"> argued that theoretically, flexible exchange rates allow an easier adjustment in response to asymmetric country specific real shocks. </w:t>
      </w:r>
      <w:r w:rsidR="006B45CE">
        <w:rPr>
          <w:rFonts w:ascii="Times New Roman" w:hAnsi="Times New Roman" w:cs="Times New Roman"/>
          <w:sz w:val="24"/>
          <w:szCs w:val="24"/>
        </w:rPr>
        <w:t xml:space="preserve">Under fixed exchange rate system, </w:t>
      </w:r>
      <w:r w:rsidR="00802FB5">
        <w:rPr>
          <w:rFonts w:ascii="Times New Roman" w:hAnsi="Times New Roman" w:cs="Times New Roman"/>
          <w:sz w:val="24"/>
          <w:szCs w:val="24"/>
        </w:rPr>
        <w:t xml:space="preserve">trade and investments between two currencies are easy and predictable. It is mostly useful for small economies that ordinarily borrow for foreign currency and as well as benefiting economies that borrow for the sole purpose of the economic expansion. Therefore, </w:t>
      </w:r>
      <w:r w:rsidR="006B45CE" w:rsidRPr="00802FB5">
        <w:rPr>
          <w:rFonts w:ascii="Times New Roman" w:hAnsi="Times New Roman" w:cs="Times New Roman"/>
          <w:sz w:val="24"/>
          <w:szCs w:val="24"/>
        </w:rPr>
        <w:t>t</w:t>
      </w:r>
      <w:r w:rsidR="00A3774A" w:rsidRPr="00802FB5">
        <w:rPr>
          <w:rFonts w:ascii="Times New Roman" w:hAnsi="Times New Roman" w:cs="Times New Roman"/>
          <w:sz w:val="24"/>
          <w:szCs w:val="24"/>
        </w:rPr>
        <w:t xml:space="preserve">he </w:t>
      </w:r>
      <w:r w:rsidR="00802FB5" w:rsidRPr="00802FB5">
        <w:rPr>
          <w:rFonts w:ascii="Times New Roman" w:hAnsi="Times New Roman" w:cs="Times New Roman"/>
          <w:sz w:val="24"/>
          <w:szCs w:val="24"/>
        </w:rPr>
        <w:t>effects of low exchange rate volatility are sometimes</w:t>
      </w:r>
      <w:r w:rsidR="00A3774A" w:rsidRPr="00802FB5">
        <w:rPr>
          <w:rFonts w:ascii="Times New Roman" w:hAnsi="Times New Roman" w:cs="Times New Roman"/>
          <w:sz w:val="24"/>
          <w:szCs w:val="24"/>
        </w:rPr>
        <w:t xml:space="preserve"> associated with lower transaction costs for international trade and capital flows thereby </w:t>
      </w:r>
      <w:r w:rsidR="00A3774A" w:rsidRPr="000B1F57">
        <w:rPr>
          <w:rFonts w:ascii="Times New Roman" w:hAnsi="Times New Roman" w:cs="Times New Roman"/>
          <w:sz w:val="24"/>
          <w:szCs w:val="24"/>
        </w:rPr>
        <w:t xml:space="preserve">contributing to higher growth. </w:t>
      </w:r>
      <w:r w:rsidR="000B1F57" w:rsidRPr="000B1F57">
        <w:rPr>
          <w:rFonts w:ascii="Times New Roman" w:hAnsi="Times New Roman" w:cs="Times New Roman"/>
          <w:sz w:val="24"/>
          <w:szCs w:val="24"/>
        </w:rPr>
        <w:t>Among other benefits is that it promotions transparency in international prices, through the ease of prices comparison in different countries. The elimination of e</w:t>
      </w:r>
      <w:r w:rsidR="00A3774A" w:rsidRPr="000B1F57">
        <w:rPr>
          <w:rFonts w:ascii="Times New Roman" w:hAnsi="Times New Roman" w:cs="Times New Roman"/>
          <w:sz w:val="24"/>
          <w:szCs w:val="24"/>
        </w:rPr>
        <w:t xml:space="preserve">xchange rate volatility </w:t>
      </w:r>
      <w:r w:rsidR="000B1F57" w:rsidRPr="000B1F57">
        <w:rPr>
          <w:rFonts w:ascii="Times New Roman" w:hAnsi="Times New Roman" w:cs="Times New Roman"/>
          <w:sz w:val="24"/>
          <w:szCs w:val="24"/>
        </w:rPr>
        <w:t xml:space="preserve">could enhance the efficiency of </w:t>
      </w:r>
      <w:r w:rsidR="00A3774A" w:rsidRPr="000B1F57">
        <w:rPr>
          <w:rFonts w:ascii="Times New Roman" w:hAnsi="Times New Roman" w:cs="Times New Roman"/>
          <w:sz w:val="24"/>
          <w:szCs w:val="24"/>
        </w:rPr>
        <w:t>international arbitrage, productivity</w:t>
      </w:r>
      <w:r w:rsidR="00A3774A" w:rsidRPr="007E6D4C">
        <w:rPr>
          <w:rFonts w:ascii="Times New Roman" w:hAnsi="Times New Roman" w:cs="Times New Roman"/>
          <w:sz w:val="24"/>
          <w:szCs w:val="24"/>
        </w:rPr>
        <w:t xml:space="preserve"> and welfare. Mundell (19</w:t>
      </w:r>
      <w:r w:rsidR="008078E7">
        <w:rPr>
          <w:rFonts w:ascii="Times New Roman" w:hAnsi="Times New Roman" w:cs="Times New Roman"/>
          <w:sz w:val="24"/>
          <w:szCs w:val="24"/>
        </w:rPr>
        <w:t>61</w:t>
      </w:r>
      <w:r w:rsidR="00A3774A" w:rsidRPr="007E6D4C">
        <w:rPr>
          <w:rFonts w:ascii="Times New Roman" w:hAnsi="Times New Roman" w:cs="Times New Roman"/>
          <w:sz w:val="24"/>
          <w:szCs w:val="24"/>
        </w:rPr>
        <w:t xml:space="preserve">) opined that monetary and exchange rate policies are the chief source of uncertainty and volatility in small open economies and economic growth is enhanced when exchange rate fluctuations are smoothed. </w:t>
      </w:r>
      <w:r w:rsidR="00A3774A" w:rsidRPr="002B2FE9">
        <w:rPr>
          <w:rFonts w:ascii="Times New Roman" w:hAnsi="Times New Roman" w:cs="Times New Roman"/>
          <w:sz w:val="24"/>
          <w:szCs w:val="24"/>
        </w:rPr>
        <w:t xml:space="preserve">Schnabl (2007) argued that even </w:t>
      </w:r>
      <w:r w:rsidR="00AB45F2" w:rsidRPr="002B2FE9">
        <w:rPr>
          <w:rFonts w:ascii="Times New Roman" w:hAnsi="Times New Roman" w:cs="Times New Roman"/>
          <w:sz w:val="24"/>
          <w:szCs w:val="24"/>
        </w:rPr>
        <w:t xml:space="preserve">in a </w:t>
      </w:r>
      <w:r w:rsidR="00A3774A" w:rsidRPr="002B2FE9">
        <w:rPr>
          <w:rFonts w:ascii="Times New Roman" w:hAnsi="Times New Roman" w:cs="Times New Roman"/>
          <w:sz w:val="24"/>
          <w:szCs w:val="24"/>
        </w:rPr>
        <w:t>large</w:t>
      </w:r>
      <w:r w:rsidR="00AB45F2" w:rsidRPr="002B2FE9">
        <w:rPr>
          <w:rFonts w:ascii="Times New Roman" w:hAnsi="Times New Roman" w:cs="Times New Roman"/>
          <w:sz w:val="24"/>
          <w:szCs w:val="24"/>
        </w:rPr>
        <w:t xml:space="preserve"> and</w:t>
      </w:r>
      <w:r w:rsidR="00A3774A" w:rsidRPr="002B2FE9">
        <w:rPr>
          <w:rFonts w:ascii="Times New Roman" w:hAnsi="Times New Roman" w:cs="Times New Roman"/>
          <w:sz w:val="24"/>
          <w:szCs w:val="24"/>
        </w:rPr>
        <w:t xml:space="preserve"> comparatively closed economies are </w:t>
      </w:r>
      <w:r w:rsidR="00AB45F2" w:rsidRPr="002B2FE9">
        <w:rPr>
          <w:rFonts w:ascii="Times New Roman" w:hAnsi="Times New Roman" w:cs="Times New Roman"/>
          <w:sz w:val="24"/>
          <w:szCs w:val="24"/>
        </w:rPr>
        <w:t>responsive</w:t>
      </w:r>
      <w:r w:rsidR="00A3774A" w:rsidRPr="002B2FE9">
        <w:rPr>
          <w:rFonts w:ascii="Times New Roman" w:hAnsi="Times New Roman" w:cs="Times New Roman"/>
          <w:sz w:val="24"/>
          <w:szCs w:val="24"/>
        </w:rPr>
        <w:t xml:space="preserve"> to </w:t>
      </w:r>
      <w:r w:rsidR="00AB45F2" w:rsidRPr="002B2FE9">
        <w:rPr>
          <w:rFonts w:ascii="Times New Roman" w:hAnsi="Times New Roman" w:cs="Times New Roman"/>
          <w:sz w:val="24"/>
          <w:szCs w:val="24"/>
        </w:rPr>
        <w:t>greater</w:t>
      </w:r>
      <w:r w:rsidR="00A3774A" w:rsidRPr="002B2FE9">
        <w:rPr>
          <w:rFonts w:ascii="Times New Roman" w:hAnsi="Times New Roman" w:cs="Times New Roman"/>
          <w:sz w:val="24"/>
          <w:szCs w:val="24"/>
        </w:rPr>
        <w:t xml:space="preserve"> exchange rate swings</w:t>
      </w:r>
      <w:r w:rsidR="00AB45F2" w:rsidRPr="002B2FE9">
        <w:rPr>
          <w:rFonts w:ascii="Times New Roman" w:hAnsi="Times New Roman" w:cs="Times New Roman"/>
          <w:sz w:val="24"/>
          <w:szCs w:val="24"/>
        </w:rPr>
        <w:t xml:space="preserve"> particularly </w:t>
      </w:r>
      <w:r w:rsidR="00A3774A" w:rsidRPr="002B2FE9">
        <w:rPr>
          <w:rFonts w:ascii="Times New Roman" w:hAnsi="Times New Roman" w:cs="Times New Roman"/>
          <w:sz w:val="24"/>
          <w:szCs w:val="24"/>
        </w:rPr>
        <w:t xml:space="preserve">in the case of </w:t>
      </w:r>
      <w:r w:rsidR="00AB45F2" w:rsidRPr="002B2FE9">
        <w:rPr>
          <w:rFonts w:ascii="Times New Roman" w:hAnsi="Times New Roman" w:cs="Times New Roman"/>
          <w:sz w:val="24"/>
          <w:szCs w:val="24"/>
        </w:rPr>
        <w:t xml:space="preserve">exchange rate </w:t>
      </w:r>
      <w:r w:rsidR="00A3774A" w:rsidRPr="002B2FE9">
        <w:rPr>
          <w:rFonts w:ascii="Times New Roman" w:hAnsi="Times New Roman" w:cs="Times New Roman"/>
          <w:sz w:val="24"/>
          <w:szCs w:val="24"/>
        </w:rPr>
        <w:t>appreciation.</w:t>
      </w:r>
      <w:r w:rsidR="00735FB4" w:rsidRPr="002B2FE9">
        <w:rPr>
          <w:rFonts w:ascii="Times New Roman" w:hAnsi="Times New Roman" w:cs="Times New Roman"/>
          <w:sz w:val="24"/>
          <w:szCs w:val="24"/>
        </w:rPr>
        <w:t xml:space="preserve"> </w:t>
      </w:r>
    </w:p>
    <w:p w:rsidR="00AA1DA3" w:rsidRDefault="00AA1DA3" w:rsidP="001E14B1">
      <w:pPr>
        <w:spacing w:after="0" w:line="240" w:lineRule="auto"/>
        <w:jc w:val="both"/>
        <w:rPr>
          <w:rFonts w:ascii="Times New Roman" w:hAnsi="Times New Roman" w:cs="Times New Roman"/>
          <w:sz w:val="24"/>
          <w:szCs w:val="24"/>
        </w:rPr>
      </w:pPr>
    </w:p>
    <w:p w:rsidR="00097446" w:rsidRPr="007E6D4C" w:rsidRDefault="00097446" w:rsidP="00097446">
      <w:pPr>
        <w:autoSpaceDE w:val="0"/>
        <w:autoSpaceDN w:val="0"/>
        <w:adjustRightInd w:val="0"/>
        <w:spacing w:after="0" w:line="240" w:lineRule="auto"/>
        <w:jc w:val="both"/>
        <w:rPr>
          <w:rFonts w:ascii="Times New Roman" w:hAnsi="Times New Roman" w:cs="Times New Roman"/>
          <w:sz w:val="24"/>
          <w:szCs w:val="24"/>
        </w:rPr>
      </w:pPr>
      <w:r w:rsidRPr="007E6D4C">
        <w:rPr>
          <w:rFonts w:ascii="Times New Roman" w:hAnsi="Times New Roman" w:cs="Times New Roman"/>
          <w:sz w:val="24"/>
          <w:szCs w:val="24"/>
        </w:rPr>
        <w:t xml:space="preserve">The transmission mechanisms, according to Jin (2008) through which oil prices affect real economic activity include both supply and demand channels. The supply side effects are related to the fact that crude oil is a basic input to production, and an increase in oil price leads to a rise in production costs that induces firms’ lower output. The demand side effect is derived from the fact that oil prices changes affect both consumption and investment decisions. Consumption is adversely affected because increase in oil price affects disposable income and the domestic price of </w:t>
      </w:r>
      <w:r w:rsidR="00960057" w:rsidRPr="007E6D4C">
        <w:rPr>
          <w:rFonts w:ascii="Times New Roman" w:hAnsi="Times New Roman" w:cs="Times New Roman"/>
          <w:sz w:val="24"/>
          <w:szCs w:val="24"/>
        </w:rPr>
        <w:t>tradable</w:t>
      </w:r>
      <w:r w:rsidRPr="007E6D4C">
        <w:rPr>
          <w:rFonts w:ascii="Times New Roman" w:hAnsi="Times New Roman" w:cs="Times New Roman"/>
          <w:sz w:val="24"/>
          <w:szCs w:val="24"/>
        </w:rPr>
        <w:t>. Investment is adversely affected because such increase in oil price also affects firms’ input prices and thereby increasing their costs.</w:t>
      </w:r>
    </w:p>
    <w:p w:rsidR="00097446" w:rsidRPr="007E6D4C" w:rsidRDefault="00097446" w:rsidP="001E14B1">
      <w:pPr>
        <w:spacing w:after="0" w:line="240" w:lineRule="auto"/>
        <w:jc w:val="both"/>
        <w:rPr>
          <w:rFonts w:ascii="Times New Roman" w:hAnsi="Times New Roman" w:cs="Times New Roman"/>
          <w:sz w:val="24"/>
          <w:szCs w:val="24"/>
        </w:rPr>
      </w:pPr>
    </w:p>
    <w:p w:rsidR="00653321" w:rsidRDefault="00812E92" w:rsidP="00812E92">
      <w:pPr>
        <w:autoSpaceDE w:val="0"/>
        <w:autoSpaceDN w:val="0"/>
        <w:adjustRightInd w:val="0"/>
        <w:spacing w:after="0" w:line="240" w:lineRule="auto"/>
        <w:jc w:val="both"/>
        <w:rPr>
          <w:rFonts w:ascii="Times New Roman" w:hAnsi="Times New Roman" w:cs="Times New Roman"/>
          <w:b/>
          <w:sz w:val="24"/>
          <w:szCs w:val="24"/>
        </w:rPr>
      </w:pPr>
      <w:r w:rsidRPr="007E6D4C">
        <w:rPr>
          <w:rFonts w:ascii="Times New Roman" w:hAnsi="Times New Roman" w:cs="Times New Roman"/>
          <w:b/>
          <w:sz w:val="24"/>
          <w:szCs w:val="24"/>
        </w:rPr>
        <w:lastRenderedPageBreak/>
        <w:t>3.2</w:t>
      </w:r>
      <w:r w:rsidRPr="007E6D4C">
        <w:rPr>
          <w:rFonts w:ascii="Times New Roman" w:hAnsi="Times New Roman" w:cs="Times New Roman"/>
          <w:b/>
          <w:sz w:val="24"/>
          <w:szCs w:val="24"/>
        </w:rPr>
        <w:tab/>
      </w:r>
      <w:r w:rsidR="00CF641D" w:rsidRPr="007E6D4C">
        <w:rPr>
          <w:rFonts w:ascii="Times New Roman" w:hAnsi="Times New Roman" w:cs="Times New Roman"/>
          <w:b/>
          <w:sz w:val="24"/>
          <w:szCs w:val="24"/>
        </w:rPr>
        <w:t xml:space="preserve">Empirical </w:t>
      </w:r>
      <w:r w:rsidRPr="007E6D4C">
        <w:rPr>
          <w:rFonts w:ascii="Times New Roman" w:hAnsi="Times New Roman" w:cs="Times New Roman"/>
          <w:b/>
          <w:sz w:val="24"/>
          <w:szCs w:val="24"/>
        </w:rPr>
        <w:t>Review:</w:t>
      </w:r>
    </w:p>
    <w:p w:rsidR="00F40B91" w:rsidRPr="00F40B91" w:rsidRDefault="00F40B91" w:rsidP="00F40B91">
      <w:pPr>
        <w:autoSpaceDE w:val="0"/>
        <w:autoSpaceDN w:val="0"/>
        <w:adjustRightInd w:val="0"/>
        <w:spacing w:after="0" w:line="240" w:lineRule="auto"/>
        <w:jc w:val="both"/>
        <w:rPr>
          <w:rFonts w:ascii="Times New Roman" w:hAnsi="Times New Roman" w:cs="Times New Roman"/>
          <w:b/>
          <w:sz w:val="8"/>
          <w:szCs w:val="24"/>
        </w:rPr>
      </w:pPr>
    </w:p>
    <w:p w:rsidR="00864DB0" w:rsidRDefault="00F40B91" w:rsidP="00EE6893">
      <w:pPr>
        <w:spacing w:after="0" w:line="240" w:lineRule="auto"/>
        <w:jc w:val="both"/>
        <w:rPr>
          <w:rFonts w:ascii="Times New Roman" w:hAnsi="Times New Roman" w:cs="Times New Roman"/>
          <w:sz w:val="24"/>
          <w:szCs w:val="24"/>
        </w:rPr>
      </w:pPr>
      <w:r w:rsidRPr="00F40B91">
        <w:rPr>
          <w:rFonts w:ascii="Times New Roman" w:hAnsi="Times New Roman" w:cs="Times New Roman"/>
          <w:sz w:val="24"/>
          <w:szCs w:val="24"/>
        </w:rPr>
        <w:t xml:space="preserve">In view of Aliyu (2009), academic, analysts and policy makers around the globe have raised concerns over </w:t>
      </w:r>
      <w:r w:rsidR="00EE6893" w:rsidRPr="00F40B91">
        <w:rPr>
          <w:rFonts w:ascii="Times New Roman" w:hAnsi="Times New Roman" w:cs="Times New Roman"/>
          <w:sz w:val="24"/>
          <w:szCs w:val="24"/>
        </w:rPr>
        <w:t xml:space="preserve">the </w:t>
      </w:r>
      <w:r w:rsidRPr="00F40B91">
        <w:rPr>
          <w:rFonts w:ascii="Times New Roman" w:hAnsi="Times New Roman" w:cs="Times New Roman"/>
          <w:sz w:val="24"/>
          <w:szCs w:val="24"/>
        </w:rPr>
        <w:t>effect</w:t>
      </w:r>
      <w:r w:rsidR="00EE6893" w:rsidRPr="00F40B91">
        <w:rPr>
          <w:rFonts w:ascii="Times New Roman" w:hAnsi="Times New Roman" w:cs="Times New Roman"/>
          <w:sz w:val="24"/>
          <w:szCs w:val="24"/>
        </w:rPr>
        <w:t xml:space="preserve"> of asymmetric shocks </w:t>
      </w:r>
      <w:r w:rsidRPr="00F40B91">
        <w:rPr>
          <w:rFonts w:ascii="Times New Roman" w:hAnsi="Times New Roman" w:cs="Times New Roman"/>
          <w:sz w:val="24"/>
          <w:szCs w:val="24"/>
        </w:rPr>
        <w:t xml:space="preserve">on economic performance owing to high </w:t>
      </w:r>
      <w:r w:rsidR="00EE6893" w:rsidRPr="00F40B91">
        <w:rPr>
          <w:rFonts w:ascii="Times New Roman" w:hAnsi="Times New Roman" w:cs="Times New Roman"/>
          <w:sz w:val="24"/>
          <w:szCs w:val="24"/>
        </w:rPr>
        <w:t>exchange rate and oil price variability.</w:t>
      </w:r>
      <w:r w:rsidR="00EE6893" w:rsidRPr="00482E33">
        <w:rPr>
          <w:rFonts w:ascii="Times New Roman" w:hAnsi="Times New Roman" w:cs="Times New Roman"/>
          <w:sz w:val="24"/>
          <w:szCs w:val="24"/>
        </w:rPr>
        <w:t xml:space="preserve"> </w:t>
      </w:r>
      <w:r w:rsidRPr="00B7070F">
        <w:rPr>
          <w:rFonts w:ascii="Times New Roman" w:hAnsi="Times New Roman" w:cs="Times New Roman"/>
          <w:sz w:val="24"/>
          <w:szCs w:val="24"/>
        </w:rPr>
        <w:t>But a</w:t>
      </w:r>
      <w:r w:rsidR="00EE6893" w:rsidRPr="00B7070F">
        <w:rPr>
          <w:rFonts w:ascii="Times New Roman" w:hAnsi="Times New Roman" w:cs="Times New Roman"/>
          <w:sz w:val="24"/>
          <w:szCs w:val="24"/>
        </w:rPr>
        <w:t xml:space="preserve">ccording to </w:t>
      </w:r>
      <w:r w:rsidRPr="00B7070F">
        <w:rPr>
          <w:rFonts w:ascii="Times New Roman" w:hAnsi="Times New Roman" w:cs="Times New Roman"/>
          <w:sz w:val="24"/>
          <w:szCs w:val="24"/>
        </w:rPr>
        <w:t xml:space="preserve">the study conducted by </w:t>
      </w:r>
      <w:r w:rsidR="00EE6893" w:rsidRPr="00B7070F">
        <w:rPr>
          <w:rFonts w:ascii="Times New Roman" w:hAnsi="Times New Roman" w:cs="Times New Roman"/>
          <w:sz w:val="24"/>
          <w:szCs w:val="24"/>
        </w:rPr>
        <w:t>Amano and Norden (199</w:t>
      </w:r>
      <w:r w:rsidR="0050613C" w:rsidRPr="00B7070F">
        <w:rPr>
          <w:rFonts w:ascii="Times New Roman" w:hAnsi="Times New Roman" w:cs="Times New Roman"/>
          <w:sz w:val="24"/>
          <w:szCs w:val="24"/>
        </w:rPr>
        <w:t>8</w:t>
      </w:r>
      <w:r w:rsidR="00EE6893" w:rsidRPr="00B7070F">
        <w:rPr>
          <w:rFonts w:ascii="Times New Roman" w:hAnsi="Times New Roman" w:cs="Times New Roman"/>
          <w:sz w:val="24"/>
          <w:szCs w:val="24"/>
        </w:rPr>
        <w:t>)</w:t>
      </w:r>
      <w:r w:rsidR="00FF339F" w:rsidRPr="00B7070F">
        <w:rPr>
          <w:rFonts w:ascii="Times New Roman" w:hAnsi="Times New Roman" w:cs="Times New Roman"/>
          <w:sz w:val="24"/>
          <w:szCs w:val="24"/>
        </w:rPr>
        <w:t xml:space="preserve">, </w:t>
      </w:r>
      <w:r w:rsidR="00EE6893" w:rsidRPr="00B7070F">
        <w:rPr>
          <w:rFonts w:ascii="Times New Roman" w:hAnsi="Times New Roman" w:cs="Times New Roman"/>
          <w:sz w:val="24"/>
          <w:szCs w:val="24"/>
        </w:rPr>
        <w:t xml:space="preserve"> oil fluctuations has </w:t>
      </w:r>
      <w:r w:rsidR="00FF339F" w:rsidRPr="00B7070F">
        <w:rPr>
          <w:rFonts w:ascii="Times New Roman" w:hAnsi="Times New Roman" w:cs="Times New Roman"/>
          <w:sz w:val="24"/>
          <w:szCs w:val="24"/>
        </w:rPr>
        <w:t xml:space="preserve">been a major issue in most of the third world nations whose sources of revenue is largely dependent on crude oil, and this has had </w:t>
      </w:r>
      <w:r w:rsidR="00EE6893" w:rsidRPr="00B7070F">
        <w:rPr>
          <w:rFonts w:ascii="Times New Roman" w:hAnsi="Times New Roman" w:cs="Times New Roman"/>
          <w:sz w:val="24"/>
          <w:szCs w:val="24"/>
        </w:rPr>
        <w:t xml:space="preserve">a significant consequence on </w:t>
      </w:r>
      <w:r w:rsidR="00FF339F" w:rsidRPr="00B7070F">
        <w:rPr>
          <w:rFonts w:ascii="Times New Roman" w:hAnsi="Times New Roman" w:cs="Times New Roman"/>
          <w:sz w:val="24"/>
          <w:szCs w:val="24"/>
        </w:rPr>
        <w:t xml:space="preserve">the </w:t>
      </w:r>
      <w:r w:rsidR="00EE6893" w:rsidRPr="00B7070F">
        <w:rPr>
          <w:rFonts w:ascii="Times New Roman" w:hAnsi="Times New Roman" w:cs="Times New Roman"/>
          <w:sz w:val="24"/>
          <w:szCs w:val="24"/>
        </w:rPr>
        <w:t>economic activit</w:t>
      </w:r>
      <w:r w:rsidR="00FF339F" w:rsidRPr="00B7070F">
        <w:rPr>
          <w:rFonts w:ascii="Times New Roman" w:hAnsi="Times New Roman" w:cs="Times New Roman"/>
          <w:sz w:val="24"/>
          <w:szCs w:val="24"/>
        </w:rPr>
        <w:t>ies of these countries.</w:t>
      </w:r>
      <w:r w:rsidR="00EE6893" w:rsidRPr="00B7070F">
        <w:rPr>
          <w:rFonts w:ascii="Times New Roman" w:hAnsi="Times New Roman" w:cs="Times New Roman"/>
          <w:sz w:val="24"/>
          <w:szCs w:val="24"/>
        </w:rPr>
        <w:t xml:space="preserve"> </w:t>
      </w:r>
      <w:r w:rsidR="00FF339F" w:rsidRPr="00B7070F">
        <w:rPr>
          <w:rFonts w:ascii="Times New Roman" w:hAnsi="Times New Roman" w:cs="Times New Roman"/>
          <w:sz w:val="24"/>
          <w:szCs w:val="24"/>
        </w:rPr>
        <w:t>Though, they argued that the severity and the effects of oil price shocks may</w:t>
      </w:r>
      <w:r w:rsidR="00EE6893" w:rsidRPr="00B7070F">
        <w:rPr>
          <w:rFonts w:ascii="Times New Roman" w:hAnsi="Times New Roman" w:cs="Times New Roman"/>
          <w:sz w:val="24"/>
          <w:szCs w:val="24"/>
        </w:rPr>
        <w:t xml:space="preserve"> differ</w:t>
      </w:r>
      <w:r w:rsidR="00FF339F" w:rsidRPr="00B7070F">
        <w:rPr>
          <w:rFonts w:ascii="Times New Roman" w:hAnsi="Times New Roman" w:cs="Times New Roman"/>
          <w:sz w:val="24"/>
          <w:szCs w:val="24"/>
        </w:rPr>
        <w:t xml:space="preserve"> from one country to the other. They </w:t>
      </w:r>
      <w:r w:rsidR="00B7070F" w:rsidRPr="00B7070F">
        <w:rPr>
          <w:rFonts w:ascii="Times New Roman" w:hAnsi="Times New Roman" w:cs="Times New Roman"/>
          <w:sz w:val="24"/>
          <w:szCs w:val="24"/>
        </w:rPr>
        <w:t xml:space="preserve">also </w:t>
      </w:r>
      <w:r w:rsidR="00FF339F" w:rsidRPr="00B7070F">
        <w:rPr>
          <w:rFonts w:ascii="Times New Roman" w:hAnsi="Times New Roman" w:cs="Times New Roman"/>
          <w:sz w:val="24"/>
          <w:szCs w:val="24"/>
        </w:rPr>
        <w:t xml:space="preserve">reiterated that the effect on </w:t>
      </w:r>
      <w:r w:rsidR="00EE6893" w:rsidRPr="00B7070F">
        <w:rPr>
          <w:rFonts w:ascii="Times New Roman" w:hAnsi="Times New Roman" w:cs="Times New Roman"/>
          <w:sz w:val="24"/>
          <w:szCs w:val="24"/>
        </w:rPr>
        <w:t xml:space="preserve">oil exporting countries </w:t>
      </w:r>
      <w:r w:rsidR="00FF339F" w:rsidRPr="00B7070F">
        <w:rPr>
          <w:rFonts w:ascii="Times New Roman" w:hAnsi="Times New Roman" w:cs="Times New Roman"/>
          <w:sz w:val="24"/>
          <w:szCs w:val="24"/>
        </w:rPr>
        <w:t xml:space="preserve">may be difference from </w:t>
      </w:r>
      <w:r w:rsidR="00EE6893" w:rsidRPr="00B7070F">
        <w:rPr>
          <w:rFonts w:ascii="Times New Roman" w:hAnsi="Times New Roman" w:cs="Times New Roman"/>
          <w:sz w:val="24"/>
          <w:szCs w:val="24"/>
        </w:rPr>
        <w:t>oil importing countries</w:t>
      </w:r>
      <w:r w:rsidR="00FF339F" w:rsidRPr="00B7070F">
        <w:rPr>
          <w:rFonts w:ascii="Times New Roman" w:hAnsi="Times New Roman" w:cs="Times New Roman"/>
          <w:sz w:val="24"/>
          <w:szCs w:val="24"/>
        </w:rPr>
        <w:t xml:space="preserve">, pointing that high volatility in oil prices tend to </w:t>
      </w:r>
      <w:r w:rsidR="00EE6893" w:rsidRPr="00B7070F">
        <w:rPr>
          <w:rFonts w:ascii="Times New Roman" w:hAnsi="Times New Roman" w:cs="Times New Roman"/>
          <w:sz w:val="24"/>
          <w:szCs w:val="24"/>
        </w:rPr>
        <w:t>benefits oil exporting countries</w:t>
      </w:r>
      <w:r w:rsidR="00B7070F" w:rsidRPr="00B7070F">
        <w:rPr>
          <w:rFonts w:ascii="Times New Roman" w:hAnsi="Times New Roman" w:cs="Times New Roman"/>
          <w:sz w:val="24"/>
          <w:szCs w:val="24"/>
        </w:rPr>
        <w:t xml:space="preserve"> more but poses problems for oil importing countries - t</w:t>
      </w:r>
      <w:r w:rsidR="00FF339F" w:rsidRPr="00B7070F">
        <w:rPr>
          <w:rFonts w:ascii="Times New Roman" w:hAnsi="Times New Roman" w:cs="Times New Roman"/>
          <w:sz w:val="24"/>
          <w:szCs w:val="24"/>
        </w:rPr>
        <w:t xml:space="preserve">hat’s </w:t>
      </w:r>
      <w:r w:rsidR="00EE6893" w:rsidRPr="00B7070F">
        <w:rPr>
          <w:rFonts w:ascii="Times New Roman" w:hAnsi="Times New Roman" w:cs="Times New Roman"/>
          <w:sz w:val="24"/>
          <w:szCs w:val="24"/>
        </w:rPr>
        <w:t xml:space="preserve">when the international oil price </w:t>
      </w:r>
      <w:r w:rsidR="00FF339F" w:rsidRPr="00B7070F">
        <w:rPr>
          <w:rFonts w:ascii="Times New Roman" w:hAnsi="Times New Roman" w:cs="Times New Roman"/>
          <w:sz w:val="24"/>
          <w:szCs w:val="24"/>
        </w:rPr>
        <w:t>have a consistent upward swing</w:t>
      </w:r>
      <w:r w:rsidR="00EE6893" w:rsidRPr="00B7070F">
        <w:rPr>
          <w:rFonts w:ascii="Times New Roman" w:hAnsi="Times New Roman" w:cs="Times New Roman"/>
          <w:sz w:val="24"/>
          <w:szCs w:val="24"/>
        </w:rPr>
        <w:t>.</w:t>
      </w:r>
      <w:r w:rsidR="00EE6893" w:rsidRPr="00482E33">
        <w:rPr>
          <w:rFonts w:ascii="Times New Roman" w:hAnsi="Times New Roman" w:cs="Times New Roman"/>
          <w:sz w:val="24"/>
          <w:szCs w:val="24"/>
        </w:rPr>
        <w:t xml:space="preserve"> </w:t>
      </w:r>
      <w:r w:rsidR="00B7070F">
        <w:rPr>
          <w:rFonts w:ascii="Times New Roman" w:hAnsi="Times New Roman" w:cs="Times New Roman"/>
          <w:sz w:val="24"/>
          <w:szCs w:val="24"/>
        </w:rPr>
        <w:t xml:space="preserve">This idea was supported by the postulate </w:t>
      </w:r>
      <w:r w:rsidR="00EE6893" w:rsidRPr="00292681">
        <w:rPr>
          <w:rFonts w:ascii="Times New Roman" w:hAnsi="Times New Roman" w:cs="Times New Roman"/>
          <w:color w:val="000000" w:themeColor="text1"/>
          <w:sz w:val="24"/>
          <w:szCs w:val="24"/>
        </w:rPr>
        <w:t>Plante (2008)</w:t>
      </w:r>
      <w:r w:rsidR="00EE6893" w:rsidRPr="00482E33">
        <w:rPr>
          <w:rFonts w:ascii="Times New Roman" w:hAnsi="Times New Roman" w:cs="Times New Roman"/>
          <w:sz w:val="24"/>
          <w:szCs w:val="24"/>
        </w:rPr>
        <w:t xml:space="preserve">, </w:t>
      </w:r>
      <w:r w:rsidR="00B7070F">
        <w:rPr>
          <w:rFonts w:ascii="Times New Roman" w:hAnsi="Times New Roman" w:cs="Times New Roman"/>
          <w:sz w:val="24"/>
          <w:szCs w:val="24"/>
        </w:rPr>
        <w:t>which believed that</w:t>
      </w:r>
      <w:r w:rsidR="00EE6893" w:rsidRPr="00482E33">
        <w:rPr>
          <w:rFonts w:ascii="Times New Roman" w:hAnsi="Times New Roman" w:cs="Times New Roman"/>
          <w:sz w:val="24"/>
          <w:szCs w:val="24"/>
        </w:rPr>
        <w:t xml:space="preserve"> the immediate effect of positive oil price shocks is the increase in the cost of product for oil importing countries, this is likely to reduce output and the magnitude of this will depends on the demand curve for oil. Higher oil prices lower disposable income which then leads to a decrease in consumption. Once the increase in oil price is believed to be permanent, private investments will decrease</w:t>
      </w:r>
      <w:r w:rsidR="00A35A6C">
        <w:rPr>
          <w:rFonts w:ascii="Times New Roman" w:hAnsi="Times New Roman" w:cs="Times New Roman"/>
          <w:sz w:val="24"/>
          <w:szCs w:val="24"/>
        </w:rPr>
        <w:t xml:space="preserve">, </w:t>
      </w:r>
      <w:r w:rsidR="00A35A6C" w:rsidRPr="00A35A6C">
        <w:rPr>
          <w:rFonts w:ascii="Times New Roman" w:hAnsi="Times New Roman" w:cs="Times New Roman"/>
          <w:sz w:val="24"/>
          <w:szCs w:val="24"/>
        </w:rPr>
        <w:t>b</w:t>
      </w:r>
      <w:r w:rsidR="00EE6893" w:rsidRPr="00A35A6C">
        <w:rPr>
          <w:rFonts w:ascii="Times New Roman" w:hAnsi="Times New Roman" w:cs="Times New Roman"/>
          <w:sz w:val="24"/>
          <w:szCs w:val="24"/>
        </w:rPr>
        <w:t xml:space="preserve">ut </w:t>
      </w:r>
      <w:r w:rsidR="00A35A6C" w:rsidRPr="00A35A6C">
        <w:rPr>
          <w:rFonts w:ascii="Times New Roman" w:hAnsi="Times New Roman" w:cs="Times New Roman"/>
          <w:sz w:val="24"/>
          <w:szCs w:val="24"/>
        </w:rPr>
        <w:t>perceiving</w:t>
      </w:r>
      <w:r w:rsidR="00EE6893" w:rsidRPr="00A35A6C">
        <w:rPr>
          <w:rFonts w:ascii="Times New Roman" w:hAnsi="Times New Roman" w:cs="Times New Roman"/>
          <w:sz w:val="24"/>
          <w:szCs w:val="24"/>
        </w:rPr>
        <w:t xml:space="preserve"> the shocks are </w:t>
      </w:r>
      <w:r w:rsidR="00A35A6C" w:rsidRPr="00A35A6C">
        <w:rPr>
          <w:rFonts w:ascii="Times New Roman" w:hAnsi="Times New Roman" w:cs="Times New Roman"/>
          <w:sz w:val="24"/>
          <w:szCs w:val="24"/>
        </w:rPr>
        <w:t xml:space="preserve">as transitory could lead to less use of </w:t>
      </w:r>
      <w:r w:rsidR="00EE6893" w:rsidRPr="00A35A6C">
        <w:rPr>
          <w:rFonts w:ascii="Times New Roman" w:hAnsi="Times New Roman" w:cs="Times New Roman"/>
          <w:sz w:val="24"/>
          <w:szCs w:val="24"/>
        </w:rPr>
        <w:t>oil less in production</w:t>
      </w:r>
      <w:r w:rsidR="00A35A6C" w:rsidRPr="00A35A6C">
        <w:rPr>
          <w:rFonts w:ascii="Times New Roman" w:hAnsi="Times New Roman" w:cs="Times New Roman"/>
          <w:sz w:val="24"/>
          <w:szCs w:val="24"/>
        </w:rPr>
        <w:t xml:space="preserve">, resulting to a decline in </w:t>
      </w:r>
      <w:r w:rsidR="00EE6893" w:rsidRPr="00A35A6C">
        <w:rPr>
          <w:rFonts w:ascii="Times New Roman" w:hAnsi="Times New Roman" w:cs="Times New Roman"/>
          <w:sz w:val="24"/>
          <w:szCs w:val="24"/>
        </w:rPr>
        <w:t>the productivity of labor and capital and potential output</w:t>
      </w:r>
      <w:r w:rsidR="00EE6893" w:rsidRPr="007F5877">
        <w:rPr>
          <w:rFonts w:ascii="Times New Roman" w:hAnsi="Times New Roman" w:cs="Times New Roman"/>
          <w:sz w:val="24"/>
          <w:szCs w:val="24"/>
        </w:rPr>
        <w:t xml:space="preserve">. </w:t>
      </w:r>
      <w:r w:rsidR="007F5877" w:rsidRPr="007F5877">
        <w:rPr>
          <w:rFonts w:ascii="Times New Roman" w:hAnsi="Times New Roman" w:cs="Times New Roman"/>
          <w:sz w:val="24"/>
          <w:szCs w:val="24"/>
        </w:rPr>
        <w:t>This is likely to have a greater influence on the economy than a decrease in oil price</w:t>
      </w:r>
      <w:r w:rsidR="007F5877">
        <w:rPr>
          <w:rFonts w:ascii="Times New Roman" w:hAnsi="Times New Roman" w:cs="Times New Roman"/>
          <w:sz w:val="24"/>
          <w:szCs w:val="24"/>
        </w:rPr>
        <w:t xml:space="preserve"> </w:t>
      </w:r>
      <w:r w:rsidR="007F5877" w:rsidRPr="00702EC3">
        <w:rPr>
          <w:rFonts w:ascii="Times New Roman" w:hAnsi="Times New Roman" w:cs="Times New Roman"/>
          <w:sz w:val="24"/>
          <w:szCs w:val="24"/>
        </w:rPr>
        <w:t>(</w:t>
      </w:r>
      <w:r w:rsidR="00EE6893" w:rsidRPr="00702EC3">
        <w:rPr>
          <w:rFonts w:ascii="Times New Roman" w:hAnsi="Times New Roman" w:cs="Times New Roman"/>
          <w:sz w:val="24"/>
          <w:szCs w:val="24"/>
        </w:rPr>
        <w:t xml:space="preserve">Patti and </w:t>
      </w:r>
      <w:r w:rsidR="007F5877" w:rsidRPr="00702EC3">
        <w:rPr>
          <w:rFonts w:ascii="Times New Roman" w:hAnsi="Times New Roman" w:cs="Times New Roman"/>
          <w:sz w:val="24"/>
          <w:szCs w:val="24"/>
        </w:rPr>
        <w:t xml:space="preserve">Ratti, </w:t>
      </w:r>
      <w:r w:rsidR="00EE6893" w:rsidRPr="00702EC3">
        <w:rPr>
          <w:rFonts w:ascii="Times New Roman" w:hAnsi="Times New Roman" w:cs="Times New Roman"/>
          <w:sz w:val="24"/>
          <w:szCs w:val="24"/>
        </w:rPr>
        <w:t>2007)</w:t>
      </w:r>
      <w:r w:rsidR="007F5877" w:rsidRPr="00702EC3">
        <w:rPr>
          <w:rFonts w:ascii="Times New Roman" w:hAnsi="Times New Roman" w:cs="Times New Roman"/>
          <w:sz w:val="24"/>
          <w:szCs w:val="24"/>
        </w:rPr>
        <w:t xml:space="preserve">. But </w:t>
      </w:r>
      <w:r w:rsidR="00EE6893" w:rsidRPr="00702EC3">
        <w:rPr>
          <w:rFonts w:ascii="Times New Roman" w:hAnsi="Times New Roman" w:cs="Times New Roman"/>
          <w:sz w:val="24"/>
          <w:szCs w:val="24"/>
        </w:rPr>
        <w:t xml:space="preserve">Rickne (2009) </w:t>
      </w:r>
      <w:r w:rsidR="007F5877" w:rsidRPr="00702EC3">
        <w:rPr>
          <w:rFonts w:ascii="Times New Roman" w:hAnsi="Times New Roman" w:cs="Times New Roman"/>
          <w:sz w:val="24"/>
          <w:szCs w:val="24"/>
        </w:rPr>
        <w:t>takes a divergent view in his argument</w:t>
      </w:r>
      <w:r w:rsidR="00864DB0" w:rsidRPr="00702EC3">
        <w:rPr>
          <w:rFonts w:ascii="Times New Roman" w:hAnsi="Times New Roman" w:cs="Times New Roman"/>
          <w:sz w:val="24"/>
          <w:szCs w:val="24"/>
        </w:rPr>
        <w:t>. He strongly</w:t>
      </w:r>
      <w:r w:rsidR="00864DB0">
        <w:rPr>
          <w:rFonts w:ascii="Times New Roman" w:hAnsi="Times New Roman" w:cs="Times New Roman"/>
          <w:sz w:val="24"/>
          <w:szCs w:val="24"/>
        </w:rPr>
        <w:t xml:space="preserve"> believed that </w:t>
      </w:r>
      <w:r w:rsidR="00EE6893" w:rsidRPr="007F5877">
        <w:rPr>
          <w:rFonts w:ascii="Times New Roman" w:hAnsi="Times New Roman" w:cs="Times New Roman"/>
          <w:sz w:val="24"/>
          <w:szCs w:val="24"/>
        </w:rPr>
        <w:t xml:space="preserve">legal </w:t>
      </w:r>
      <w:r w:rsidR="00864DB0" w:rsidRPr="007F5877">
        <w:rPr>
          <w:rFonts w:ascii="Times New Roman" w:hAnsi="Times New Roman" w:cs="Times New Roman"/>
          <w:sz w:val="24"/>
          <w:szCs w:val="24"/>
        </w:rPr>
        <w:t>institution</w:t>
      </w:r>
      <w:r w:rsidR="00864DB0">
        <w:rPr>
          <w:rFonts w:ascii="Times New Roman" w:hAnsi="Times New Roman" w:cs="Times New Roman"/>
          <w:sz w:val="24"/>
          <w:szCs w:val="24"/>
        </w:rPr>
        <w:t>s</w:t>
      </w:r>
      <w:r w:rsidR="00864DB0" w:rsidRPr="007F5877">
        <w:rPr>
          <w:rFonts w:ascii="Times New Roman" w:hAnsi="Times New Roman" w:cs="Times New Roman"/>
          <w:sz w:val="24"/>
          <w:szCs w:val="24"/>
        </w:rPr>
        <w:t xml:space="preserve"> influences</w:t>
      </w:r>
      <w:r w:rsidR="007F5877" w:rsidRPr="007F5877">
        <w:rPr>
          <w:rFonts w:ascii="Times New Roman" w:hAnsi="Times New Roman" w:cs="Times New Roman"/>
          <w:sz w:val="24"/>
          <w:szCs w:val="24"/>
        </w:rPr>
        <w:t xml:space="preserve"> the degree</w:t>
      </w:r>
      <w:r w:rsidR="00EE6893" w:rsidRPr="007F5877">
        <w:rPr>
          <w:rFonts w:ascii="Times New Roman" w:hAnsi="Times New Roman" w:cs="Times New Roman"/>
          <w:sz w:val="24"/>
          <w:szCs w:val="24"/>
        </w:rPr>
        <w:t xml:space="preserve"> to which the real exchange rate </w:t>
      </w:r>
      <w:r w:rsidR="007F5877" w:rsidRPr="007F5877">
        <w:rPr>
          <w:rFonts w:ascii="Times New Roman" w:hAnsi="Times New Roman" w:cs="Times New Roman"/>
          <w:sz w:val="24"/>
          <w:szCs w:val="24"/>
        </w:rPr>
        <w:t xml:space="preserve">in </w:t>
      </w:r>
      <w:r w:rsidR="00EE6893" w:rsidRPr="007F5877">
        <w:rPr>
          <w:rFonts w:ascii="Times New Roman" w:hAnsi="Times New Roman" w:cs="Times New Roman"/>
          <w:sz w:val="24"/>
          <w:szCs w:val="24"/>
        </w:rPr>
        <w:t>oil exporting countries is affected by international oil price shocks</w:t>
      </w:r>
      <w:r w:rsidR="00864DB0">
        <w:rPr>
          <w:rFonts w:ascii="Times New Roman" w:hAnsi="Times New Roman" w:cs="Times New Roman"/>
          <w:sz w:val="24"/>
          <w:szCs w:val="24"/>
        </w:rPr>
        <w:t xml:space="preserve">, stressing that </w:t>
      </w:r>
      <w:r w:rsidR="00EE6893" w:rsidRPr="00482E33">
        <w:rPr>
          <w:rFonts w:ascii="Times New Roman" w:hAnsi="Times New Roman" w:cs="Times New Roman"/>
          <w:sz w:val="24"/>
          <w:szCs w:val="24"/>
        </w:rPr>
        <w:t>strong institutions protect real exchange rate from oil price volatility by generating a smooth pattern of fiscal spending over the price cycle.</w:t>
      </w:r>
      <w:r w:rsidR="00864DB0">
        <w:rPr>
          <w:rFonts w:ascii="Times New Roman" w:hAnsi="Times New Roman" w:cs="Times New Roman"/>
          <w:sz w:val="24"/>
          <w:szCs w:val="24"/>
        </w:rPr>
        <w:t xml:space="preserve"> This is further explained by a study </w:t>
      </w:r>
      <w:r w:rsidR="00864DB0" w:rsidRPr="00317EE3">
        <w:rPr>
          <w:rFonts w:ascii="Times New Roman" w:hAnsi="Times New Roman" w:cs="Times New Roman"/>
          <w:sz w:val="24"/>
          <w:szCs w:val="24"/>
        </w:rPr>
        <w:t xml:space="preserve">on 33 oil exporting countries by (Mordi and Adebiyi, 2010). The findings shows that countries with high bureaucratic quality with strong and impartial legal system have real exchange rate that are affected less by oil price </w:t>
      </w:r>
      <w:r w:rsidR="00183E2D" w:rsidRPr="00317EE3">
        <w:rPr>
          <w:rFonts w:ascii="Times New Roman" w:hAnsi="Times New Roman" w:cs="Times New Roman"/>
          <w:sz w:val="24"/>
          <w:szCs w:val="24"/>
        </w:rPr>
        <w:t>volatility</w:t>
      </w:r>
      <w:r w:rsidR="00864DB0" w:rsidRPr="00317EE3">
        <w:rPr>
          <w:rFonts w:ascii="Times New Roman" w:hAnsi="Times New Roman" w:cs="Times New Roman"/>
          <w:sz w:val="24"/>
          <w:szCs w:val="24"/>
        </w:rPr>
        <w:t>.</w:t>
      </w:r>
      <w:r w:rsidR="00183E2D" w:rsidRPr="00317EE3">
        <w:rPr>
          <w:rFonts w:ascii="Times New Roman" w:hAnsi="Times New Roman" w:cs="Times New Roman"/>
          <w:sz w:val="24"/>
          <w:szCs w:val="24"/>
        </w:rPr>
        <w:t xml:space="preserve"> Further inquiry also shows that the asymmetric effect of oil price changes on economic activities is different for both oil price increase and oil price decrease. However, argument that oil price serves as a major determinant of real exchange rate</w:t>
      </w:r>
      <w:r w:rsidR="00317EE3" w:rsidRPr="00317EE3">
        <w:rPr>
          <w:rFonts w:ascii="Times New Roman" w:hAnsi="Times New Roman" w:cs="Times New Roman"/>
          <w:sz w:val="24"/>
          <w:szCs w:val="24"/>
        </w:rPr>
        <w:t xml:space="preserve"> mystifies the</w:t>
      </w:r>
      <w:r w:rsidR="00183E2D" w:rsidRPr="00317EE3">
        <w:rPr>
          <w:rFonts w:ascii="Times New Roman" w:hAnsi="Times New Roman" w:cs="Times New Roman"/>
          <w:sz w:val="24"/>
          <w:szCs w:val="24"/>
        </w:rPr>
        <w:t xml:space="preserve"> results for oil exporting countries (Rickne, 2009).</w:t>
      </w:r>
    </w:p>
    <w:p w:rsidR="00864DB0" w:rsidRDefault="00864DB0" w:rsidP="00864DB0">
      <w:pPr>
        <w:spacing w:after="0" w:line="240" w:lineRule="auto"/>
        <w:jc w:val="both"/>
        <w:rPr>
          <w:rFonts w:ascii="Times New Roman" w:hAnsi="Times New Roman" w:cs="Times New Roman"/>
          <w:sz w:val="24"/>
          <w:szCs w:val="24"/>
        </w:rPr>
      </w:pPr>
    </w:p>
    <w:p w:rsidR="003178BC" w:rsidRDefault="00217245" w:rsidP="00EE6893">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addition, there have counter argument on oil price, exchange rates and economic performance relationship across the globe but up to this moment there is no consensus on the link. </w:t>
      </w:r>
      <w:r w:rsidR="001E16C3">
        <w:rPr>
          <w:rFonts w:ascii="Times New Roman" w:hAnsi="Times New Roman" w:cs="Times New Roman"/>
          <w:color w:val="000000" w:themeColor="text1"/>
          <w:sz w:val="24"/>
          <w:szCs w:val="24"/>
        </w:rPr>
        <w:t xml:space="preserve">On this note, </w:t>
      </w:r>
      <w:r w:rsidR="00EE6893" w:rsidRPr="00FB4BA1">
        <w:rPr>
          <w:rFonts w:ascii="Times New Roman" w:hAnsi="Times New Roman" w:cs="Times New Roman"/>
          <w:sz w:val="24"/>
          <w:szCs w:val="24"/>
        </w:rPr>
        <w:t xml:space="preserve">Korhonen and juurikkala (2007) </w:t>
      </w:r>
      <w:r w:rsidR="00CF4E8B" w:rsidRPr="00FB4BA1">
        <w:rPr>
          <w:rFonts w:ascii="Times New Roman" w:hAnsi="Times New Roman" w:cs="Times New Roman"/>
          <w:sz w:val="24"/>
          <w:szCs w:val="24"/>
        </w:rPr>
        <w:t>opine</w:t>
      </w:r>
      <w:r w:rsidR="00EE6893" w:rsidRPr="00FB4BA1">
        <w:rPr>
          <w:rFonts w:ascii="Times New Roman" w:hAnsi="Times New Roman" w:cs="Times New Roman"/>
          <w:sz w:val="24"/>
          <w:szCs w:val="24"/>
        </w:rPr>
        <w:t xml:space="preserve"> that </w:t>
      </w:r>
      <w:r w:rsidR="00CF4E8B" w:rsidRPr="00FB4BA1">
        <w:rPr>
          <w:rFonts w:ascii="Times New Roman" w:hAnsi="Times New Roman" w:cs="Times New Roman"/>
          <w:sz w:val="24"/>
          <w:szCs w:val="24"/>
        </w:rPr>
        <w:t>o</w:t>
      </w:r>
      <w:r w:rsidR="00EE6893" w:rsidRPr="00FB4BA1">
        <w:rPr>
          <w:rFonts w:ascii="Times New Roman" w:hAnsi="Times New Roman" w:cs="Times New Roman"/>
          <w:sz w:val="24"/>
          <w:szCs w:val="24"/>
        </w:rPr>
        <w:t xml:space="preserve">il prices </w:t>
      </w:r>
      <w:r w:rsidR="00CF4E8B" w:rsidRPr="00FB4BA1">
        <w:rPr>
          <w:rFonts w:ascii="Times New Roman" w:hAnsi="Times New Roman" w:cs="Times New Roman"/>
          <w:sz w:val="24"/>
          <w:szCs w:val="24"/>
        </w:rPr>
        <w:t xml:space="preserve">increase </w:t>
      </w:r>
      <w:r w:rsidR="00EE6893" w:rsidRPr="00FB4BA1">
        <w:rPr>
          <w:rFonts w:ascii="Times New Roman" w:hAnsi="Times New Roman" w:cs="Times New Roman"/>
          <w:sz w:val="24"/>
          <w:szCs w:val="24"/>
        </w:rPr>
        <w:t>cause a real exchange rate appreciation</w:t>
      </w:r>
      <w:r w:rsidR="00CF4E8B" w:rsidRPr="00FB4BA1">
        <w:rPr>
          <w:rFonts w:ascii="Times New Roman" w:hAnsi="Times New Roman" w:cs="Times New Roman"/>
          <w:sz w:val="24"/>
          <w:szCs w:val="24"/>
        </w:rPr>
        <w:t xml:space="preserve"> mostly</w:t>
      </w:r>
      <w:r w:rsidR="00EE6893" w:rsidRPr="00FB4BA1">
        <w:rPr>
          <w:rFonts w:ascii="Times New Roman" w:hAnsi="Times New Roman" w:cs="Times New Roman"/>
          <w:sz w:val="24"/>
          <w:szCs w:val="24"/>
        </w:rPr>
        <w:t xml:space="preserve"> in oil exporting countries</w:t>
      </w:r>
      <w:r w:rsidR="00CF4E8B" w:rsidRPr="00FB4BA1">
        <w:rPr>
          <w:rFonts w:ascii="Times New Roman" w:hAnsi="Times New Roman" w:cs="Times New Roman"/>
          <w:sz w:val="24"/>
          <w:szCs w:val="24"/>
        </w:rPr>
        <w:t xml:space="preserve">. But looking at the relationship </w:t>
      </w:r>
      <w:r w:rsidR="00EE6893" w:rsidRPr="00FB4BA1">
        <w:rPr>
          <w:rFonts w:ascii="Times New Roman" w:hAnsi="Times New Roman" w:cs="Times New Roman"/>
          <w:sz w:val="24"/>
          <w:szCs w:val="24"/>
        </w:rPr>
        <w:t>between oil prices and real exchange rates for oil importing countries</w:t>
      </w:r>
      <w:r w:rsidR="00CF4E8B" w:rsidRPr="00FB4BA1">
        <w:rPr>
          <w:rFonts w:ascii="Times New Roman" w:hAnsi="Times New Roman" w:cs="Times New Roman"/>
          <w:sz w:val="24"/>
          <w:szCs w:val="24"/>
        </w:rPr>
        <w:t xml:space="preserve">, studies by </w:t>
      </w:r>
      <w:r w:rsidR="00EE6893" w:rsidRPr="00FB4BA1">
        <w:rPr>
          <w:rFonts w:ascii="Times New Roman" w:hAnsi="Times New Roman" w:cs="Times New Roman"/>
          <w:sz w:val="24"/>
          <w:szCs w:val="24"/>
        </w:rPr>
        <w:t>Camarero and Tamant</w:t>
      </w:r>
      <w:r w:rsidR="00CF4E8B" w:rsidRPr="00FB4BA1">
        <w:rPr>
          <w:rFonts w:ascii="Times New Roman" w:hAnsi="Times New Roman" w:cs="Times New Roman"/>
          <w:sz w:val="24"/>
          <w:szCs w:val="24"/>
        </w:rPr>
        <w:t xml:space="preserve"> (</w:t>
      </w:r>
      <w:r w:rsidR="00EE6893" w:rsidRPr="00FB4BA1">
        <w:rPr>
          <w:rFonts w:ascii="Times New Roman" w:hAnsi="Times New Roman" w:cs="Times New Roman"/>
          <w:sz w:val="24"/>
          <w:szCs w:val="24"/>
        </w:rPr>
        <w:t>2002)</w:t>
      </w:r>
      <w:r w:rsidR="00CF4E8B" w:rsidRPr="00FB4BA1">
        <w:rPr>
          <w:rFonts w:ascii="Times New Roman" w:hAnsi="Times New Roman" w:cs="Times New Roman"/>
          <w:sz w:val="24"/>
          <w:szCs w:val="24"/>
        </w:rPr>
        <w:t>, and Spatafora and Stavrev (2003)</w:t>
      </w:r>
      <w:r w:rsidR="00FB4BA1" w:rsidRPr="00FB4BA1">
        <w:rPr>
          <w:rFonts w:ascii="Times New Roman" w:hAnsi="Times New Roman" w:cs="Times New Roman"/>
          <w:sz w:val="24"/>
          <w:szCs w:val="24"/>
        </w:rPr>
        <w:t xml:space="preserve"> </w:t>
      </w:r>
      <w:r w:rsidR="00EE6893" w:rsidRPr="00FB4BA1">
        <w:rPr>
          <w:rFonts w:ascii="Times New Roman" w:hAnsi="Times New Roman" w:cs="Times New Roman"/>
          <w:sz w:val="24"/>
          <w:szCs w:val="24"/>
        </w:rPr>
        <w:t xml:space="preserve">confirm the </w:t>
      </w:r>
      <w:r w:rsidR="00FB4BA1" w:rsidRPr="00FB4BA1">
        <w:rPr>
          <w:rFonts w:ascii="Times New Roman" w:hAnsi="Times New Roman" w:cs="Times New Roman"/>
          <w:sz w:val="24"/>
          <w:szCs w:val="24"/>
        </w:rPr>
        <w:t>response</w:t>
      </w:r>
      <w:r w:rsidR="00EE6893" w:rsidRPr="00FB4BA1">
        <w:rPr>
          <w:rFonts w:ascii="Times New Roman" w:hAnsi="Times New Roman" w:cs="Times New Roman"/>
          <w:sz w:val="24"/>
          <w:szCs w:val="24"/>
        </w:rPr>
        <w:t xml:space="preserve"> of real exchange rate to long run oil prices</w:t>
      </w:r>
      <w:r w:rsidR="00FB4BA1" w:rsidRPr="00FB4BA1">
        <w:rPr>
          <w:rFonts w:ascii="Times New Roman" w:hAnsi="Times New Roman" w:cs="Times New Roman"/>
          <w:sz w:val="24"/>
          <w:szCs w:val="24"/>
        </w:rPr>
        <w:t xml:space="preserve"> change</w:t>
      </w:r>
      <w:r w:rsidR="00EE6893" w:rsidRPr="00FB4BA1">
        <w:rPr>
          <w:rFonts w:ascii="Times New Roman" w:hAnsi="Times New Roman" w:cs="Times New Roman"/>
          <w:sz w:val="24"/>
          <w:szCs w:val="24"/>
        </w:rPr>
        <w:t xml:space="preserve">. </w:t>
      </w:r>
      <w:r w:rsidR="00FB4BA1" w:rsidRPr="00FB4BA1">
        <w:rPr>
          <w:rFonts w:ascii="Times New Roman" w:hAnsi="Times New Roman" w:cs="Times New Roman"/>
          <w:sz w:val="24"/>
          <w:szCs w:val="24"/>
        </w:rPr>
        <w:t xml:space="preserve">Also in a study on Euro against Russia currency, </w:t>
      </w:r>
      <w:r w:rsidR="00EE6893" w:rsidRPr="00FB4BA1">
        <w:rPr>
          <w:rFonts w:ascii="Times New Roman" w:hAnsi="Times New Roman" w:cs="Times New Roman"/>
          <w:sz w:val="24"/>
          <w:szCs w:val="24"/>
        </w:rPr>
        <w:t xml:space="preserve">Suseeva (2010) </w:t>
      </w:r>
      <w:r w:rsidR="00FB4BA1" w:rsidRPr="00FB4BA1">
        <w:rPr>
          <w:rFonts w:ascii="Times New Roman" w:hAnsi="Times New Roman" w:cs="Times New Roman"/>
          <w:sz w:val="24"/>
          <w:szCs w:val="24"/>
        </w:rPr>
        <w:t xml:space="preserve">found </w:t>
      </w:r>
      <w:r w:rsidR="00EE6893" w:rsidRPr="00FB4BA1">
        <w:rPr>
          <w:rFonts w:ascii="Times New Roman" w:hAnsi="Times New Roman" w:cs="Times New Roman"/>
          <w:sz w:val="24"/>
          <w:szCs w:val="24"/>
        </w:rPr>
        <w:t xml:space="preserve">a long run </w:t>
      </w:r>
      <w:r w:rsidR="00FB4BA1" w:rsidRPr="00FB4BA1">
        <w:rPr>
          <w:rFonts w:ascii="Times New Roman" w:hAnsi="Times New Roman" w:cs="Times New Roman"/>
          <w:sz w:val="24"/>
          <w:szCs w:val="24"/>
        </w:rPr>
        <w:t xml:space="preserve">and </w:t>
      </w:r>
      <w:r w:rsidR="00EE6893" w:rsidRPr="00FB4BA1">
        <w:rPr>
          <w:rFonts w:ascii="Times New Roman" w:hAnsi="Times New Roman" w:cs="Times New Roman"/>
          <w:sz w:val="24"/>
          <w:szCs w:val="24"/>
        </w:rPr>
        <w:t xml:space="preserve">positive relationship between the real oil price and the real bilateral exchange rate. </w:t>
      </w:r>
      <w:r w:rsidR="00FB4BA1" w:rsidRPr="00FB4BA1">
        <w:rPr>
          <w:rFonts w:ascii="Times New Roman" w:hAnsi="Times New Roman" w:cs="Times New Roman"/>
          <w:sz w:val="24"/>
          <w:szCs w:val="24"/>
        </w:rPr>
        <w:t xml:space="preserve">In a similar study, </w:t>
      </w:r>
      <w:r w:rsidR="00EE6893" w:rsidRPr="00FB4BA1">
        <w:rPr>
          <w:rFonts w:ascii="Times New Roman" w:hAnsi="Times New Roman" w:cs="Times New Roman"/>
          <w:sz w:val="24"/>
          <w:szCs w:val="24"/>
        </w:rPr>
        <w:t xml:space="preserve">Lizardo and Mollick (2010) proof that </w:t>
      </w:r>
      <w:r w:rsidR="00FB4BA1">
        <w:rPr>
          <w:rFonts w:ascii="Times New Roman" w:hAnsi="Times New Roman" w:cs="Times New Roman"/>
          <w:sz w:val="24"/>
          <w:szCs w:val="24"/>
        </w:rPr>
        <w:t>from</w:t>
      </w:r>
      <w:r w:rsidR="00EE6893" w:rsidRPr="00FB4BA1">
        <w:rPr>
          <w:rFonts w:ascii="Times New Roman" w:hAnsi="Times New Roman" w:cs="Times New Roman"/>
          <w:sz w:val="24"/>
          <w:szCs w:val="24"/>
        </w:rPr>
        <w:t xml:space="preserve"> 1970s to 2008, movements in U.S dollar against major currencies was significantly explained by oil prices</w:t>
      </w:r>
      <w:r w:rsidR="00FB4BA1" w:rsidRPr="00FB4BA1">
        <w:rPr>
          <w:rFonts w:ascii="Times New Roman" w:hAnsi="Times New Roman" w:cs="Times New Roman"/>
          <w:sz w:val="24"/>
          <w:szCs w:val="24"/>
        </w:rPr>
        <w:t xml:space="preserve"> volatility</w:t>
      </w:r>
      <w:r w:rsidR="00EE6893" w:rsidRPr="00FB4BA1">
        <w:rPr>
          <w:rFonts w:ascii="Times New Roman" w:hAnsi="Times New Roman" w:cs="Times New Roman"/>
          <w:sz w:val="24"/>
          <w:szCs w:val="24"/>
        </w:rPr>
        <w:t xml:space="preserve">. They </w:t>
      </w:r>
      <w:r w:rsidR="00FB4BA1" w:rsidRPr="00FB4BA1">
        <w:rPr>
          <w:rFonts w:ascii="Times New Roman" w:hAnsi="Times New Roman" w:cs="Times New Roman"/>
          <w:sz w:val="24"/>
          <w:szCs w:val="24"/>
        </w:rPr>
        <w:t>concluded</w:t>
      </w:r>
      <w:r w:rsidR="00EE6893" w:rsidRPr="00FB4BA1">
        <w:rPr>
          <w:rFonts w:ascii="Times New Roman" w:hAnsi="Times New Roman" w:cs="Times New Roman"/>
          <w:sz w:val="24"/>
          <w:szCs w:val="24"/>
        </w:rPr>
        <w:t xml:space="preserve"> that when oil prices increases, currencies of oil importers suffer depreciation. </w:t>
      </w:r>
      <w:r w:rsidR="00EE6893" w:rsidRPr="00482E33">
        <w:rPr>
          <w:rFonts w:ascii="Times New Roman" w:hAnsi="Times New Roman" w:cs="Times New Roman"/>
          <w:sz w:val="24"/>
          <w:szCs w:val="24"/>
        </w:rPr>
        <w:t xml:space="preserve">On the other hand, in net-oil exporters such as Canada, Mexico and </w:t>
      </w:r>
      <w:r w:rsidR="003178BC" w:rsidRPr="00482E33">
        <w:rPr>
          <w:rFonts w:ascii="Times New Roman" w:hAnsi="Times New Roman" w:cs="Times New Roman"/>
          <w:sz w:val="24"/>
          <w:szCs w:val="24"/>
        </w:rPr>
        <w:t>Russia</w:t>
      </w:r>
      <w:r w:rsidR="00EE6893" w:rsidRPr="00482E33">
        <w:rPr>
          <w:rFonts w:ascii="Times New Roman" w:hAnsi="Times New Roman" w:cs="Times New Roman"/>
          <w:sz w:val="24"/>
          <w:szCs w:val="24"/>
        </w:rPr>
        <w:t xml:space="preserve"> increase in oil prices leads to a noteworthy depreciation of the US dollar. </w:t>
      </w:r>
      <w:r w:rsidR="003178BC">
        <w:rPr>
          <w:rFonts w:ascii="Times New Roman" w:hAnsi="Times New Roman" w:cs="Times New Roman"/>
          <w:sz w:val="24"/>
          <w:szCs w:val="24"/>
        </w:rPr>
        <w:t>Even in the presence of research findings,</w:t>
      </w:r>
      <w:r w:rsidR="00EE6893" w:rsidRPr="00FB4BA1">
        <w:rPr>
          <w:rFonts w:ascii="Times New Roman" w:hAnsi="Times New Roman" w:cs="Times New Roman"/>
          <w:color w:val="00B050"/>
          <w:sz w:val="24"/>
          <w:szCs w:val="24"/>
        </w:rPr>
        <w:t xml:space="preserve"> </w:t>
      </w:r>
      <w:r w:rsidR="00EE6893" w:rsidRPr="003178BC">
        <w:rPr>
          <w:rFonts w:ascii="Times New Roman" w:hAnsi="Times New Roman" w:cs="Times New Roman"/>
          <w:sz w:val="24"/>
          <w:szCs w:val="24"/>
        </w:rPr>
        <w:t xml:space="preserve">Akram (2004) </w:t>
      </w:r>
      <w:r w:rsidR="003178BC" w:rsidRPr="003178BC">
        <w:rPr>
          <w:rFonts w:ascii="Times New Roman" w:hAnsi="Times New Roman" w:cs="Times New Roman"/>
          <w:sz w:val="24"/>
          <w:szCs w:val="24"/>
        </w:rPr>
        <w:t>strongly argued that there</w:t>
      </w:r>
      <w:r w:rsidR="00EE6893" w:rsidRPr="003178BC">
        <w:rPr>
          <w:rFonts w:ascii="Times New Roman" w:hAnsi="Times New Roman" w:cs="Times New Roman"/>
          <w:sz w:val="24"/>
          <w:szCs w:val="24"/>
        </w:rPr>
        <w:t xml:space="preserve"> no linear relationship between oil prices and </w:t>
      </w:r>
      <w:r w:rsidR="003178BC" w:rsidRPr="003178BC">
        <w:rPr>
          <w:rFonts w:ascii="Times New Roman" w:hAnsi="Times New Roman" w:cs="Times New Roman"/>
          <w:sz w:val="24"/>
          <w:szCs w:val="24"/>
        </w:rPr>
        <w:t xml:space="preserve">the </w:t>
      </w:r>
      <w:r w:rsidR="00EE6893" w:rsidRPr="003178BC">
        <w:rPr>
          <w:rFonts w:ascii="Times New Roman" w:hAnsi="Times New Roman" w:cs="Times New Roman"/>
          <w:sz w:val="24"/>
          <w:szCs w:val="24"/>
        </w:rPr>
        <w:t>exchange rates</w:t>
      </w:r>
      <w:r w:rsidR="003178BC" w:rsidRPr="003178BC">
        <w:rPr>
          <w:rFonts w:ascii="Times New Roman" w:hAnsi="Times New Roman" w:cs="Times New Roman"/>
          <w:sz w:val="24"/>
          <w:szCs w:val="24"/>
        </w:rPr>
        <w:t xml:space="preserve"> in a study in the Norway</w:t>
      </w:r>
      <w:r w:rsidR="00EE6893" w:rsidRPr="003178BC">
        <w:rPr>
          <w:rFonts w:ascii="Times New Roman" w:hAnsi="Times New Roman" w:cs="Times New Roman"/>
          <w:sz w:val="24"/>
          <w:szCs w:val="24"/>
        </w:rPr>
        <w:t xml:space="preserve">. </w:t>
      </w:r>
    </w:p>
    <w:p w:rsidR="002A32D7" w:rsidRPr="003178BC" w:rsidRDefault="002A32D7" w:rsidP="002A32D7">
      <w:pPr>
        <w:spacing w:after="0" w:line="240" w:lineRule="auto"/>
        <w:jc w:val="both"/>
        <w:rPr>
          <w:rFonts w:ascii="Times New Roman" w:hAnsi="Times New Roman" w:cs="Times New Roman"/>
          <w:sz w:val="24"/>
          <w:szCs w:val="24"/>
        </w:rPr>
      </w:pPr>
    </w:p>
    <w:p w:rsidR="005F07C9" w:rsidRDefault="00EE6893" w:rsidP="00EE6893">
      <w:pPr>
        <w:spacing w:after="0" w:line="240" w:lineRule="auto"/>
        <w:jc w:val="both"/>
        <w:rPr>
          <w:rFonts w:ascii="Times New Roman" w:hAnsi="Times New Roman" w:cs="Times New Roman"/>
          <w:sz w:val="24"/>
          <w:szCs w:val="24"/>
        </w:rPr>
      </w:pPr>
      <w:r w:rsidRPr="003178BC">
        <w:rPr>
          <w:rFonts w:ascii="Times New Roman" w:hAnsi="Times New Roman" w:cs="Times New Roman"/>
          <w:sz w:val="24"/>
          <w:szCs w:val="24"/>
        </w:rPr>
        <w:t>Using quarterly data from 1974 to 1992</w:t>
      </w:r>
      <w:r w:rsidR="003178BC" w:rsidRPr="003178BC">
        <w:rPr>
          <w:rFonts w:ascii="Times New Roman" w:hAnsi="Times New Roman" w:cs="Times New Roman"/>
          <w:sz w:val="24"/>
          <w:szCs w:val="24"/>
        </w:rPr>
        <w:t xml:space="preserve"> and</w:t>
      </w:r>
      <w:r w:rsidRPr="003178BC">
        <w:rPr>
          <w:rFonts w:ascii="Times New Roman" w:hAnsi="Times New Roman" w:cs="Times New Roman"/>
          <w:sz w:val="24"/>
          <w:szCs w:val="24"/>
        </w:rPr>
        <w:t xml:space="preserve"> comparing the United States of America to four different countries</w:t>
      </w:r>
      <w:r w:rsidR="003178BC" w:rsidRPr="003178BC">
        <w:rPr>
          <w:rFonts w:ascii="Times New Roman" w:hAnsi="Times New Roman" w:cs="Times New Roman"/>
          <w:sz w:val="24"/>
          <w:szCs w:val="24"/>
        </w:rPr>
        <w:t xml:space="preserve"> such as </w:t>
      </w:r>
      <w:r w:rsidRPr="003178BC">
        <w:rPr>
          <w:rFonts w:ascii="Times New Roman" w:hAnsi="Times New Roman" w:cs="Times New Roman"/>
          <w:sz w:val="24"/>
          <w:szCs w:val="24"/>
        </w:rPr>
        <w:t>Germany, United Kingdom, Japan and Canada,</w:t>
      </w:r>
      <w:r w:rsidRPr="00482E33">
        <w:rPr>
          <w:rFonts w:ascii="Times New Roman" w:hAnsi="Times New Roman" w:cs="Times New Roman"/>
          <w:sz w:val="24"/>
          <w:szCs w:val="24"/>
        </w:rPr>
        <w:t xml:space="preserve"> </w:t>
      </w:r>
      <w:r w:rsidR="00FA73A3" w:rsidRPr="00FA73A3">
        <w:rPr>
          <w:rFonts w:ascii="Times New Roman" w:hAnsi="Times New Roman" w:cs="Times New Roman"/>
          <w:sz w:val="24"/>
          <w:szCs w:val="24"/>
        </w:rPr>
        <w:t xml:space="preserve">Clarida, </w:t>
      </w:r>
      <w:r w:rsidRPr="00FA73A3">
        <w:rPr>
          <w:rFonts w:ascii="Times New Roman" w:hAnsi="Times New Roman" w:cs="Times New Roman"/>
          <w:sz w:val="24"/>
          <w:szCs w:val="24"/>
        </w:rPr>
        <w:t xml:space="preserve">Gali </w:t>
      </w:r>
      <w:r w:rsidR="00FA73A3" w:rsidRPr="00E80378">
        <w:rPr>
          <w:rFonts w:ascii="Times New Roman" w:eastAsia="Times New Roman" w:hAnsi="Times New Roman" w:cs="Times New Roman"/>
          <w:bCs/>
          <w:kern w:val="36"/>
          <w:sz w:val="24"/>
          <w:szCs w:val="24"/>
        </w:rPr>
        <w:t>and Gertler</w:t>
      </w:r>
      <w:r w:rsidR="00FA73A3" w:rsidRPr="00FA73A3">
        <w:rPr>
          <w:rFonts w:ascii="Times New Roman" w:hAnsi="Times New Roman" w:cs="Times New Roman"/>
          <w:sz w:val="24"/>
          <w:szCs w:val="24"/>
        </w:rPr>
        <w:t xml:space="preserve"> </w:t>
      </w:r>
      <w:r w:rsidRPr="00FA73A3">
        <w:rPr>
          <w:rFonts w:ascii="Times New Roman" w:hAnsi="Times New Roman" w:cs="Times New Roman"/>
          <w:sz w:val="24"/>
          <w:szCs w:val="24"/>
        </w:rPr>
        <w:t>(1999) estimate the share of exchange rate fluctuations that is due to the different shocks in oil and</w:t>
      </w:r>
      <w:r w:rsidRPr="00482E33">
        <w:rPr>
          <w:rFonts w:ascii="Times New Roman" w:hAnsi="Times New Roman" w:cs="Times New Roman"/>
          <w:sz w:val="24"/>
          <w:szCs w:val="24"/>
        </w:rPr>
        <w:t xml:space="preserve"> </w:t>
      </w:r>
      <w:r w:rsidRPr="00482E33">
        <w:rPr>
          <w:rFonts w:ascii="Times New Roman" w:hAnsi="Times New Roman" w:cs="Times New Roman"/>
          <w:sz w:val="24"/>
          <w:szCs w:val="24"/>
        </w:rPr>
        <w:lastRenderedPageBreak/>
        <w:t>found that more than 50 p</w:t>
      </w:r>
      <w:r w:rsidR="00450612">
        <w:rPr>
          <w:rFonts w:ascii="Times New Roman" w:hAnsi="Times New Roman" w:cs="Times New Roman"/>
          <w:sz w:val="24"/>
          <w:szCs w:val="24"/>
        </w:rPr>
        <w:t xml:space="preserve">er </w:t>
      </w:r>
      <w:r w:rsidRPr="00482E33">
        <w:rPr>
          <w:rFonts w:ascii="Times New Roman" w:hAnsi="Times New Roman" w:cs="Times New Roman"/>
          <w:sz w:val="24"/>
          <w:szCs w:val="24"/>
        </w:rPr>
        <w:t xml:space="preserve">cent of the variance of real exchange rate changes over all the horizons was caused by real oil shocks. </w:t>
      </w:r>
      <w:r w:rsidR="003178BC">
        <w:rPr>
          <w:rFonts w:ascii="Times New Roman" w:hAnsi="Times New Roman" w:cs="Times New Roman"/>
          <w:sz w:val="24"/>
          <w:szCs w:val="24"/>
        </w:rPr>
        <w:t xml:space="preserve">In a similar study, </w:t>
      </w:r>
      <w:r w:rsidRPr="004C7BCF">
        <w:rPr>
          <w:rFonts w:ascii="Times New Roman" w:hAnsi="Times New Roman" w:cs="Times New Roman"/>
          <w:sz w:val="24"/>
          <w:szCs w:val="24"/>
        </w:rPr>
        <w:t xml:space="preserve">Amano and Norden (1998) using real effective exchange rates for Germany, Japan and United States </w:t>
      </w:r>
      <w:r w:rsidR="003178BC" w:rsidRPr="004C7BCF">
        <w:rPr>
          <w:rFonts w:ascii="Times New Roman" w:hAnsi="Times New Roman" w:cs="Times New Roman"/>
          <w:sz w:val="24"/>
          <w:szCs w:val="24"/>
        </w:rPr>
        <w:t>observed</w:t>
      </w:r>
      <w:r w:rsidRPr="004C7BCF">
        <w:rPr>
          <w:rFonts w:ascii="Times New Roman" w:hAnsi="Times New Roman" w:cs="Times New Roman"/>
          <w:sz w:val="24"/>
          <w:szCs w:val="24"/>
        </w:rPr>
        <w:t xml:space="preserve"> real oil price </w:t>
      </w:r>
      <w:r w:rsidR="003178BC" w:rsidRPr="004C7BCF">
        <w:rPr>
          <w:rFonts w:ascii="Times New Roman" w:hAnsi="Times New Roman" w:cs="Times New Roman"/>
          <w:sz w:val="24"/>
          <w:szCs w:val="24"/>
        </w:rPr>
        <w:t>as</w:t>
      </w:r>
      <w:r w:rsidRPr="004C7BCF">
        <w:rPr>
          <w:rFonts w:ascii="Times New Roman" w:hAnsi="Times New Roman" w:cs="Times New Roman"/>
          <w:sz w:val="24"/>
          <w:szCs w:val="24"/>
        </w:rPr>
        <w:t xml:space="preserve"> the most important determin</w:t>
      </w:r>
      <w:r w:rsidR="003178BC" w:rsidRPr="004C7BCF">
        <w:rPr>
          <w:rFonts w:ascii="Times New Roman" w:hAnsi="Times New Roman" w:cs="Times New Roman"/>
          <w:sz w:val="24"/>
          <w:szCs w:val="24"/>
        </w:rPr>
        <w:t>ant</w:t>
      </w:r>
      <w:r w:rsidRPr="004C7BCF">
        <w:rPr>
          <w:rFonts w:ascii="Times New Roman" w:hAnsi="Times New Roman" w:cs="Times New Roman"/>
          <w:sz w:val="24"/>
          <w:szCs w:val="24"/>
        </w:rPr>
        <w:t xml:space="preserve"> real exchange rates in the long run. </w:t>
      </w:r>
      <w:r w:rsidR="003178BC" w:rsidRPr="004C7BCF">
        <w:rPr>
          <w:rFonts w:ascii="Times New Roman" w:hAnsi="Times New Roman" w:cs="Times New Roman"/>
          <w:sz w:val="24"/>
          <w:szCs w:val="24"/>
        </w:rPr>
        <w:t>They further argued that when</w:t>
      </w:r>
      <w:r w:rsidRPr="004C7BCF">
        <w:rPr>
          <w:rFonts w:ascii="Times New Roman" w:hAnsi="Times New Roman" w:cs="Times New Roman"/>
          <w:sz w:val="24"/>
          <w:szCs w:val="24"/>
        </w:rPr>
        <w:t xml:space="preserve"> the productivity of tradable</w:t>
      </w:r>
      <w:r w:rsidR="003178BC" w:rsidRPr="004C7BCF">
        <w:rPr>
          <w:rFonts w:ascii="Times New Roman" w:hAnsi="Times New Roman" w:cs="Times New Roman"/>
          <w:sz w:val="24"/>
          <w:szCs w:val="24"/>
        </w:rPr>
        <w:t xml:space="preserve"> goods</w:t>
      </w:r>
      <w:r w:rsidRPr="004C7BCF">
        <w:rPr>
          <w:rFonts w:ascii="Times New Roman" w:hAnsi="Times New Roman" w:cs="Times New Roman"/>
          <w:sz w:val="24"/>
          <w:szCs w:val="24"/>
        </w:rPr>
        <w:t xml:space="preserve"> relative to non-tradable </w:t>
      </w:r>
      <w:r w:rsidR="003178BC" w:rsidRPr="004C7BCF">
        <w:rPr>
          <w:rFonts w:ascii="Times New Roman" w:hAnsi="Times New Roman" w:cs="Times New Roman"/>
          <w:sz w:val="24"/>
          <w:szCs w:val="24"/>
        </w:rPr>
        <w:t xml:space="preserve">goods </w:t>
      </w:r>
      <w:r w:rsidRPr="004C7BCF">
        <w:rPr>
          <w:rFonts w:ascii="Times New Roman" w:hAnsi="Times New Roman" w:cs="Times New Roman"/>
          <w:sz w:val="24"/>
          <w:szCs w:val="24"/>
        </w:rPr>
        <w:t xml:space="preserve">is larger in other countries, </w:t>
      </w:r>
      <w:r w:rsidR="003178BC" w:rsidRPr="004C7BCF">
        <w:rPr>
          <w:rFonts w:ascii="Times New Roman" w:hAnsi="Times New Roman" w:cs="Times New Roman"/>
          <w:sz w:val="24"/>
          <w:szCs w:val="24"/>
        </w:rPr>
        <w:t>there will</w:t>
      </w:r>
      <w:r w:rsidR="004C7BCF" w:rsidRPr="004C7BCF">
        <w:rPr>
          <w:rFonts w:ascii="Times New Roman" w:hAnsi="Times New Roman" w:cs="Times New Roman"/>
          <w:sz w:val="24"/>
          <w:szCs w:val="24"/>
        </w:rPr>
        <w:t xml:space="preserve"> be real exchange rate </w:t>
      </w:r>
      <w:r w:rsidRPr="004C7BCF">
        <w:rPr>
          <w:rFonts w:ascii="Times New Roman" w:hAnsi="Times New Roman" w:cs="Times New Roman"/>
          <w:sz w:val="24"/>
          <w:szCs w:val="24"/>
        </w:rPr>
        <w:t>appreciation</w:t>
      </w:r>
      <w:r w:rsidR="004C7BCF" w:rsidRPr="004C7BCF">
        <w:rPr>
          <w:rFonts w:ascii="Times New Roman" w:hAnsi="Times New Roman" w:cs="Times New Roman"/>
          <w:sz w:val="24"/>
          <w:szCs w:val="24"/>
        </w:rPr>
        <w:t xml:space="preserve"> which somewhat supported </w:t>
      </w:r>
      <w:r w:rsidRPr="004C7BCF">
        <w:rPr>
          <w:rFonts w:ascii="Times New Roman" w:hAnsi="Times New Roman" w:cs="Times New Roman"/>
          <w:sz w:val="24"/>
          <w:szCs w:val="24"/>
        </w:rPr>
        <w:t xml:space="preserve">Balassa-Samuelson hypothesis </w:t>
      </w:r>
      <w:r w:rsidR="004C7BCF" w:rsidRPr="004C7BCF">
        <w:rPr>
          <w:rFonts w:ascii="Times New Roman" w:hAnsi="Times New Roman" w:cs="Times New Roman"/>
          <w:sz w:val="24"/>
          <w:szCs w:val="24"/>
        </w:rPr>
        <w:t xml:space="preserve">as </w:t>
      </w:r>
      <w:r w:rsidRPr="004C7BCF">
        <w:rPr>
          <w:rFonts w:ascii="Times New Roman" w:hAnsi="Times New Roman" w:cs="Times New Roman"/>
          <w:sz w:val="24"/>
          <w:szCs w:val="24"/>
        </w:rPr>
        <w:t>formulated by Balassa and Samuelson (1964).</w:t>
      </w:r>
      <w:r w:rsidRPr="003178BC">
        <w:rPr>
          <w:rFonts w:ascii="Times New Roman" w:hAnsi="Times New Roman" w:cs="Times New Roman"/>
          <w:color w:val="00B050"/>
          <w:sz w:val="24"/>
          <w:szCs w:val="24"/>
        </w:rPr>
        <w:t xml:space="preserve"> </w:t>
      </w:r>
      <w:r w:rsidR="004C7BCF" w:rsidRPr="00BD3A5B">
        <w:rPr>
          <w:rFonts w:ascii="Times New Roman" w:hAnsi="Times New Roman" w:cs="Times New Roman"/>
          <w:sz w:val="24"/>
          <w:szCs w:val="24"/>
        </w:rPr>
        <w:t>But</w:t>
      </w:r>
      <w:r w:rsidRPr="00BD3A5B">
        <w:rPr>
          <w:rFonts w:ascii="Times New Roman" w:hAnsi="Times New Roman" w:cs="Times New Roman"/>
          <w:sz w:val="24"/>
          <w:szCs w:val="24"/>
        </w:rPr>
        <w:t xml:space="preserve"> Coudert (2004)</w:t>
      </w:r>
      <w:r w:rsidR="004C7BCF" w:rsidRPr="00BD3A5B">
        <w:rPr>
          <w:rFonts w:ascii="Times New Roman" w:hAnsi="Times New Roman" w:cs="Times New Roman"/>
          <w:sz w:val="24"/>
          <w:szCs w:val="24"/>
        </w:rPr>
        <w:t xml:space="preserve"> sees </w:t>
      </w:r>
      <w:r w:rsidRPr="00BD3A5B">
        <w:rPr>
          <w:rFonts w:ascii="Times New Roman" w:hAnsi="Times New Roman" w:cs="Times New Roman"/>
          <w:sz w:val="24"/>
          <w:szCs w:val="24"/>
        </w:rPr>
        <w:t xml:space="preserve">Balassa-Samuelson effect </w:t>
      </w:r>
      <w:r w:rsidR="004C7BCF" w:rsidRPr="00BD3A5B">
        <w:rPr>
          <w:rFonts w:ascii="Times New Roman" w:hAnsi="Times New Roman" w:cs="Times New Roman"/>
          <w:sz w:val="24"/>
          <w:szCs w:val="24"/>
        </w:rPr>
        <w:t>as</w:t>
      </w:r>
      <w:r w:rsidRPr="00BD3A5B">
        <w:rPr>
          <w:rFonts w:ascii="Times New Roman" w:hAnsi="Times New Roman" w:cs="Times New Roman"/>
          <w:sz w:val="24"/>
          <w:szCs w:val="24"/>
        </w:rPr>
        <w:t xml:space="preserve"> the mechanism by which an appreciation of real exchange rate occurs owing to changes in relative productivity. </w:t>
      </w:r>
      <w:r w:rsidR="0089750E" w:rsidRPr="0089750E">
        <w:rPr>
          <w:rFonts w:ascii="Times New Roman" w:hAnsi="Times New Roman" w:cs="Times New Roman"/>
          <w:sz w:val="24"/>
          <w:szCs w:val="24"/>
        </w:rPr>
        <w:t>The survey shows that the appreciation in real exchange rate observed in central and Eastern Europe in early 2000 stemmed from the Balassa effect.</w:t>
      </w:r>
      <w:r w:rsidR="0089750E">
        <w:rPr>
          <w:rFonts w:ascii="Times New Roman" w:hAnsi="Times New Roman" w:cs="Times New Roman"/>
          <w:color w:val="00B050"/>
          <w:sz w:val="24"/>
          <w:szCs w:val="24"/>
        </w:rPr>
        <w:t xml:space="preserve"> </w:t>
      </w:r>
      <w:r w:rsidR="004C7BCF" w:rsidRPr="00BD3A5B">
        <w:rPr>
          <w:rFonts w:ascii="Times New Roman" w:hAnsi="Times New Roman" w:cs="Times New Roman"/>
          <w:sz w:val="24"/>
          <w:szCs w:val="24"/>
        </w:rPr>
        <w:t xml:space="preserve">In an experiment for further investigation, Sossounov and Ushakov (2009) examined the influence of oil price </w:t>
      </w:r>
      <w:r w:rsidR="00BD3A5B" w:rsidRPr="00BD3A5B">
        <w:rPr>
          <w:rFonts w:ascii="Times New Roman" w:hAnsi="Times New Roman" w:cs="Times New Roman"/>
          <w:sz w:val="24"/>
          <w:szCs w:val="24"/>
        </w:rPr>
        <w:t>fluctuations</w:t>
      </w:r>
      <w:r w:rsidR="004C7BCF" w:rsidRPr="00BD3A5B">
        <w:rPr>
          <w:rFonts w:ascii="Times New Roman" w:hAnsi="Times New Roman" w:cs="Times New Roman"/>
          <w:sz w:val="24"/>
          <w:szCs w:val="24"/>
        </w:rPr>
        <w:t xml:space="preserve"> and productivity </w:t>
      </w:r>
      <w:r w:rsidR="00BD3A5B" w:rsidRPr="00BD3A5B">
        <w:rPr>
          <w:rFonts w:ascii="Times New Roman" w:hAnsi="Times New Roman" w:cs="Times New Roman"/>
          <w:sz w:val="24"/>
          <w:szCs w:val="24"/>
        </w:rPr>
        <w:t>differentials</w:t>
      </w:r>
      <w:r w:rsidR="004C7BCF" w:rsidRPr="00BD3A5B">
        <w:rPr>
          <w:rFonts w:ascii="Times New Roman" w:hAnsi="Times New Roman" w:cs="Times New Roman"/>
          <w:sz w:val="24"/>
          <w:szCs w:val="24"/>
        </w:rPr>
        <w:t xml:space="preserve"> on real exchange rate</w:t>
      </w:r>
      <w:r w:rsidR="00BD3A5B" w:rsidRPr="00BD3A5B">
        <w:rPr>
          <w:rFonts w:ascii="Times New Roman" w:hAnsi="Times New Roman" w:cs="Times New Roman"/>
          <w:sz w:val="24"/>
          <w:szCs w:val="24"/>
        </w:rPr>
        <w:t>,</w:t>
      </w:r>
      <w:r w:rsidR="004C7BCF" w:rsidRPr="00BD3A5B">
        <w:rPr>
          <w:rFonts w:ascii="Times New Roman" w:hAnsi="Times New Roman" w:cs="Times New Roman"/>
          <w:sz w:val="24"/>
          <w:szCs w:val="24"/>
        </w:rPr>
        <w:t xml:space="preserve"> </w:t>
      </w:r>
      <w:r w:rsidR="00BD3A5B" w:rsidRPr="00BD3A5B">
        <w:rPr>
          <w:rFonts w:ascii="Times New Roman" w:hAnsi="Times New Roman" w:cs="Times New Roman"/>
          <w:sz w:val="24"/>
          <w:szCs w:val="24"/>
        </w:rPr>
        <w:t>assuming</w:t>
      </w:r>
      <w:r w:rsidR="004C7BCF" w:rsidRPr="00BD3A5B">
        <w:rPr>
          <w:rFonts w:ascii="Times New Roman" w:hAnsi="Times New Roman" w:cs="Times New Roman"/>
          <w:sz w:val="24"/>
          <w:szCs w:val="24"/>
        </w:rPr>
        <w:t xml:space="preserve"> that oil price is the main export good driving the terms of trade in oil exporting countries, using real oil price as a measure of term of trade. </w:t>
      </w:r>
      <w:r w:rsidR="00BD3A5B" w:rsidRPr="00BD3A5B">
        <w:rPr>
          <w:rFonts w:ascii="Times New Roman" w:hAnsi="Times New Roman" w:cs="Times New Roman"/>
          <w:sz w:val="24"/>
          <w:szCs w:val="24"/>
        </w:rPr>
        <w:t xml:space="preserve">Their findings suggests that </w:t>
      </w:r>
      <w:r w:rsidRPr="00BD3A5B">
        <w:rPr>
          <w:rFonts w:ascii="Times New Roman" w:hAnsi="Times New Roman" w:cs="Times New Roman"/>
          <w:sz w:val="24"/>
          <w:szCs w:val="24"/>
        </w:rPr>
        <w:t>price of the main exported good is an indicator of the terms of trade</w:t>
      </w:r>
      <w:r w:rsidR="00BD3A5B" w:rsidRPr="00BD3A5B">
        <w:rPr>
          <w:rFonts w:ascii="Times New Roman" w:hAnsi="Times New Roman" w:cs="Times New Roman"/>
          <w:sz w:val="24"/>
          <w:szCs w:val="24"/>
        </w:rPr>
        <w:t xml:space="preserve">. </w:t>
      </w:r>
      <w:r w:rsidR="00BD3A5B" w:rsidRPr="00972622">
        <w:rPr>
          <w:rFonts w:ascii="Times New Roman" w:hAnsi="Times New Roman" w:cs="Times New Roman"/>
          <w:sz w:val="24"/>
          <w:szCs w:val="24"/>
        </w:rPr>
        <w:t xml:space="preserve">Also, </w:t>
      </w:r>
      <w:r w:rsidRPr="00972622">
        <w:rPr>
          <w:rFonts w:ascii="Times New Roman" w:hAnsi="Times New Roman" w:cs="Times New Roman"/>
          <w:sz w:val="24"/>
          <w:szCs w:val="24"/>
        </w:rPr>
        <w:t xml:space="preserve">Choudhri and Khan (2004) </w:t>
      </w:r>
      <w:r w:rsidR="0089750E" w:rsidRPr="00972622">
        <w:rPr>
          <w:rFonts w:ascii="Times New Roman" w:hAnsi="Times New Roman" w:cs="Times New Roman"/>
          <w:sz w:val="24"/>
          <w:szCs w:val="24"/>
        </w:rPr>
        <w:t>stipulated</w:t>
      </w:r>
      <w:r w:rsidRPr="00972622">
        <w:rPr>
          <w:rFonts w:ascii="Times New Roman" w:hAnsi="Times New Roman" w:cs="Times New Roman"/>
          <w:sz w:val="24"/>
          <w:szCs w:val="24"/>
        </w:rPr>
        <w:t xml:space="preserve"> strong evidence of the workings of the Balassa Samuelson effe</w:t>
      </w:r>
      <w:r w:rsidRPr="00482E33">
        <w:rPr>
          <w:rFonts w:ascii="Times New Roman" w:hAnsi="Times New Roman" w:cs="Times New Roman"/>
          <w:sz w:val="24"/>
          <w:szCs w:val="24"/>
        </w:rPr>
        <w:t>cts</w:t>
      </w:r>
      <w:r w:rsidR="00BD3A5B">
        <w:rPr>
          <w:rFonts w:ascii="Times New Roman" w:hAnsi="Times New Roman" w:cs="Times New Roman"/>
          <w:sz w:val="24"/>
          <w:szCs w:val="24"/>
        </w:rPr>
        <w:t xml:space="preserve"> u</w:t>
      </w:r>
      <w:r w:rsidR="00BD3A5B" w:rsidRPr="00482E33">
        <w:rPr>
          <w:rFonts w:ascii="Times New Roman" w:hAnsi="Times New Roman" w:cs="Times New Roman"/>
          <w:sz w:val="24"/>
          <w:szCs w:val="24"/>
        </w:rPr>
        <w:t>sing a panel of 16 developing countries</w:t>
      </w:r>
      <w:r w:rsidRPr="00482E33">
        <w:rPr>
          <w:rFonts w:ascii="Times New Roman" w:hAnsi="Times New Roman" w:cs="Times New Roman"/>
          <w:sz w:val="24"/>
          <w:szCs w:val="24"/>
        </w:rPr>
        <w:t xml:space="preserve">. </w:t>
      </w:r>
      <w:r w:rsidR="003D734B" w:rsidRPr="003D734B">
        <w:rPr>
          <w:rFonts w:ascii="Times New Roman" w:hAnsi="Times New Roman" w:cs="Times New Roman"/>
          <w:sz w:val="24"/>
          <w:szCs w:val="24"/>
        </w:rPr>
        <w:t xml:space="preserve">However, Balassa-Samuelson hypothesis was further examined by </w:t>
      </w:r>
      <w:r w:rsidRPr="003D734B">
        <w:rPr>
          <w:rFonts w:ascii="Times New Roman" w:hAnsi="Times New Roman" w:cs="Times New Roman"/>
          <w:sz w:val="24"/>
          <w:szCs w:val="24"/>
        </w:rPr>
        <w:t>Kutan and Wyzan (2005</w:t>
      </w:r>
      <w:r w:rsidR="003D734B" w:rsidRPr="003D734B">
        <w:rPr>
          <w:rFonts w:ascii="Times New Roman" w:hAnsi="Times New Roman" w:cs="Times New Roman"/>
          <w:sz w:val="24"/>
          <w:szCs w:val="24"/>
        </w:rPr>
        <w:t xml:space="preserve">). The </w:t>
      </w:r>
      <w:r w:rsidRPr="003D734B">
        <w:rPr>
          <w:rFonts w:ascii="Times New Roman" w:hAnsi="Times New Roman" w:cs="Times New Roman"/>
          <w:sz w:val="24"/>
          <w:szCs w:val="24"/>
        </w:rPr>
        <w:t xml:space="preserve">evidence </w:t>
      </w:r>
      <w:r w:rsidR="003D734B" w:rsidRPr="003D734B">
        <w:rPr>
          <w:rFonts w:ascii="Times New Roman" w:hAnsi="Times New Roman" w:cs="Times New Roman"/>
          <w:sz w:val="24"/>
          <w:szCs w:val="24"/>
        </w:rPr>
        <w:t xml:space="preserve">shows </w:t>
      </w:r>
      <w:r w:rsidRPr="003D734B">
        <w:rPr>
          <w:rFonts w:ascii="Times New Roman" w:hAnsi="Times New Roman" w:cs="Times New Roman"/>
          <w:sz w:val="24"/>
          <w:szCs w:val="24"/>
        </w:rPr>
        <w:t>that changes in oil prices had a significant effect on the real exchange rate during 1996 to 2003</w:t>
      </w:r>
      <w:r w:rsidR="003D734B" w:rsidRPr="00D72596">
        <w:rPr>
          <w:rFonts w:ascii="Times New Roman" w:hAnsi="Times New Roman" w:cs="Times New Roman"/>
          <w:sz w:val="24"/>
          <w:szCs w:val="24"/>
        </w:rPr>
        <w:t>.</w:t>
      </w:r>
      <w:r w:rsidRPr="00D72596">
        <w:rPr>
          <w:rFonts w:ascii="Times New Roman" w:hAnsi="Times New Roman" w:cs="Times New Roman"/>
          <w:sz w:val="24"/>
          <w:szCs w:val="24"/>
        </w:rPr>
        <w:t xml:space="preserve"> </w:t>
      </w:r>
      <w:r w:rsidR="003D734B" w:rsidRPr="00D72596">
        <w:rPr>
          <w:rFonts w:ascii="Times New Roman" w:hAnsi="Times New Roman" w:cs="Times New Roman"/>
          <w:sz w:val="24"/>
          <w:szCs w:val="24"/>
        </w:rPr>
        <w:t xml:space="preserve">In like manner, investigating over fifty commodities in oil exporting developing countries, </w:t>
      </w:r>
      <w:r w:rsidRPr="00D72596">
        <w:rPr>
          <w:rFonts w:ascii="Times New Roman" w:hAnsi="Times New Roman" w:cs="Times New Roman"/>
          <w:sz w:val="24"/>
          <w:szCs w:val="24"/>
        </w:rPr>
        <w:t xml:space="preserve">Cashin </w:t>
      </w:r>
      <w:r w:rsidRPr="00D72596">
        <w:rPr>
          <w:rFonts w:ascii="Times New Roman" w:hAnsi="Times New Roman" w:cs="Times New Roman"/>
          <w:iCs/>
          <w:sz w:val="24"/>
          <w:szCs w:val="24"/>
        </w:rPr>
        <w:t>et al.</w:t>
      </w:r>
      <w:r w:rsidR="00450612" w:rsidRPr="00D72596">
        <w:rPr>
          <w:rFonts w:ascii="Times New Roman" w:hAnsi="Times New Roman" w:cs="Times New Roman"/>
          <w:iCs/>
          <w:sz w:val="24"/>
          <w:szCs w:val="24"/>
        </w:rPr>
        <w:t xml:space="preserve"> </w:t>
      </w:r>
      <w:r w:rsidRPr="00D72596">
        <w:rPr>
          <w:rFonts w:ascii="Times New Roman" w:hAnsi="Times New Roman" w:cs="Times New Roman"/>
          <w:sz w:val="24"/>
          <w:szCs w:val="24"/>
        </w:rPr>
        <w:t>(2004) found a long-run relationship between exchange rate and the exported commodity’s price in one third of their sample.</w:t>
      </w:r>
      <w:r w:rsidRPr="00482E33">
        <w:rPr>
          <w:rFonts w:ascii="Times New Roman" w:hAnsi="Times New Roman" w:cs="Times New Roman"/>
          <w:sz w:val="24"/>
          <w:szCs w:val="24"/>
        </w:rPr>
        <w:t xml:space="preserve"> In a recent study, </w:t>
      </w:r>
      <w:r w:rsidRPr="00972622">
        <w:rPr>
          <w:rFonts w:ascii="Times New Roman" w:hAnsi="Times New Roman" w:cs="Times New Roman"/>
          <w:sz w:val="24"/>
          <w:szCs w:val="24"/>
        </w:rPr>
        <w:t>Ozsoz and Akinkunmi (2011)</w:t>
      </w:r>
      <w:r w:rsidRPr="00482E33">
        <w:rPr>
          <w:rFonts w:ascii="Times New Roman" w:hAnsi="Times New Roman" w:cs="Times New Roman"/>
          <w:sz w:val="24"/>
          <w:szCs w:val="24"/>
        </w:rPr>
        <w:t xml:space="preserve"> also demonstrated the positive effects of international oil prices on Nigeria’s exchange rate. </w:t>
      </w:r>
      <w:r w:rsidR="005F07C9">
        <w:rPr>
          <w:rFonts w:ascii="Times New Roman" w:hAnsi="Times New Roman" w:cs="Times New Roman"/>
          <w:sz w:val="24"/>
          <w:szCs w:val="24"/>
        </w:rPr>
        <w:t xml:space="preserve">In a study by </w:t>
      </w:r>
      <w:r w:rsidRPr="0050613C">
        <w:rPr>
          <w:rFonts w:ascii="Times New Roman" w:hAnsi="Times New Roman" w:cs="Times New Roman"/>
          <w:sz w:val="24"/>
          <w:szCs w:val="24"/>
        </w:rPr>
        <w:t>Chen and Chen (2007)</w:t>
      </w:r>
      <w:r w:rsidRPr="00482E33">
        <w:rPr>
          <w:rFonts w:ascii="Times New Roman" w:hAnsi="Times New Roman" w:cs="Times New Roman"/>
          <w:sz w:val="24"/>
          <w:szCs w:val="24"/>
        </w:rPr>
        <w:t xml:space="preserve"> </w:t>
      </w:r>
      <w:r w:rsidR="005F07C9">
        <w:rPr>
          <w:rFonts w:ascii="Times New Roman" w:hAnsi="Times New Roman" w:cs="Times New Roman"/>
          <w:sz w:val="24"/>
          <w:szCs w:val="24"/>
        </w:rPr>
        <w:t>u</w:t>
      </w:r>
      <w:r w:rsidR="005F07C9" w:rsidRPr="00482E33">
        <w:rPr>
          <w:rFonts w:ascii="Times New Roman" w:hAnsi="Times New Roman" w:cs="Times New Roman"/>
          <w:sz w:val="24"/>
          <w:szCs w:val="24"/>
        </w:rPr>
        <w:t xml:space="preserve">sing monthly panel of G7 countries, </w:t>
      </w:r>
      <w:r w:rsidR="005F07C9">
        <w:rPr>
          <w:rFonts w:ascii="Times New Roman" w:hAnsi="Times New Roman" w:cs="Times New Roman"/>
          <w:sz w:val="24"/>
          <w:szCs w:val="24"/>
        </w:rPr>
        <w:t xml:space="preserve">a </w:t>
      </w:r>
      <w:r w:rsidRPr="00482E33">
        <w:rPr>
          <w:rFonts w:ascii="Times New Roman" w:hAnsi="Times New Roman" w:cs="Times New Roman"/>
          <w:sz w:val="24"/>
          <w:szCs w:val="24"/>
        </w:rPr>
        <w:t xml:space="preserve">long run relationship between real oil price and real exchange rates </w:t>
      </w:r>
      <w:r w:rsidR="005F07C9">
        <w:rPr>
          <w:rFonts w:ascii="Times New Roman" w:hAnsi="Times New Roman" w:cs="Times New Roman"/>
          <w:sz w:val="24"/>
          <w:szCs w:val="24"/>
        </w:rPr>
        <w:t xml:space="preserve">was investigated </w:t>
      </w:r>
      <w:r w:rsidRPr="00482E33">
        <w:rPr>
          <w:rFonts w:ascii="Times New Roman" w:hAnsi="Times New Roman" w:cs="Times New Roman"/>
          <w:sz w:val="24"/>
          <w:szCs w:val="24"/>
        </w:rPr>
        <w:t xml:space="preserve">and </w:t>
      </w:r>
      <w:r w:rsidR="005F07C9">
        <w:rPr>
          <w:rFonts w:ascii="Times New Roman" w:hAnsi="Times New Roman" w:cs="Times New Roman"/>
          <w:sz w:val="24"/>
          <w:szCs w:val="24"/>
        </w:rPr>
        <w:t xml:space="preserve">they </w:t>
      </w:r>
      <w:r w:rsidRPr="00482E33">
        <w:rPr>
          <w:rFonts w:ascii="Times New Roman" w:hAnsi="Times New Roman" w:cs="Times New Roman"/>
          <w:sz w:val="24"/>
          <w:szCs w:val="24"/>
        </w:rPr>
        <w:t xml:space="preserve">found that real oil prices is a dominant cause of real exchange rate </w:t>
      </w:r>
      <w:r w:rsidR="005F07C9">
        <w:rPr>
          <w:rFonts w:ascii="Times New Roman" w:hAnsi="Times New Roman" w:cs="Times New Roman"/>
          <w:sz w:val="24"/>
          <w:szCs w:val="24"/>
        </w:rPr>
        <w:t>dynamic</w:t>
      </w:r>
      <w:r w:rsidR="0057295E">
        <w:rPr>
          <w:rFonts w:ascii="Times New Roman" w:hAnsi="Times New Roman" w:cs="Times New Roman"/>
          <w:sz w:val="24"/>
          <w:szCs w:val="24"/>
        </w:rPr>
        <w:t>.</w:t>
      </w:r>
    </w:p>
    <w:p w:rsidR="005F07C9" w:rsidRDefault="005F07C9" w:rsidP="00EE6893">
      <w:pPr>
        <w:spacing w:after="0" w:line="240" w:lineRule="auto"/>
        <w:jc w:val="both"/>
        <w:rPr>
          <w:rFonts w:ascii="Times New Roman" w:hAnsi="Times New Roman" w:cs="Times New Roman"/>
          <w:sz w:val="24"/>
          <w:szCs w:val="24"/>
        </w:rPr>
      </w:pPr>
    </w:p>
    <w:p w:rsidR="00EE6893" w:rsidRPr="003D734B" w:rsidRDefault="005F07C9" w:rsidP="00EE6893">
      <w:pPr>
        <w:spacing w:after="0" w:line="240" w:lineRule="auto"/>
        <w:jc w:val="both"/>
        <w:rPr>
          <w:rFonts w:ascii="Times New Roman" w:hAnsi="Times New Roman" w:cs="Times New Roman"/>
          <w:color w:val="00B050"/>
          <w:sz w:val="24"/>
          <w:szCs w:val="24"/>
        </w:rPr>
      </w:pPr>
      <w:r w:rsidRPr="005F07C9">
        <w:rPr>
          <w:rFonts w:ascii="Times New Roman" w:hAnsi="Times New Roman" w:cs="Times New Roman"/>
          <w:sz w:val="24"/>
          <w:szCs w:val="24"/>
        </w:rPr>
        <w:t xml:space="preserve">Furthermore, from the review of other studies, it is obvious that oil price shocks affect economic performance. But study by </w:t>
      </w:r>
      <w:r w:rsidR="00EE6893" w:rsidRPr="005F07C9">
        <w:rPr>
          <w:rFonts w:ascii="Times New Roman" w:hAnsi="Times New Roman" w:cs="Times New Roman"/>
          <w:sz w:val="24"/>
          <w:szCs w:val="24"/>
        </w:rPr>
        <w:t xml:space="preserve">Olomola (2006) </w:t>
      </w:r>
      <w:r w:rsidRPr="005F07C9">
        <w:rPr>
          <w:rFonts w:ascii="Times New Roman" w:hAnsi="Times New Roman" w:cs="Times New Roman"/>
          <w:sz w:val="24"/>
          <w:szCs w:val="24"/>
        </w:rPr>
        <w:t xml:space="preserve">take a different dimension going by their findings on </w:t>
      </w:r>
      <w:r w:rsidR="00EE6893" w:rsidRPr="005F07C9">
        <w:rPr>
          <w:rFonts w:ascii="Times New Roman" w:hAnsi="Times New Roman" w:cs="Times New Roman"/>
          <w:sz w:val="24"/>
          <w:szCs w:val="24"/>
        </w:rPr>
        <w:t>the impact of oil price shocks on aggregate economic activity in Nigeria using quarterly data from 1970 to 2003</w:t>
      </w:r>
      <w:r w:rsidR="00EE6893" w:rsidRPr="003D734B">
        <w:rPr>
          <w:rFonts w:ascii="Times New Roman" w:hAnsi="Times New Roman" w:cs="Times New Roman"/>
          <w:color w:val="00B050"/>
          <w:sz w:val="24"/>
          <w:szCs w:val="24"/>
        </w:rPr>
        <w:t xml:space="preserve">. </w:t>
      </w:r>
      <w:r w:rsidRPr="00F51976">
        <w:rPr>
          <w:rFonts w:ascii="Times New Roman" w:hAnsi="Times New Roman" w:cs="Times New Roman"/>
          <w:sz w:val="24"/>
          <w:szCs w:val="24"/>
        </w:rPr>
        <w:t xml:space="preserve">In contrary to </w:t>
      </w:r>
      <w:r w:rsidR="00F51976" w:rsidRPr="00F51976">
        <w:rPr>
          <w:rFonts w:ascii="Times New Roman" w:hAnsi="Times New Roman" w:cs="Times New Roman"/>
          <w:sz w:val="24"/>
          <w:szCs w:val="24"/>
        </w:rPr>
        <w:t xml:space="preserve">some empirical works, his study shows that </w:t>
      </w:r>
      <w:r w:rsidR="00EE6893" w:rsidRPr="00F51976">
        <w:rPr>
          <w:rFonts w:ascii="Times New Roman" w:hAnsi="Times New Roman" w:cs="Times New Roman"/>
          <w:sz w:val="24"/>
          <w:szCs w:val="24"/>
        </w:rPr>
        <w:t>oil price shocks do not affect output and inflation in Nigeria</w:t>
      </w:r>
      <w:r w:rsidR="00F51976" w:rsidRPr="00F51976">
        <w:rPr>
          <w:rFonts w:ascii="Times New Roman" w:hAnsi="Times New Roman" w:cs="Times New Roman"/>
          <w:sz w:val="24"/>
          <w:szCs w:val="24"/>
        </w:rPr>
        <w:t xml:space="preserve"> but</w:t>
      </w:r>
      <w:r w:rsidR="00F51976">
        <w:rPr>
          <w:rFonts w:ascii="Times New Roman" w:hAnsi="Times New Roman" w:cs="Times New Roman"/>
          <w:color w:val="00B050"/>
          <w:sz w:val="24"/>
          <w:szCs w:val="24"/>
        </w:rPr>
        <w:t xml:space="preserve"> </w:t>
      </w:r>
      <w:r w:rsidR="00EE6893" w:rsidRPr="00482E33">
        <w:rPr>
          <w:rFonts w:ascii="Times New Roman" w:hAnsi="Times New Roman" w:cs="Times New Roman"/>
          <w:sz w:val="24"/>
          <w:szCs w:val="24"/>
        </w:rPr>
        <w:t xml:space="preserve">were found to </w:t>
      </w:r>
      <w:r w:rsidR="00F51976">
        <w:rPr>
          <w:rFonts w:ascii="Times New Roman" w:hAnsi="Times New Roman" w:cs="Times New Roman"/>
          <w:sz w:val="24"/>
          <w:szCs w:val="24"/>
        </w:rPr>
        <w:t xml:space="preserve">have a </w:t>
      </w:r>
      <w:r w:rsidR="00EE6893" w:rsidRPr="00482E33">
        <w:rPr>
          <w:rFonts w:ascii="Times New Roman" w:hAnsi="Times New Roman" w:cs="Times New Roman"/>
          <w:sz w:val="24"/>
          <w:szCs w:val="24"/>
        </w:rPr>
        <w:t xml:space="preserve">significant influence </w:t>
      </w:r>
      <w:r w:rsidR="00F51976">
        <w:rPr>
          <w:rFonts w:ascii="Times New Roman" w:hAnsi="Times New Roman" w:cs="Times New Roman"/>
          <w:sz w:val="24"/>
          <w:szCs w:val="24"/>
        </w:rPr>
        <w:t>on</w:t>
      </w:r>
      <w:r w:rsidR="00EE6893" w:rsidRPr="00482E33">
        <w:rPr>
          <w:rFonts w:ascii="Times New Roman" w:hAnsi="Times New Roman" w:cs="Times New Roman"/>
          <w:sz w:val="24"/>
          <w:szCs w:val="24"/>
        </w:rPr>
        <w:t xml:space="preserve"> exchange rate. In Bahrain Johansen co-integration test is used to examine the co-integrating relationship among the real GDP, real effect exchange rate and real oil price of a country. Real GDP of Bahrain is more elastic to changes in international oil prices than real exchange rate (</w:t>
      </w:r>
      <w:r w:rsidR="00EE6893" w:rsidRPr="0050613C">
        <w:rPr>
          <w:rFonts w:ascii="Times New Roman" w:hAnsi="Times New Roman" w:cs="Times New Roman"/>
          <w:sz w:val="24"/>
          <w:szCs w:val="24"/>
        </w:rPr>
        <w:t>Al-</w:t>
      </w:r>
      <w:r w:rsidR="0050613C" w:rsidRPr="0050613C">
        <w:rPr>
          <w:rFonts w:ascii="Times New Roman" w:hAnsi="Times New Roman" w:cs="Times New Roman"/>
          <w:sz w:val="24"/>
          <w:szCs w:val="24"/>
        </w:rPr>
        <w:t>Ez</w:t>
      </w:r>
      <w:r w:rsidR="00EE6893" w:rsidRPr="0050613C">
        <w:rPr>
          <w:rFonts w:ascii="Times New Roman" w:hAnsi="Times New Roman" w:cs="Times New Roman"/>
          <w:sz w:val="24"/>
          <w:szCs w:val="24"/>
        </w:rPr>
        <w:t>zee, 2011).</w:t>
      </w:r>
      <w:r w:rsidR="00EE6893" w:rsidRPr="00482E33">
        <w:rPr>
          <w:rFonts w:ascii="Times New Roman" w:hAnsi="Times New Roman" w:cs="Times New Roman"/>
          <w:sz w:val="24"/>
          <w:szCs w:val="24"/>
        </w:rPr>
        <w:t xml:space="preserve"> Research conducted on Vietnam from the period of 1995 to 2009 using the vector autoregressive model (VAR) produce results that suggest that both oil prices and the real effective exchange rates have strong significant impact on economic activity. </w:t>
      </w:r>
      <w:r w:rsidR="00F51976">
        <w:rPr>
          <w:rFonts w:ascii="Times New Roman" w:hAnsi="Times New Roman" w:cs="Times New Roman"/>
          <w:sz w:val="24"/>
          <w:szCs w:val="24"/>
        </w:rPr>
        <w:t xml:space="preserve">In a sample of </w:t>
      </w:r>
      <w:r w:rsidR="00F51976" w:rsidRPr="009770E6">
        <w:rPr>
          <w:rFonts w:ascii="Times New Roman" w:hAnsi="Times New Roman" w:cs="Times New Roman"/>
          <w:sz w:val="24"/>
          <w:szCs w:val="24"/>
        </w:rPr>
        <w:t xml:space="preserve">Norway, Saudi Arabia and Russia, </w:t>
      </w:r>
      <w:r w:rsidR="00EE6893" w:rsidRPr="009770E6">
        <w:rPr>
          <w:rFonts w:ascii="Times New Roman" w:hAnsi="Times New Roman" w:cs="Times New Roman"/>
          <w:sz w:val="24"/>
          <w:szCs w:val="24"/>
        </w:rPr>
        <w:t xml:space="preserve">Habib and Kalamova (2007) </w:t>
      </w:r>
      <w:r w:rsidR="00F51976" w:rsidRPr="009770E6">
        <w:rPr>
          <w:rFonts w:ascii="Times New Roman" w:hAnsi="Times New Roman" w:cs="Times New Roman"/>
          <w:sz w:val="24"/>
          <w:szCs w:val="24"/>
        </w:rPr>
        <w:t>studied</w:t>
      </w:r>
      <w:r w:rsidR="00EE6893" w:rsidRPr="009770E6">
        <w:rPr>
          <w:rFonts w:ascii="Times New Roman" w:hAnsi="Times New Roman" w:cs="Times New Roman"/>
          <w:sz w:val="24"/>
          <w:szCs w:val="24"/>
        </w:rPr>
        <w:t xml:space="preserve"> the effect of oil price on the real exchange rate. In case of Russia, a positive long run relationship was found between oil price and exchange rate</w:t>
      </w:r>
      <w:r w:rsidR="009770E6" w:rsidRPr="009770E6">
        <w:rPr>
          <w:rFonts w:ascii="Times New Roman" w:hAnsi="Times New Roman" w:cs="Times New Roman"/>
          <w:sz w:val="24"/>
          <w:szCs w:val="24"/>
        </w:rPr>
        <w:t>. B</w:t>
      </w:r>
      <w:r w:rsidR="00F51976" w:rsidRPr="009770E6">
        <w:rPr>
          <w:rFonts w:ascii="Times New Roman" w:hAnsi="Times New Roman" w:cs="Times New Roman"/>
          <w:sz w:val="24"/>
          <w:szCs w:val="24"/>
        </w:rPr>
        <w:t xml:space="preserve">ut </w:t>
      </w:r>
      <w:r w:rsidR="009770E6" w:rsidRPr="009770E6">
        <w:rPr>
          <w:rFonts w:ascii="Times New Roman" w:hAnsi="Times New Roman" w:cs="Times New Roman"/>
          <w:sz w:val="24"/>
          <w:szCs w:val="24"/>
        </w:rPr>
        <w:t>there was</w:t>
      </w:r>
      <w:r w:rsidR="00F51976" w:rsidRPr="009770E6">
        <w:rPr>
          <w:rFonts w:ascii="Times New Roman" w:hAnsi="Times New Roman" w:cs="Times New Roman"/>
          <w:sz w:val="24"/>
          <w:szCs w:val="24"/>
        </w:rPr>
        <w:t xml:space="preserve"> </w:t>
      </w:r>
      <w:r w:rsidR="00EE6893" w:rsidRPr="009770E6">
        <w:rPr>
          <w:rFonts w:ascii="Times New Roman" w:hAnsi="Times New Roman" w:cs="Times New Roman"/>
          <w:sz w:val="24"/>
          <w:szCs w:val="24"/>
        </w:rPr>
        <w:t xml:space="preserve">no </w:t>
      </w:r>
      <w:r w:rsidR="009770E6" w:rsidRPr="009770E6">
        <w:rPr>
          <w:rFonts w:ascii="Times New Roman" w:hAnsi="Times New Roman" w:cs="Times New Roman"/>
          <w:sz w:val="24"/>
          <w:szCs w:val="24"/>
        </w:rPr>
        <w:t xml:space="preserve">evidence of </w:t>
      </w:r>
      <w:r w:rsidR="00EE6893" w:rsidRPr="009770E6">
        <w:rPr>
          <w:rFonts w:ascii="Times New Roman" w:hAnsi="Times New Roman" w:cs="Times New Roman"/>
          <w:sz w:val="24"/>
          <w:szCs w:val="24"/>
        </w:rPr>
        <w:t>oil price</w:t>
      </w:r>
      <w:r w:rsidR="00F51976" w:rsidRPr="009770E6">
        <w:rPr>
          <w:rFonts w:ascii="Times New Roman" w:hAnsi="Times New Roman" w:cs="Times New Roman"/>
          <w:sz w:val="24"/>
          <w:szCs w:val="24"/>
        </w:rPr>
        <w:t xml:space="preserve"> impact</w:t>
      </w:r>
      <w:r w:rsidR="00EE6893" w:rsidRPr="009770E6">
        <w:rPr>
          <w:rFonts w:ascii="Times New Roman" w:hAnsi="Times New Roman" w:cs="Times New Roman"/>
          <w:sz w:val="24"/>
          <w:szCs w:val="24"/>
        </w:rPr>
        <w:t xml:space="preserve"> on exchange rate for Norway and Saudi Arabia.</w:t>
      </w:r>
      <w:r w:rsidR="00EE6893" w:rsidRPr="003D734B">
        <w:rPr>
          <w:rFonts w:ascii="Times New Roman" w:hAnsi="Times New Roman" w:cs="Times New Roman"/>
          <w:color w:val="00B050"/>
          <w:sz w:val="24"/>
          <w:szCs w:val="24"/>
        </w:rPr>
        <w:t xml:space="preserve"> </w:t>
      </w:r>
      <w:r w:rsidR="009770E6" w:rsidRPr="009770E6">
        <w:rPr>
          <w:rFonts w:ascii="Times New Roman" w:hAnsi="Times New Roman" w:cs="Times New Roman"/>
          <w:sz w:val="24"/>
          <w:szCs w:val="24"/>
        </w:rPr>
        <w:t xml:space="preserve">In all the discussions of the interactions of oil price oscillation, exchange rate dynamic and their influence on economic growth, </w:t>
      </w:r>
      <w:r w:rsidR="00EE6893" w:rsidRPr="009770E6">
        <w:rPr>
          <w:rFonts w:ascii="Times New Roman" w:hAnsi="Times New Roman" w:cs="Times New Roman"/>
          <w:sz w:val="24"/>
          <w:szCs w:val="24"/>
        </w:rPr>
        <w:t xml:space="preserve">Aliyu (2009) and Rickne (2009) </w:t>
      </w:r>
      <w:r w:rsidR="009770E6" w:rsidRPr="009770E6">
        <w:rPr>
          <w:rFonts w:ascii="Times New Roman" w:hAnsi="Times New Roman" w:cs="Times New Roman"/>
          <w:sz w:val="24"/>
          <w:szCs w:val="24"/>
        </w:rPr>
        <w:t>pointed that</w:t>
      </w:r>
      <w:r w:rsidR="00EE6893" w:rsidRPr="009770E6">
        <w:rPr>
          <w:rFonts w:ascii="Times New Roman" w:hAnsi="Times New Roman" w:cs="Times New Roman"/>
          <w:sz w:val="24"/>
          <w:szCs w:val="24"/>
        </w:rPr>
        <w:t xml:space="preserve"> lack of strong institutions and total dependency on oil exports</w:t>
      </w:r>
      <w:r w:rsidR="009770E6" w:rsidRPr="009770E6">
        <w:rPr>
          <w:rFonts w:ascii="Times New Roman" w:hAnsi="Times New Roman" w:cs="Times New Roman"/>
          <w:sz w:val="24"/>
          <w:szCs w:val="24"/>
        </w:rPr>
        <w:t xml:space="preserve"> is the major causes of underperformance some economies especially mono-product economies</w:t>
      </w:r>
      <w:r w:rsidR="00EE6893" w:rsidRPr="009770E6">
        <w:rPr>
          <w:rFonts w:ascii="Times New Roman" w:hAnsi="Times New Roman" w:cs="Times New Roman"/>
          <w:sz w:val="24"/>
          <w:szCs w:val="24"/>
        </w:rPr>
        <w:t>.</w:t>
      </w:r>
      <w:r w:rsidR="00EE6893" w:rsidRPr="003D734B">
        <w:rPr>
          <w:rFonts w:ascii="Times New Roman" w:hAnsi="Times New Roman" w:cs="Times New Roman"/>
          <w:color w:val="00B050"/>
          <w:sz w:val="24"/>
          <w:szCs w:val="24"/>
        </w:rPr>
        <w:t xml:space="preserve"> </w:t>
      </w:r>
      <w:r w:rsidR="009770E6" w:rsidRPr="009770E6">
        <w:rPr>
          <w:rFonts w:ascii="Times New Roman" w:hAnsi="Times New Roman" w:cs="Times New Roman"/>
          <w:sz w:val="24"/>
          <w:szCs w:val="24"/>
        </w:rPr>
        <w:t xml:space="preserve">In view of this, </w:t>
      </w:r>
      <w:r w:rsidR="00EE6893" w:rsidRPr="009770E6">
        <w:rPr>
          <w:rFonts w:ascii="Times New Roman" w:hAnsi="Times New Roman" w:cs="Times New Roman"/>
          <w:sz w:val="24"/>
          <w:szCs w:val="24"/>
        </w:rPr>
        <w:t xml:space="preserve">Aliyu (2009) recommends </w:t>
      </w:r>
      <w:r w:rsidR="009770E6" w:rsidRPr="009770E6">
        <w:rPr>
          <w:rFonts w:ascii="Times New Roman" w:hAnsi="Times New Roman" w:cs="Times New Roman"/>
          <w:sz w:val="24"/>
          <w:szCs w:val="24"/>
        </w:rPr>
        <w:t>the</w:t>
      </w:r>
      <w:r w:rsidR="00EE6893" w:rsidRPr="009770E6">
        <w:rPr>
          <w:rFonts w:ascii="Times New Roman" w:hAnsi="Times New Roman" w:cs="Times New Roman"/>
          <w:sz w:val="24"/>
          <w:szCs w:val="24"/>
        </w:rPr>
        <w:t xml:space="preserve"> divergence of the economy through the investment in </w:t>
      </w:r>
      <w:r w:rsidR="009770E6" w:rsidRPr="009770E6">
        <w:rPr>
          <w:rFonts w:ascii="Times New Roman" w:hAnsi="Times New Roman" w:cs="Times New Roman"/>
          <w:sz w:val="24"/>
          <w:szCs w:val="24"/>
        </w:rPr>
        <w:t>other</w:t>
      </w:r>
      <w:r w:rsidR="00EE6893" w:rsidRPr="009770E6">
        <w:rPr>
          <w:rFonts w:ascii="Times New Roman" w:hAnsi="Times New Roman" w:cs="Times New Roman"/>
          <w:sz w:val="24"/>
          <w:szCs w:val="24"/>
        </w:rPr>
        <w:t xml:space="preserve"> sector</w:t>
      </w:r>
      <w:r w:rsidR="009770E6" w:rsidRPr="009770E6">
        <w:rPr>
          <w:rFonts w:ascii="Times New Roman" w:hAnsi="Times New Roman" w:cs="Times New Roman"/>
          <w:sz w:val="24"/>
          <w:szCs w:val="24"/>
        </w:rPr>
        <w:t>s other than oil</w:t>
      </w:r>
      <w:r w:rsidR="00EE6893" w:rsidRPr="009770E6">
        <w:rPr>
          <w:rFonts w:ascii="Times New Roman" w:hAnsi="Times New Roman" w:cs="Times New Roman"/>
          <w:sz w:val="24"/>
          <w:szCs w:val="24"/>
        </w:rPr>
        <w:t xml:space="preserve"> to reduce the adverse effect of oil price shocks and the exchange rate.</w:t>
      </w:r>
    </w:p>
    <w:p w:rsidR="00EE6893" w:rsidRPr="00482E33" w:rsidRDefault="00EE6893" w:rsidP="00EE6893">
      <w:pPr>
        <w:spacing w:after="0" w:line="240" w:lineRule="auto"/>
        <w:jc w:val="both"/>
        <w:rPr>
          <w:rFonts w:ascii="Times New Roman" w:hAnsi="Times New Roman" w:cs="Times New Roman"/>
          <w:sz w:val="24"/>
          <w:szCs w:val="24"/>
        </w:rPr>
      </w:pPr>
    </w:p>
    <w:p w:rsidR="00A747E5" w:rsidRPr="007E6D4C" w:rsidRDefault="00467A51" w:rsidP="00812E92">
      <w:pPr>
        <w:autoSpaceDE w:val="0"/>
        <w:autoSpaceDN w:val="0"/>
        <w:adjustRightInd w:val="0"/>
        <w:spacing w:after="0" w:line="240" w:lineRule="auto"/>
        <w:jc w:val="both"/>
        <w:rPr>
          <w:rFonts w:ascii="Times New Roman" w:hAnsi="Times New Roman" w:cs="Times New Roman"/>
          <w:sz w:val="24"/>
          <w:szCs w:val="24"/>
        </w:rPr>
      </w:pPr>
      <w:r w:rsidRPr="002A32D7">
        <w:rPr>
          <w:rFonts w:ascii="Times New Roman" w:hAnsi="Times New Roman" w:cs="Times New Roman"/>
          <w:sz w:val="24"/>
          <w:szCs w:val="24"/>
        </w:rPr>
        <w:lastRenderedPageBreak/>
        <w:t xml:space="preserve">In </w:t>
      </w:r>
      <w:r w:rsidR="0021573E" w:rsidRPr="002A32D7">
        <w:rPr>
          <w:rFonts w:ascii="Times New Roman" w:hAnsi="Times New Roman" w:cs="Times New Roman"/>
          <w:sz w:val="24"/>
          <w:szCs w:val="24"/>
        </w:rPr>
        <w:t xml:space="preserve">Oluwatoyin (2013) </w:t>
      </w:r>
      <w:r w:rsidR="002A32D7" w:rsidRPr="002A32D7">
        <w:rPr>
          <w:rFonts w:ascii="Times New Roman" w:hAnsi="Times New Roman" w:cs="Times New Roman"/>
          <w:sz w:val="24"/>
          <w:szCs w:val="24"/>
        </w:rPr>
        <w:t>investigation</w:t>
      </w:r>
      <w:r w:rsidRPr="002A32D7">
        <w:rPr>
          <w:rFonts w:ascii="Times New Roman" w:hAnsi="Times New Roman" w:cs="Times New Roman"/>
          <w:sz w:val="24"/>
          <w:szCs w:val="24"/>
        </w:rPr>
        <w:t xml:space="preserve"> on</w:t>
      </w:r>
      <w:r w:rsidR="0021573E" w:rsidRPr="002A32D7">
        <w:rPr>
          <w:rFonts w:ascii="Times New Roman" w:hAnsi="Times New Roman" w:cs="Times New Roman"/>
          <w:sz w:val="24"/>
          <w:szCs w:val="24"/>
        </w:rPr>
        <w:t xml:space="preserve"> the effect of oil price shock and exchange rate instability on economic growth </w:t>
      </w:r>
      <w:r w:rsidR="002A32D7" w:rsidRPr="002A32D7">
        <w:rPr>
          <w:rFonts w:ascii="Times New Roman" w:hAnsi="Times New Roman" w:cs="Times New Roman"/>
          <w:sz w:val="24"/>
          <w:szCs w:val="24"/>
        </w:rPr>
        <w:t xml:space="preserve">shows that </w:t>
      </w:r>
      <w:r w:rsidR="0021573E" w:rsidRPr="002A32D7">
        <w:rPr>
          <w:rFonts w:ascii="Times New Roman" w:hAnsi="Times New Roman" w:cs="Times New Roman"/>
          <w:sz w:val="24"/>
          <w:szCs w:val="24"/>
        </w:rPr>
        <w:t xml:space="preserve">real economic growth </w:t>
      </w:r>
      <w:r w:rsidRPr="002A32D7">
        <w:rPr>
          <w:rFonts w:ascii="Times New Roman" w:hAnsi="Times New Roman" w:cs="Times New Roman"/>
          <w:sz w:val="24"/>
          <w:szCs w:val="24"/>
        </w:rPr>
        <w:t xml:space="preserve">is sensitive </w:t>
      </w:r>
      <w:r w:rsidR="0021573E" w:rsidRPr="002A32D7">
        <w:rPr>
          <w:rFonts w:ascii="Times New Roman" w:hAnsi="Times New Roman" w:cs="Times New Roman"/>
          <w:sz w:val="24"/>
          <w:szCs w:val="24"/>
        </w:rPr>
        <w:t>to changes in oil prices and real exchange rate volatility in long run</w:t>
      </w:r>
      <w:r w:rsidRPr="002A32D7">
        <w:rPr>
          <w:rFonts w:ascii="Times New Roman" w:hAnsi="Times New Roman" w:cs="Times New Roman"/>
          <w:sz w:val="24"/>
          <w:szCs w:val="24"/>
        </w:rPr>
        <w:t>.</w:t>
      </w:r>
      <w:r w:rsidR="0021573E" w:rsidRPr="002A32D7">
        <w:rPr>
          <w:rFonts w:ascii="Times New Roman" w:hAnsi="Times New Roman" w:cs="Times New Roman"/>
          <w:sz w:val="24"/>
          <w:szCs w:val="24"/>
        </w:rPr>
        <w:t xml:space="preserve"> </w:t>
      </w:r>
      <w:r w:rsidR="002A32D7" w:rsidRPr="002A32D7">
        <w:rPr>
          <w:rFonts w:ascii="Times New Roman" w:hAnsi="Times New Roman" w:cs="Times New Roman"/>
          <w:sz w:val="24"/>
          <w:szCs w:val="24"/>
        </w:rPr>
        <w:t xml:space="preserve">The result of granger causality </w:t>
      </w:r>
      <w:r w:rsidR="0021573E" w:rsidRPr="002A32D7">
        <w:rPr>
          <w:rFonts w:ascii="Times New Roman" w:hAnsi="Times New Roman" w:cs="Times New Roman"/>
          <w:sz w:val="24"/>
          <w:szCs w:val="24"/>
        </w:rPr>
        <w:t xml:space="preserve">tests </w:t>
      </w:r>
      <w:r w:rsidR="002A32D7" w:rsidRPr="002A32D7">
        <w:rPr>
          <w:rFonts w:ascii="Times New Roman" w:hAnsi="Times New Roman" w:cs="Times New Roman"/>
          <w:sz w:val="24"/>
          <w:szCs w:val="24"/>
        </w:rPr>
        <w:t xml:space="preserve">provides </w:t>
      </w:r>
      <w:r w:rsidR="0021573E" w:rsidRPr="002A32D7">
        <w:rPr>
          <w:rFonts w:ascii="Times New Roman" w:hAnsi="Times New Roman" w:cs="Times New Roman"/>
          <w:sz w:val="24"/>
          <w:szCs w:val="24"/>
        </w:rPr>
        <w:t>evidence of unidirectional causality from oil prices to real gross domestic product</w:t>
      </w:r>
      <w:r w:rsidR="0021573E" w:rsidRPr="007E6D4C">
        <w:rPr>
          <w:rFonts w:ascii="Times New Roman" w:hAnsi="Times New Roman" w:cs="Times New Roman"/>
          <w:sz w:val="24"/>
          <w:szCs w:val="24"/>
        </w:rPr>
        <w:t xml:space="preserve"> (GDP). The finding showed that oil price shock appreciation in level of exchange rate exerts positive impact on real economic growth in Nigeria.</w:t>
      </w:r>
      <w:r w:rsidR="00812E92" w:rsidRPr="007E6D4C">
        <w:rPr>
          <w:rFonts w:ascii="Times New Roman" w:hAnsi="Times New Roman" w:cs="Times New Roman"/>
          <w:sz w:val="24"/>
          <w:szCs w:val="24"/>
        </w:rPr>
        <w:t xml:space="preserve"> </w:t>
      </w:r>
      <w:r w:rsidR="0021573E" w:rsidRPr="007E6D4C">
        <w:rPr>
          <w:rFonts w:ascii="Times New Roman" w:hAnsi="Times New Roman" w:cs="Times New Roman"/>
          <w:sz w:val="24"/>
          <w:szCs w:val="24"/>
        </w:rPr>
        <w:t>Ogunleye et al</w:t>
      </w:r>
      <w:r w:rsidR="00CE5876" w:rsidRPr="007E6D4C">
        <w:rPr>
          <w:rFonts w:ascii="Times New Roman" w:hAnsi="Times New Roman" w:cs="Times New Roman"/>
          <w:sz w:val="24"/>
          <w:szCs w:val="24"/>
        </w:rPr>
        <w:t>.</w:t>
      </w:r>
      <w:r w:rsidR="0021573E" w:rsidRPr="007E6D4C">
        <w:rPr>
          <w:rFonts w:ascii="Times New Roman" w:hAnsi="Times New Roman" w:cs="Times New Roman"/>
          <w:sz w:val="24"/>
          <w:szCs w:val="24"/>
        </w:rPr>
        <w:t xml:space="preserve"> (2010) examined the relationship between oil prices and excha</w:t>
      </w:r>
      <w:r w:rsidR="00A747E5" w:rsidRPr="007E6D4C">
        <w:rPr>
          <w:rFonts w:ascii="Times New Roman" w:hAnsi="Times New Roman" w:cs="Times New Roman"/>
          <w:sz w:val="24"/>
          <w:szCs w:val="24"/>
        </w:rPr>
        <w:t xml:space="preserve">nge rate volatility in Nigeria </w:t>
      </w:r>
      <w:r w:rsidR="0021573E" w:rsidRPr="007E6D4C">
        <w:rPr>
          <w:rFonts w:ascii="Times New Roman" w:hAnsi="Times New Roman" w:cs="Times New Roman"/>
          <w:sz w:val="24"/>
          <w:szCs w:val="24"/>
        </w:rPr>
        <w:t>using monthly data from 1999 to 2009. Co integration technique and vector error correlation model (VECM) for long run and short run a</w:t>
      </w:r>
      <w:r w:rsidR="00A747E5" w:rsidRPr="007E6D4C">
        <w:rPr>
          <w:rFonts w:ascii="Times New Roman" w:hAnsi="Times New Roman" w:cs="Times New Roman"/>
          <w:sz w:val="24"/>
          <w:szCs w:val="24"/>
        </w:rPr>
        <w:t>nalys</w:t>
      </w:r>
      <w:r w:rsidR="0021573E" w:rsidRPr="007E6D4C">
        <w:rPr>
          <w:rFonts w:ascii="Times New Roman" w:hAnsi="Times New Roman" w:cs="Times New Roman"/>
          <w:sz w:val="24"/>
          <w:szCs w:val="24"/>
        </w:rPr>
        <w:t>es respectively</w:t>
      </w:r>
      <w:r w:rsidR="00A747E5" w:rsidRPr="007E6D4C">
        <w:rPr>
          <w:rFonts w:ascii="Times New Roman" w:hAnsi="Times New Roman" w:cs="Times New Roman"/>
          <w:sz w:val="24"/>
          <w:szCs w:val="24"/>
        </w:rPr>
        <w:t xml:space="preserve"> were adopted. T</w:t>
      </w:r>
      <w:r w:rsidR="0021573E" w:rsidRPr="007E6D4C">
        <w:rPr>
          <w:rFonts w:ascii="Times New Roman" w:hAnsi="Times New Roman" w:cs="Times New Roman"/>
          <w:sz w:val="24"/>
          <w:szCs w:val="24"/>
        </w:rPr>
        <w:t xml:space="preserve">he </w:t>
      </w:r>
      <w:r w:rsidR="00A747E5" w:rsidRPr="007E6D4C">
        <w:rPr>
          <w:rFonts w:ascii="Times New Roman" w:hAnsi="Times New Roman" w:cs="Times New Roman"/>
          <w:sz w:val="24"/>
          <w:szCs w:val="24"/>
        </w:rPr>
        <w:t>results showed that</w:t>
      </w:r>
      <w:r w:rsidR="0021573E" w:rsidRPr="007E6D4C">
        <w:rPr>
          <w:rFonts w:ascii="Times New Roman" w:hAnsi="Times New Roman" w:cs="Times New Roman"/>
          <w:sz w:val="24"/>
          <w:szCs w:val="24"/>
        </w:rPr>
        <w:t xml:space="preserve"> 1.0% permanent increase in oil price at international level increases exchange rate volatility by 0.54% in long run while in short run by 0.25%. Therefore, they concluded that since Nigeria is an oil dependence country the demand for foreign exchange should be closely monitored and exchange rate should move in tandem with the volatility in clued oil prices.</w:t>
      </w:r>
    </w:p>
    <w:p w:rsidR="00812E92" w:rsidRPr="007E6D4C" w:rsidRDefault="00812E92" w:rsidP="00812E92">
      <w:pPr>
        <w:autoSpaceDE w:val="0"/>
        <w:autoSpaceDN w:val="0"/>
        <w:adjustRightInd w:val="0"/>
        <w:spacing w:after="0" w:line="240" w:lineRule="auto"/>
        <w:jc w:val="both"/>
        <w:rPr>
          <w:rFonts w:ascii="Times New Roman" w:hAnsi="Times New Roman" w:cs="Times New Roman"/>
          <w:sz w:val="24"/>
          <w:szCs w:val="24"/>
        </w:rPr>
      </w:pPr>
    </w:p>
    <w:p w:rsidR="0021573E" w:rsidRPr="0057295E" w:rsidRDefault="003A7C1E" w:rsidP="00191665">
      <w:pPr>
        <w:autoSpaceDE w:val="0"/>
        <w:autoSpaceDN w:val="0"/>
        <w:adjustRightInd w:val="0"/>
        <w:spacing w:after="0" w:line="240" w:lineRule="auto"/>
        <w:jc w:val="both"/>
        <w:rPr>
          <w:rFonts w:ascii="Times New Roman" w:hAnsi="Times New Roman" w:cs="Times New Roman"/>
          <w:sz w:val="24"/>
          <w:szCs w:val="24"/>
        </w:rPr>
      </w:pPr>
      <w:r w:rsidRPr="00191665">
        <w:rPr>
          <w:rFonts w:ascii="Times New Roman" w:hAnsi="Times New Roman" w:cs="Times New Roman"/>
          <w:sz w:val="24"/>
          <w:szCs w:val="24"/>
        </w:rPr>
        <w:t xml:space="preserve">Suleman </w:t>
      </w:r>
      <w:r w:rsidR="0021573E" w:rsidRPr="00191665">
        <w:rPr>
          <w:rFonts w:ascii="Times New Roman" w:hAnsi="Times New Roman" w:cs="Times New Roman"/>
          <w:sz w:val="24"/>
          <w:szCs w:val="24"/>
        </w:rPr>
        <w:t>(2012), examine oil price-exchange rate nexus for Nigeria e</w:t>
      </w:r>
      <w:r w:rsidRPr="00191665">
        <w:rPr>
          <w:rFonts w:ascii="Times New Roman" w:hAnsi="Times New Roman" w:cs="Times New Roman"/>
          <w:sz w:val="24"/>
          <w:szCs w:val="24"/>
        </w:rPr>
        <w:t xml:space="preserve">conomy using periodic data </w:t>
      </w:r>
      <w:r w:rsidRPr="0057295E">
        <w:rPr>
          <w:rFonts w:ascii="Times New Roman" w:hAnsi="Times New Roman" w:cs="Times New Roman"/>
          <w:sz w:val="24"/>
          <w:szCs w:val="24"/>
        </w:rPr>
        <w:t>2007</w:t>
      </w:r>
      <w:r w:rsidR="0021573E" w:rsidRPr="0057295E">
        <w:rPr>
          <w:rFonts w:ascii="Times New Roman" w:hAnsi="Times New Roman" w:cs="Times New Roman"/>
          <w:sz w:val="24"/>
          <w:szCs w:val="24"/>
        </w:rPr>
        <w:t>-2011</w:t>
      </w:r>
      <w:r w:rsidR="00A747E5" w:rsidRPr="0057295E">
        <w:rPr>
          <w:rFonts w:ascii="Times New Roman" w:hAnsi="Times New Roman" w:cs="Times New Roman"/>
          <w:sz w:val="24"/>
          <w:szCs w:val="24"/>
        </w:rPr>
        <w:t xml:space="preserve">. </w:t>
      </w:r>
      <w:r w:rsidR="0021573E" w:rsidRPr="0057295E">
        <w:rPr>
          <w:rFonts w:ascii="Times New Roman" w:hAnsi="Times New Roman" w:cs="Times New Roman"/>
          <w:sz w:val="24"/>
          <w:szCs w:val="24"/>
        </w:rPr>
        <w:t xml:space="preserve">GARCH and exponential (GARCH) models </w:t>
      </w:r>
      <w:r w:rsidR="00A747E5" w:rsidRPr="0057295E">
        <w:rPr>
          <w:rFonts w:ascii="Times New Roman" w:hAnsi="Times New Roman" w:cs="Times New Roman"/>
          <w:sz w:val="24"/>
          <w:szCs w:val="24"/>
        </w:rPr>
        <w:t xml:space="preserve">were utilized </w:t>
      </w:r>
      <w:r w:rsidR="0021573E" w:rsidRPr="0057295E">
        <w:rPr>
          <w:rFonts w:ascii="Times New Roman" w:hAnsi="Times New Roman" w:cs="Times New Roman"/>
          <w:sz w:val="24"/>
          <w:szCs w:val="24"/>
        </w:rPr>
        <w:t>to examine the impact of price changes on the nominal exch</w:t>
      </w:r>
      <w:r w:rsidR="00A747E5" w:rsidRPr="0057295E">
        <w:rPr>
          <w:rFonts w:ascii="Times New Roman" w:hAnsi="Times New Roman" w:cs="Times New Roman"/>
          <w:sz w:val="24"/>
          <w:szCs w:val="24"/>
        </w:rPr>
        <w:t>ange rate. The outcome indicated</w:t>
      </w:r>
      <w:r w:rsidR="0021573E" w:rsidRPr="0057295E">
        <w:rPr>
          <w:rFonts w:ascii="Times New Roman" w:hAnsi="Times New Roman" w:cs="Times New Roman"/>
          <w:sz w:val="24"/>
          <w:szCs w:val="24"/>
        </w:rPr>
        <w:t xml:space="preserve"> that a rise in oil price leads to deprecation of Nigeria naira vis-à-vis the US dollar over the study period. </w:t>
      </w:r>
      <w:r w:rsidR="00A747E5" w:rsidRPr="0057295E">
        <w:rPr>
          <w:rFonts w:ascii="Times New Roman" w:hAnsi="Times New Roman" w:cs="Times New Roman"/>
          <w:sz w:val="24"/>
          <w:szCs w:val="24"/>
        </w:rPr>
        <w:t xml:space="preserve">In another vein, </w:t>
      </w:r>
      <w:r w:rsidR="00191665" w:rsidRPr="0057295E">
        <w:rPr>
          <w:rFonts w:ascii="Times New Roman" w:hAnsi="Times New Roman" w:cs="Times New Roman"/>
          <w:sz w:val="24"/>
          <w:szCs w:val="24"/>
        </w:rPr>
        <w:t xml:space="preserve">Trung and Vinh </w:t>
      </w:r>
      <w:r w:rsidR="00A747E5" w:rsidRPr="0057295E">
        <w:rPr>
          <w:rFonts w:ascii="Times New Roman" w:hAnsi="Times New Roman" w:cs="Times New Roman"/>
          <w:sz w:val="24"/>
          <w:szCs w:val="24"/>
        </w:rPr>
        <w:t>(2011)</w:t>
      </w:r>
      <w:r w:rsidR="0021573E" w:rsidRPr="0057295E">
        <w:rPr>
          <w:rFonts w:ascii="Times New Roman" w:hAnsi="Times New Roman" w:cs="Times New Roman"/>
          <w:sz w:val="24"/>
          <w:szCs w:val="24"/>
        </w:rPr>
        <w:t xml:space="preserve"> studied the impact of oil prices real exchange rate and inflation on </w:t>
      </w:r>
      <w:r w:rsidR="00A747E5" w:rsidRPr="0057295E">
        <w:rPr>
          <w:rFonts w:ascii="Times New Roman" w:hAnsi="Times New Roman" w:cs="Times New Roman"/>
          <w:sz w:val="24"/>
          <w:szCs w:val="24"/>
        </w:rPr>
        <w:t xml:space="preserve">economic activities in Vietnam </w:t>
      </w:r>
      <w:r w:rsidR="0021573E" w:rsidRPr="0057295E">
        <w:rPr>
          <w:rFonts w:ascii="Times New Roman" w:hAnsi="Times New Roman" w:cs="Times New Roman"/>
          <w:sz w:val="24"/>
          <w:szCs w:val="24"/>
        </w:rPr>
        <w:t>using VAR model and co integration</w:t>
      </w:r>
      <w:r w:rsidR="00A747E5" w:rsidRPr="0057295E">
        <w:rPr>
          <w:rFonts w:ascii="Times New Roman" w:hAnsi="Times New Roman" w:cs="Times New Roman"/>
          <w:sz w:val="24"/>
          <w:szCs w:val="24"/>
        </w:rPr>
        <w:t xml:space="preserve"> techniques. Monthly </w:t>
      </w:r>
      <w:r w:rsidR="0021573E" w:rsidRPr="0057295E">
        <w:rPr>
          <w:rFonts w:ascii="Times New Roman" w:hAnsi="Times New Roman" w:cs="Times New Roman"/>
          <w:sz w:val="24"/>
          <w:szCs w:val="24"/>
        </w:rPr>
        <w:t>data for the period of 1995 -2009</w:t>
      </w:r>
      <w:r w:rsidR="00A747E5" w:rsidRPr="0057295E">
        <w:rPr>
          <w:rFonts w:ascii="Times New Roman" w:hAnsi="Times New Roman" w:cs="Times New Roman"/>
          <w:sz w:val="24"/>
          <w:szCs w:val="24"/>
        </w:rPr>
        <w:t xml:space="preserve"> was used</w:t>
      </w:r>
      <w:r w:rsidR="0021573E" w:rsidRPr="0057295E">
        <w:rPr>
          <w:rFonts w:ascii="Times New Roman" w:hAnsi="Times New Roman" w:cs="Times New Roman"/>
          <w:sz w:val="24"/>
          <w:szCs w:val="24"/>
        </w:rPr>
        <w:t xml:space="preserve">. The </w:t>
      </w:r>
      <w:r w:rsidR="00A747E5" w:rsidRPr="0057295E">
        <w:rPr>
          <w:rFonts w:ascii="Times New Roman" w:hAnsi="Times New Roman" w:cs="Times New Roman"/>
          <w:sz w:val="24"/>
          <w:szCs w:val="24"/>
        </w:rPr>
        <w:t>result suggested</w:t>
      </w:r>
      <w:r w:rsidR="0021573E" w:rsidRPr="0057295E">
        <w:rPr>
          <w:rFonts w:ascii="Times New Roman" w:hAnsi="Times New Roman" w:cs="Times New Roman"/>
          <w:sz w:val="24"/>
          <w:szCs w:val="24"/>
        </w:rPr>
        <w:t xml:space="preserve"> that both oil prices and real effective exchange rate have a strong significant impact on economic activity. The </w:t>
      </w:r>
      <w:r w:rsidR="00A747E5" w:rsidRPr="0057295E">
        <w:rPr>
          <w:rFonts w:ascii="Times New Roman" w:hAnsi="Times New Roman" w:cs="Times New Roman"/>
          <w:sz w:val="24"/>
          <w:szCs w:val="24"/>
        </w:rPr>
        <w:t xml:space="preserve">study concluded that </w:t>
      </w:r>
      <w:r w:rsidR="0021573E" w:rsidRPr="0057295E">
        <w:rPr>
          <w:rFonts w:ascii="Times New Roman" w:hAnsi="Times New Roman" w:cs="Times New Roman"/>
          <w:sz w:val="24"/>
          <w:szCs w:val="24"/>
        </w:rPr>
        <w:t>Vietnamese economic activity is influenced more by changes of the value of Vietnamese currency than the fluctuations of oil prices.</w:t>
      </w:r>
    </w:p>
    <w:p w:rsidR="00191665" w:rsidRPr="0057295E" w:rsidRDefault="00191665" w:rsidP="00191665">
      <w:pPr>
        <w:autoSpaceDE w:val="0"/>
        <w:autoSpaceDN w:val="0"/>
        <w:adjustRightInd w:val="0"/>
        <w:spacing w:after="0" w:line="240" w:lineRule="auto"/>
        <w:jc w:val="both"/>
        <w:rPr>
          <w:rFonts w:ascii="Times New Roman" w:hAnsi="Times New Roman" w:cs="Times New Roman"/>
          <w:sz w:val="24"/>
          <w:szCs w:val="24"/>
        </w:rPr>
      </w:pPr>
    </w:p>
    <w:p w:rsidR="00467A51" w:rsidRPr="008929C0" w:rsidRDefault="008929C0" w:rsidP="008929C0">
      <w:pPr>
        <w:autoSpaceDE w:val="0"/>
        <w:autoSpaceDN w:val="0"/>
        <w:adjustRightInd w:val="0"/>
        <w:spacing w:after="0" w:line="240" w:lineRule="auto"/>
        <w:jc w:val="both"/>
        <w:rPr>
          <w:rFonts w:ascii="Times New Roman" w:hAnsi="Times New Roman" w:cs="Times New Roman"/>
          <w:sz w:val="24"/>
          <w:szCs w:val="24"/>
        </w:rPr>
      </w:pPr>
      <w:r w:rsidRPr="0057295E">
        <w:rPr>
          <w:rFonts w:ascii="Times New Roman" w:hAnsi="Times New Roman" w:cs="Times New Roman"/>
          <w:bCs/>
          <w:sz w:val="24"/>
          <w:szCs w:val="24"/>
        </w:rPr>
        <w:t xml:space="preserve">Adeniran, Yusuf and Adeyemi (2014) </w:t>
      </w:r>
      <w:r w:rsidRPr="0057295E">
        <w:rPr>
          <w:rFonts w:ascii="Times New Roman" w:hAnsi="Times New Roman" w:cs="Times New Roman"/>
          <w:iCs/>
          <w:sz w:val="24"/>
          <w:szCs w:val="24"/>
        </w:rPr>
        <w:t>also</w:t>
      </w:r>
      <w:r w:rsidR="00CE5876" w:rsidRPr="0057295E">
        <w:rPr>
          <w:rFonts w:ascii="Times New Roman" w:hAnsi="Times New Roman" w:cs="Times New Roman"/>
          <w:iCs/>
          <w:sz w:val="24"/>
          <w:szCs w:val="24"/>
        </w:rPr>
        <w:t xml:space="preserve"> studied the impact of exchange rate fluctuation on Nigeria economic growth</w:t>
      </w:r>
      <w:r w:rsidR="00CE5876" w:rsidRPr="0057295E">
        <w:rPr>
          <w:rFonts w:ascii="Times New Roman" w:hAnsi="Times New Roman" w:cs="Times New Roman"/>
          <w:sz w:val="24"/>
          <w:szCs w:val="24"/>
        </w:rPr>
        <w:t xml:space="preserve"> using the OLS technique and the chi-square. The study revealed that real exchange rate has a positive effect </w:t>
      </w:r>
      <w:r w:rsidR="00964DF2" w:rsidRPr="0057295E">
        <w:rPr>
          <w:rFonts w:ascii="Times New Roman" w:hAnsi="Times New Roman" w:cs="Times New Roman"/>
          <w:sz w:val="24"/>
          <w:szCs w:val="24"/>
        </w:rPr>
        <w:t>on the GDP. Akpan</w:t>
      </w:r>
      <w:r w:rsidR="00964DF2" w:rsidRPr="008929C0">
        <w:rPr>
          <w:rFonts w:ascii="Times New Roman" w:hAnsi="Times New Roman" w:cs="Times New Roman"/>
          <w:sz w:val="24"/>
          <w:szCs w:val="24"/>
        </w:rPr>
        <w:t xml:space="preserve"> and Atan (2012</w:t>
      </w:r>
      <w:r w:rsidR="00CE5876" w:rsidRPr="008929C0">
        <w:rPr>
          <w:rFonts w:ascii="Times New Roman" w:hAnsi="Times New Roman" w:cs="Times New Roman"/>
          <w:sz w:val="24"/>
          <w:szCs w:val="24"/>
        </w:rPr>
        <w:t>),</w:t>
      </w:r>
      <w:r w:rsidR="00CE5876" w:rsidRPr="008929C0">
        <w:rPr>
          <w:rFonts w:ascii="Times New Roman" w:hAnsi="Times New Roman" w:cs="Times New Roman"/>
          <w:iCs/>
          <w:sz w:val="24"/>
          <w:szCs w:val="24"/>
        </w:rPr>
        <w:t xml:space="preserve"> investigated the effect of exchange rate movements on real output growth in Nigeria using quarterly data series for the period 1986 to 2010. A Generalized Method of Moments (GMM) technique was adopted. The estimation results suggested that no evidence of strong direct relationship between changes in exchange rate and output growth.</w:t>
      </w:r>
      <w:r w:rsidR="00964DF2" w:rsidRPr="008929C0">
        <w:rPr>
          <w:rFonts w:ascii="Times New Roman" w:hAnsi="Times New Roman" w:cs="Times New Roman"/>
          <w:sz w:val="24"/>
          <w:szCs w:val="24"/>
        </w:rPr>
        <w:t xml:space="preserve"> In a related study, Aliyu et</w:t>
      </w:r>
      <w:r w:rsidR="00CE5876" w:rsidRPr="008929C0">
        <w:rPr>
          <w:rFonts w:ascii="Times New Roman" w:hAnsi="Times New Roman" w:cs="Times New Roman"/>
          <w:sz w:val="24"/>
          <w:szCs w:val="24"/>
        </w:rPr>
        <w:t xml:space="preserve"> al. (2009</w:t>
      </w:r>
      <w:r w:rsidR="00CE5876" w:rsidRPr="008929C0">
        <w:rPr>
          <w:rFonts w:ascii="Times New Roman" w:hAnsi="Times New Roman" w:cs="Times New Roman"/>
          <w:b/>
          <w:sz w:val="24"/>
          <w:szCs w:val="24"/>
        </w:rPr>
        <w:t>)</w:t>
      </w:r>
      <w:r w:rsidR="00CE5876" w:rsidRPr="008929C0">
        <w:rPr>
          <w:rFonts w:ascii="Times New Roman" w:hAnsi="Times New Roman" w:cs="Times New Roman"/>
          <w:sz w:val="24"/>
          <w:szCs w:val="24"/>
        </w:rPr>
        <w:t xml:space="preserve"> examined exchange rate pass-through in Nigeria for the period 1986 to 2007. Quarterly data was employed and a vector Error Correction Model estimation was used in the estimation process. The study revealed that exchange rate pass-through in Nigeria during the period under consideration was low and declined along the price chain, which partly overturns the conventional wisdom in the literature that exchange rate pass-through is always considerably higher in developing countries than developed countries. The study concluded that in the long run, pass through would likely increase and monetary policy should be designed to accommodate the effect.</w:t>
      </w:r>
      <w:r w:rsidR="00467A51" w:rsidRPr="008929C0">
        <w:rPr>
          <w:rFonts w:ascii="Times New Roman" w:hAnsi="Times New Roman" w:cs="Times New Roman"/>
          <w:sz w:val="24"/>
          <w:szCs w:val="24"/>
        </w:rPr>
        <w:t xml:space="preserve"> </w:t>
      </w:r>
    </w:p>
    <w:p w:rsidR="00467A51" w:rsidRDefault="00467A51" w:rsidP="00467A51">
      <w:pPr>
        <w:pStyle w:val="Default"/>
        <w:jc w:val="both"/>
        <w:rPr>
          <w:rFonts w:ascii="Times New Roman" w:hAnsi="Times New Roman" w:cs="Times New Roman"/>
          <w:color w:val="auto"/>
        </w:rPr>
      </w:pPr>
    </w:p>
    <w:p w:rsidR="007E6D4C" w:rsidRPr="005C4C16" w:rsidRDefault="00467A51" w:rsidP="005B7D69">
      <w:pPr>
        <w:pStyle w:val="Default"/>
        <w:jc w:val="both"/>
        <w:rPr>
          <w:rFonts w:ascii="Times New Roman" w:hAnsi="Times New Roman" w:cs="Times New Roman"/>
          <w:color w:val="auto"/>
        </w:rPr>
      </w:pPr>
      <w:r>
        <w:rPr>
          <w:rFonts w:ascii="Times New Roman" w:hAnsi="Times New Roman" w:cs="Times New Roman"/>
          <w:iCs/>
          <w:color w:val="auto"/>
        </w:rPr>
        <w:t xml:space="preserve">To </w:t>
      </w:r>
      <w:r w:rsidRPr="007E6D4C">
        <w:rPr>
          <w:rFonts w:ascii="Times New Roman" w:hAnsi="Times New Roman" w:cs="Times New Roman"/>
          <w:iCs/>
          <w:color w:val="auto"/>
        </w:rPr>
        <w:t xml:space="preserve">determine the channel of exchange rate </w:t>
      </w:r>
      <w:r w:rsidRPr="00450612">
        <w:rPr>
          <w:rFonts w:ascii="Times New Roman" w:hAnsi="Times New Roman" w:cs="Times New Roman"/>
          <w:iCs/>
          <w:color w:val="auto"/>
        </w:rPr>
        <w:t>pass-through</w:t>
      </w:r>
      <w:r w:rsidRPr="007E6D4C">
        <w:rPr>
          <w:rFonts w:ascii="Times New Roman" w:hAnsi="Times New Roman" w:cs="Times New Roman"/>
          <w:iCs/>
          <w:color w:val="auto"/>
        </w:rPr>
        <w:t xml:space="preserve"> in Nigeria</w:t>
      </w:r>
      <w:r>
        <w:rPr>
          <w:rFonts w:ascii="Times New Roman" w:hAnsi="Times New Roman" w:cs="Times New Roman"/>
          <w:iCs/>
          <w:color w:val="auto"/>
        </w:rPr>
        <w:t>,</w:t>
      </w:r>
      <w:r w:rsidRPr="00450612">
        <w:rPr>
          <w:rFonts w:ascii="Times New Roman" w:hAnsi="Times New Roman" w:cs="Times New Roman"/>
          <w:iCs/>
          <w:color w:val="auto"/>
        </w:rPr>
        <w:t xml:space="preserve"> </w:t>
      </w:r>
      <w:r w:rsidR="00CE5876" w:rsidRPr="00450612">
        <w:rPr>
          <w:rFonts w:ascii="Times New Roman" w:hAnsi="Times New Roman" w:cs="Times New Roman"/>
          <w:iCs/>
          <w:color w:val="auto"/>
        </w:rPr>
        <w:t>Adelowokan (2012</w:t>
      </w:r>
      <w:r w:rsidR="00D331C4" w:rsidRPr="00450612">
        <w:rPr>
          <w:rFonts w:ascii="Times New Roman" w:hAnsi="Times New Roman" w:cs="Times New Roman"/>
          <w:iCs/>
          <w:color w:val="auto"/>
        </w:rPr>
        <w:t>)</w:t>
      </w:r>
      <w:r w:rsidR="00CE5876" w:rsidRPr="007E6D4C">
        <w:rPr>
          <w:rFonts w:ascii="Times New Roman" w:hAnsi="Times New Roman" w:cs="Times New Roman"/>
          <w:iCs/>
          <w:color w:val="auto"/>
        </w:rPr>
        <w:t xml:space="preserve"> employed a distributed lag model that incorpora</w:t>
      </w:r>
      <w:r w:rsidR="005E7F45" w:rsidRPr="007E6D4C">
        <w:rPr>
          <w:rFonts w:ascii="Times New Roman" w:hAnsi="Times New Roman" w:cs="Times New Roman"/>
          <w:iCs/>
          <w:color w:val="auto"/>
        </w:rPr>
        <w:t>ted</w:t>
      </w:r>
      <w:r w:rsidR="00CE5876" w:rsidRPr="007E6D4C">
        <w:rPr>
          <w:rFonts w:ascii="Times New Roman" w:hAnsi="Times New Roman" w:cs="Times New Roman"/>
          <w:iCs/>
          <w:color w:val="auto"/>
        </w:rPr>
        <w:t xml:space="preserve"> </w:t>
      </w:r>
      <w:r w:rsidR="00450612" w:rsidRPr="007E6D4C">
        <w:rPr>
          <w:rFonts w:ascii="Times New Roman" w:hAnsi="Times New Roman" w:cs="Times New Roman"/>
          <w:iCs/>
          <w:color w:val="auto"/>
        </w:rPr>
        <w:t>the</w:t>
      </w:r>
      <w:r w:rsidR="00CE5876" w:rsidRPr="007E6D4C">
        <w:rPr>
          <w:rFonts w:ascii="Times New Roman" w:hAnsi="Times New Roman" w:cs="Times New Roman"/>
          <w:iCs/>
          <w:color w:val="auto"/>
        </w:rPr>
        <w:t xml:space="preserve"> first order lag of exchange rate inclusive of current output level. This approach yield</w:t>
      </w:r>
      <w:r w:rsidR="005E7F45" w:rsidRPr="007E6D4C">
        <w:rPr>
          <w:rFonts w:ascii="Times New Roman" w:hAnsi="Times New Roman" w:cs="Times New Roman"/>
          <w:iCs/>
          <w:color w:val="auto"/>
        </w:rPr>
        <w:t>ed</w:t>
      </w:r>
      <w:r w:rsidR="00CE5876" w:rsidRPr="007E6D4C">
        <w:rPr>
          <w:rFonts w:ascii="Times New Roman" w:hAnsi="Times New Roman" w:cs="Times New Roman"/>
          <w:iCs/>
          <w:color w:val="auto"/>
        </w:rPr>
        <w:t xml:space="preserve"> two-variants </w:t>
      </w:r>
      <w:r>
        <w:rPr>
          <w:rFonts w:ascii="Times New Roman" w:hAnsi="Times New Roman" w:cs="Times New Roman"/>
          <w:iCs/>
          <w:color w:val="auto"/>
        </w:rPr>
        <w:t>in</w:t>
      </w:r>
      <w:r w:rsidR="00CE5876" w:rsidRPr="007E6D4C">
        <w:rPr>
          <w:rFonts w:ascii="Times New Roman" w:hAnsi="Times New Roman" w:cs="Times New Roman"/>
          <w:iCs/>
          <w:color w:val="auto"/>
        </w:rPr>
        <w:t xml:space="preserve"> the adapted model. </w:t>
      </w:r>
      <w:r w:rsidR="00CE5876" w:rsidRPr="005B7D69">
        <w:rPr>
          <w:rFonts w:ascii="Times New Roman" w:hAnsi="Times New Roman" w:cs="Times New Roman"/>
          <w:iCs/>
          <w:color w:val="auto"/>
        </w:rPr>
        <w:t xml:space="preserve">The </w:t>
      </w:r>
      <w:r w:rsidRPr="005B7D69">
        <w:rPr>
          <w:rFonts w:ascii="Times New Roman" w:hAnsi="Times New Roman" w:cs="Times New Roman"/>
          <w:iCs/>
          <w:color w:val="auto"/>
        </w:rPr>
        <w:t>findings</w:t>
      </w:r>
      <w:r w:rsidR="00CE5876" w:rsidRPr="005B7D69">
        <w:rPr>
          <w:rFonts w:ascii="Times New Roman" w:hAnsi="Times New Roman" w:cs="Times New Roman"/>
          <w:iCs/>
          <w:color w:val="auto"/>
        </w:rPr>
        <w:t xml:space="preserve"> indicated that previous exchange rate </w:t>
      </w:r>
      <w:r w:rsidRPr="005B7D69">
        <w:rPr>
          <w:rFonts w:ascii="Times New Roman" w:hAnsi="Times New Roman" w:cs="Times New Roman"/>
          <w:iCs/>
          <w:color w:val="auto"/>
        </w:rPr>
        <w:t>(Naira against U</w:t>
      </w:r>
      <w:r w:rsidR="00CE5876" w:rsidRPr="005B7D69">
        <w:rPr>
          <w:rFonts w:ascii="Times New Roman" w:hAnsi="Times New Roman" w:cs="Times New Roman"/>
          <w:iCs/>
          <w:color w:val="auto"/>
        </w:rPr>
        <w:t>S dollar</w:t>
      </w:r>
      <w:r w:rsidRPr="005B7D69">
        <w:rPr>
          <w:rFonts w:ascii="Times New Roman" w:hAnsi="Times New Roman" w:cs="Times New Roman"/>
          <w:iCs/>
          <w:color w:val="auto"/>
        </w:rPr>
        <w:t>)</w:t>
      </w:r>
      <w:r w:rsidR="00CE5876" w:rsidRPr="005B7D69">
        <w:rPr>
          <w:rFonts w:ascii="Times New Roman" w:hAnsi="Times New Roman" w:cs="Times New Roman"/>
          <w:iCs/>
          <w:color w:val="auto"/>
        </w:rPr>
        <w:t xml:space="preserve"> pass-through interest rate </w:t>
      </w:r>
      <w:r w:rsidR="005E7F45" w:rsidRPr="005B7D69">
        <w:rPr>
          <w:rFonts w:ascii="Times New Roman" w:hAnsi="Times New Roman" w:cs="Times New Roman"/>
          <w:iCs/>
          <w:color w:val="auto"/>
        </w:rPr>
        <w:t>between 1970 and 2010</w:t>
      </w:r>
      <w:r w:rsidR="005B7D69" w:rsidRPr="005B7D69">
        <w:rPr>
          <w:rFonts w:ascii="Times New Roman" w:hAnsi="Times New Roman" w:cs="Times New Roman"/>
          <w:iCs/>
          <w:color w:val="auto"/>
        </w:rPr>
        <w:t xml:space="preserve">. In a similar </w:t>
      </w:r>
      <w:r w:rsidR="005E7F45" w:rsidRPr="005B7D69">
        <w:rPr>
          <w:rFonts w:ascii="Times New Roman" w:hAnsi="Times New Roman" w:cs="Times New Roman"/>
          <w:iCs/>
          <w:color w:val="auto"/>
        </w:rPr>
        <w:t xml:space="preserve">study </w:t>
      </w:r>
      <w:r w:rsidR="005B7D69" w:rsidRPr="005B7D69">
        <w:rPr>
          <w:rFonts w:ascii="Times New Roman" w:hAnsi="Times New Roman" w:cs="Times New Roman"/>
          <w:iCs/>
          <w:color w:val="auto"/>
        </w:rPr>
        <w:t>by</w:t>
      </w:r>
      <w:r w:rsidR="005E7F45" w:rsidRPr="005B7D69">
        <w:rPr>
          <w:rFonts w:ascii="Times New Roman" w:hAnsi="Times New Roman" w:cs="Times New Roman"/>
          <w:iCs/>
          <w:color w:val="auto"/>
        </w:rPr>
        <w:t xml:space="preserve"> </w:t>
      </w:r>
      <w:r w:rsidR="005E7F45" w:rsidRPr="00F9797A">
        <w:rPr>
          <w:rFonts w:ascii="Times New Roman" w:hAnsi="Times New Roman" w:cs="Times New Roman"/>
          <w:color w:val="auto"/>
        </w:rPr>
        <w:t>Obi</w:t>
      </w:r>
      <w:r w:rsidR="00F9797A" w:rsidRPr="00F9797A">
        <w:rPr>
          <w:rFonts w:ascii="Times New Roman" w:hAnsi="Times New Roman" w:cs="Times New Roman"/>
          <w:color w:val="auto"/>
        </w:rPr>
        <w:t xml:space="preserve">, Abayomi and Ogwuche </w:t>
      </w:r>
      <w:r w:rsidR="00CE5876" w:rsidRPr="00F9797A">
        <w:rPr>
          <w:rFonts w:ascii="Times New Roman" w:hAnsi="Times New Roman" w:cs="Times New Roman"/>
          <w:color w:val="auto"/>
        </w:rPr>
        <w:t>(201</w:t>
      </w:r>
      <w:r w:rsidR="00F9797A" w:rsidRPr="00F9797A">
        <w:rPr>
          <w:rFonts w:ascii="Times New Roman" w:hAnsi="Times New Roman" w:cs="Times New Roman"/>
          <w:color w:val="auto"/>
        </w:rPr>
        <w:t>6</w:t>
      </w:r>
      <w:r w:rsidR="00CE5876" w:rsidRPr="00F9797A">
        <w:rPr>
          <w:rFonts w:ascii="Times New Roman" w:hAnsi="Times New Roman" w:cs="Times New Roman"/>
          <w:color w:val="auto"/>
        </w:rPr>
        <w:t>)</w:t>
      </w:r>
      <w:r w:rsidR="005B7D69" w:rsidRPr="00F9797A">
        <w:rPr>
          <w:rFonts w:ascii="Times New Roman" w:hAnsi="Times New Roman" w:cs="Times New Roman"/>
          <w:color w:val="auto"/>
        </w:rPr>
        <w:t>,</w:t>
      </w:r>
      <w:r w:rsidR="005B7D69">
        <w:rPr>
          <w:rFonts w:ascii="Times New Roman" w:hAnsi="Times New Roman" w:cs="Times New Roman"/>
          <w:color w:val="FF0000"/>
        </w:rPr>
        <w:t xml:space="preserve"> </w:t>
      </w:r>
      <w:r w:rsidR="00CE5876" w:rsidRPr="005B7D69">
        <w:rPr>
          <w:rFonts w:ascii="Times New Roman" w:hAnsi="Times New Roman" w:cs="Times New Roman"/>
          <w:color w:val="auto"/>
        </w:rPr>
        <w:t>interest rate differential is shown to be statistically and economically significant in explaining the exchange rate</w:t>
      </w:r>
      <w:r w:rsidR="005B7D69" w:rsidRPr="005B7D69">
        <w:rPr>
          <w:rFonts w:ascii="Times New Roman" w:hAnsi="Times New Roman" w:cs="Times New Roman"/>
          <w:color w:val="auto"/>
        </w:rPr>
        <w:t xml:space="preserve"> volatility</w:t>
      </w:r>
      <w:r w:rsidR="005E7F45" w:rsidRPr="005B7D69">
        <w:rPr>
          <w:rFonts w:ascii="Times New Roman" w:hAnsi="Times New Roman" w:cs="Times New Roman"/>
          <w:color w:val="auto"/>
        </w:rPr>
        <w:t xml:space="preserve">. </w:t>
      </w:r>
      <w:r w:rsidR="005E7F45" w:rsidRPr="007E6D4C">
        <w:rPr>
          <w:rFonts w:ascii="Times New Roman" w:hAnsi="Times New Roman" w:cs="Times New Roman"/>
          <w:color w:val="auto"/>
        </w:rPr>
        <w:t xml:space="preserve">However, </w:t>
      </w:r>
      <w:r w:rsidR="00CE5876" w:rsidRPr="007E6D4C">
        <w:rPr>
          <w:rFonts w:ascii="Times New Roman" w:hAnsi="Times New Roman" w:cs="Times New Roman"/>
          <w:color w:val="auto"/>
        </w:rPr>
        <w:t xml:space="preserve">Varela (2007) reported a negative non-negligible effect of exchange rate volatility on output. This effect is independent of the level effect of the real effective exchange rate on output. Similarly, the findings </w:t>
      </w:r>
      <w:r w:rsidR="00CE5876" w:rsidRPr="007E6D4C">
        <w:rPr>
          <w:rFonts w:ascii="Times New Roman" w:hAnsi="Times New Roman" w:cs="Times New Roman"/>
          <w:color w:val="auto"/>
        </w:rPr>
        <w:lastRenderedPageBreak/>
        <w:t xml:space="preserve">of Varga (2012) </w:t>
      </w:r>
      <w:r w:rsidR="005E7F45" w:rsidRPr="007E6D4C">
        <w:rPr>
          <w:rFonts w:ascii="Times New Roman" w:hAnsi="Times New Roman" w:cs="Times New Roman"/>
          <w:color w:val="auto"/>
        </w:rPr>
        <w:t>indicated</w:t>
      </w:r>
      <w:r w:rsidR="00CE5876" w:rsidRPr="007E6D4C">
        <w:rPr>
          <w:rFonts w:ascii="Times New Roman" w:hAnsi="Times New Roman" w:cs="Times New Roman"/>
          <w:color w:val="auto"/>
        </w:rPr>
        <w:t xml:space="preserve"> a strong negative exposure of Taiwanese firms from an appreciation of the domestic curr</w:t>
      </w:r>
      <w:r w:rsidR="005E7F45" w:rsidRPr="007E6D4C">
        <w:rPr>
          <w:rFonts w:ascii="Times New Roman" w:hAnsi="Times New Roman" w:cs="Times New Roman"/>
          <w:color w:val="auto"/>
        </w:rPr>
        <w:t>ency. Empirical result indicated</w:t>
      </w:r>
      <w:r w:rsidR="00CE5876" w:rsidRPr="007E6D4C">
        <w:rPr>
          <w:rFonts w:ascii="Times New Roman" w:hAnsi="Times New Roman" w:cs="Times New Roman"/>
          <w:color w:val="auto"/>
        </w:rPr>
        <w:t xml:space="preserve"> that the exposure is non-linear. </w:t>
      </w:r>
      <w:r w:rsidR="005E7F45" w:rsidRPr="0057295E">
        <w:rPr>
          <w:rFonts w:ascii="Times New Roman" w:hAnsi="Times New Roman" w:cs="Times New Roman"/>
          <w:color w:val="auto"/>
        </w:rPr>
        <w:t xml:space="preserve">Oyeyemi (2010) </w:t>
      </w:r>
      <w:r w:rsidR="005B7D69" w:rsidRPr="0057295E">
        <w:rPr>
          <w:rFonts w:ascii="Times New Roman" w:hAnsi="Times New Roman" w:cs="Times New Roman"/>
          <w:color w:val="auto"/>
        </w:rPr>
        <w:t>also looked at the</w:t>
      </w:r>
      <w:r w:rsidR="005E7F45" w:rsidRPr="0057295E">
        <w:rPr>
          <w:rFonts w:ascii="Times New Roman" w:hAnsi="Times New Roman" w:cs="Times New Roman"/>
          <w:color w:val="auto"/>
        </w:rPr>
        <w:t xml:space="preserve"> growth implications of crude oil price shock in Nigeria</w:t>
      </w:r>
      <w:r w:rsidR="005B7D69" w:rsidRPr="0057295E">
        <w:rPr>
          <w:rFonts w:ascii="Times New Roman" w:hAnsi="Times New Roman" w:cs="Times New Roman"/>
          <w:color w:val="auto"/>
        </w:rPr>
        <w:t xml:space="preserve">, adopting </w:t>
      </w:r>
      <w:r w:rsidR="005E7F45" w:rsidRPr="0057295E">
        <w:rPr>
          <w:rFonts w:ascii="Times New Roman" w:hAnsi="Times New Roman" w:cs="Times New Roman"/>
          <w:color w:val="auto"/>
        </w:rPr>
        <w:t xml:space="preserve">multiple regression </w:t>
      </w:r>
      <w:r w:rsidR="005B7D69" w:rsidRPr="0057295E">
        <w:rPr>
          <w:rFonts w:ascii="Times New Roman" w:hAnsi="Times New Roman" w:cs="Times New Roman"/>
          <w:color w:val="auto"/>
        </w:rPr>
        <w:t>techniques</w:t>
      </w:r>
      <w:r w:rsidR="005E7F45" w:rsidRPr="0057295E">
        <w:rPr>
          <w:rFonts w:ascii="Times New Roman" w:hAnsi="Times New Roman" w:cs="Times New Roman"/>
          <w:color w:val="auto"/>
        </w:rPr>
        <w:t xml:space="preserve">. The </w:t>
      </w:r>
      <w:r w:rsidR="005B7D69" w:rsidRPr="0057295E">
        <w:rPr>
          <w:rFonts w:ascii="Times New Roman" w:hAnsi="Times New Roman" w:cs="Times New Roman"/>
          <w:color w:val="auto"/>
        </w:rPr>
        <w:t xml:space="preserve">investigations show </w:t>
      </w:r>
      <w:r w:rsidR="005E7F45" w:rsidRPr="0057295E">
        <w:rPr>
          <w:rFonts w:ascii="Times New Roman" w:hAnsi="Times New Roman" w:cs="Times New Roman"/>
          <w:color w:val="auto"/>
        </w:rPr>
        <w:t xml:space="preserve">that little </w:t>
      </w:r>
      <w:r w:rsidR="005B7D69" w:rsidRPr="0057295E">
        <w:rPr>
          <w:rFonts w:ascii="Times New Roman" w:hAnsi="Times New Roman" w:cs="Times New Roman"/>
          <w:color w:val="auto"/>
        </w:rPr>
        <w:t xml:space="preserve">oil price </w:t>
      </w:r>
      <w:r w:rsidR="005E7F45" w:rsidRPr="0057295E">
        <w:rPr>
          <w:rFonts w:ascii="Times New Roman" w:hAnsi="Times New Roman" w:cs="Times New Roman"/>
          <w:color w:val="auto"/>
        </w:rPr>
        <w:t xml:space="preserve">shock in the </w:t>
      </w:r>
      <w:r w:rsidR="005B7D69" w:rsidRPr="0057295E">
        <w:rPr>
          <w:rFonts w:ascii="Times New Roman" w:hAnsi="Times New Roman" w:cs="Times New Roman"/>
          <w:color w:val="auto"/>
        </w:rPr>
        <w:t>international</w:t>
      </w:r>
      <w:r w:rsidR="005E7F45" w:rsidRPr="0057295E">
        <w:rPr>
          <w:rFonts w:ascii="Times New Roman" w:hAnsi="Times New Roman" w:cs="Times New Roman"/>
          <w:color w:val="auto"/>
        </w:rPr>
        <w:t xml:space="preserve"> market</w:t>
      </w:r>
      <w:r w:rsidR="005B7D69" w:rsidRPr="0057295E">
        <w:rPr>
          <w:rFonts w:ascii="Times New Roman" w:hAnsi="Times New Roman" w:cs="Times New Roman"/>
          <w:color w:val="auto"/>
        </w:rPr>
        <w:t xml:space="preserve"> </w:t>
      </w:r>
      <w:r w:rsidR="005E7F45" w:rsidRPr="0057295E">
        <w:rPr>
          <w:rFonts w:ascii="Times New Roman" w:hAnsi="Times New Roman" w:cs="Times New Roman"/>
          <w:color w:val="auto"/>
        </w:rPr>
        <w:t>produce</w:t>
      </w:r>
      <w:r w:rsidR="005B7D69" w:rsidRPr="0057295E">
        <w:rPr>
          <w:rFonts w:ascii="Times New Roman" w:hAnsi="Times New Roman" w:cs="Times New Roman"/>
          <w:color w:val="auto"/>
        </w:rPr>
        <w:t>s</w:t>
      </w:r>
      <w:r w:rsidR="005E7F45" w:rsidRPr="0057295E">
        <w:rPr>
          <w:rFonts w:ascii="Times New Roman" w:hAnsi="Times New Roman" w:cs="Times New Roman"/>
          <w:color w:val="auto"/>
        </w:rPr>
        <w:t xml:space="preserve"> a long term effect on economic growth</w:t>
      </w:r>
      <w:r w:rsidR="005B7D69" w:rsidRPr="0057295E">
        <w:rPr>
          <w:rFonts w:ascii="Times New Roman" w:hAnsi="Times New Roman" w:cs="Times New Roman"/>
          <w:color w:val="auto"/>
        </w:rPr>
        <w:t>.</w:t>
      </w:r>
      <w:r w:rsidR="005E7F45" w:rsidRPr="007E6D4C">
        <w:rPr>
          <w:rFonts w:ascii="Times New Roman" w:hAnsi="Times New Roman" w:cs="Times New Roman"/>
        </w:rPr>
        <w:t xml:space="preserve"> </w:t>
      </w:r>
      <w:r w:rsidR="00C118A8" w:rsidRPr="00C118A8">
        <w:rPr>
          <w:rFonts w:ascii="Times New Roman" w:hAnsi="Times New Roman" w:cs="Times New Roman"/>
          <w:color w:val="auto"/>
        </w:rPr>
        <w:t xml:space="preserve">To this fact, he </w:t>
      </w:r>
      <w:r w:rsidR="005E7F45" w:rsidRPr="00C118A8">
        <w:rPr>
          <w:rFonts w:ascii="Times New Roman" w:hAnsi="Times New Roman" w:cs="Times New Roman"/>
          <w:color w:val="auto"/>
        </w:rPr>
        <w:t>suggested for policy makers</w:t>
      </w:r>
      <w:r w:rsidR="00C118A8" w:rsidRPr="00C118A8">
        <w:rPr>
          <w:rFonts w:ascii="Times New Roman" w:hAnsi="Times New Roman" w:cs="Times New Roman"/>
          <w:color w:val="auto"/>
        </w:rPr>
        <w:t xml:space="preserve"> and the government authorities to think of policies </w:t>
      </w:r>
      <w:r w:rsidR="005E7F45" w:rsidRPr="00C118A8">
        <w:rPr>
          <w:rFonts w:ascii="Times New Roman" w:hAnsi="Times New Roman" w:cs="Times New Roman"/>
          <w:color w:val="auto"/>
        </w:rPr>
        <w:t xml:space="preserve">to diversify the productive base of the economy to open up a wider </w:t>
      </w:r>
      <w:r w:rsidR="00C118A8" w:rsidRPr="00C118A8">
        <w:rPr>
          <w:rFonts w:ascii="Times New Roman" w:hAnsi="Times New Roman" w:cs="Times New Roman"/>
          <w:color w:val="auto"/>
        </w:rPr>
        <w:t>opportunity</w:t>
      </w:r>
      <w:r w:rsidR="005E7F45" w:rsidRPr="00C118A8">
        <w:rPr>
          <w:rFonts w:ascii="Times New Roman" w:hAnsi="Times New Roman" w:cs="Times New Roman"/>
          <w:color w:val="auto"/>
        </w:rPr>
        <w:t xml:space="preserve"> for inflow of income to the economy</w:t>
      </w:r>
      <w:r w:rsidR="005E7F45" w:rsidRPr="005C4C16">
        <w:rPr>
          <w:rFonts w:ascii="Times New Roman" w:hAnsi="Times New Roman" w:cs="Times New Roman"/>
          <w:color w:val="auto"/>
        </w:rPr>
        <w:t>.</w:t>
      </w:r>
      <w:r w:rsidR="007E6D4C" w:rsidRPr="005C4C16">
        <w:rPr>
          <w:rFonts w:ascii="Times New Roman" w:hAnsi="Times New Roman" w:cs="Times New Roman"/>
          <w:color w:val="auto"/>
        </w:rPr>
        <w:t xml:space="preserve"> </w:t>
      </w:r>
      <w:r w:rsidR="008078E7" w:rsidRPr="0057295E">
        <w:rPr>
          <w:rFonts w:ascii="Times New Roman" w:hAnsi="Times New Roman" w:cs="Times New Roman"/>
          <w:color w:val="auto"/>
        </w:rPr>
        <w:t>In a</w:t>
      </w:r>
      <w:r w:rsidR="00C118A8" w:rsidRPr="0057295E">
        <w:rPr>
          <w:rFonts w:ascii="Times New Roman" w:hAnsi="Times New Roman" w:cs="Times New Roman"/>
          <w:color w:val="auto"/>
        </w:rPr>
        <w:t xml:space="preserve"> related study</w:t>
      </w:r>
      <w:r w:rsidR="008078E7" w:rsidRPr="0057295E">
        <w:rPr>
          <w:rFonts w:ascii="Times New Roman" w:hAnsi="Times New Roman" w:cs="Times New Roman"/>
          <w:color w:val="auto"/>
        </w:rPr>
        <w:t>, O</w:t>
      </w:r>
      <w:r w:rsidR="005E7F45" w:rsidRPr="0057295E">
        <w:rPr>
          <w:rFonts w:ascii="Times New Roman" w:hAnsi="Times New Roman" w:cs="Times New Roman"/>
          <w:color w:val="auto"/>
        </w:rPr>
        <w:t xml:space="preserve">lomola and Adejumo (2006) </w:t>
      </w:r>
      <w:r w:rsidR="00C118A8" w:rsidRPr="0057295E">
        <w:rPr>
          <w:rFonts w:ascii="Times New Roman" w:hAnsi="Times New Roman" w:cs="Times New Roman"/>
          <w:color w:val="auto"/>
        </w:rPr>
        <w:t xml:space="preserve">posit </w:t>
      </w:r>
      <w:r w:rsidR="005E7F45" w:rsidRPr="0057295E">
        <w:rPr>
          <w:rFonts w:ascii="Times New Roman" w:hAnsi="Times New Roman" w:cs="Times New Roman"/>
          <w:color w:val="auto"/>
        </w:rPr>
        <w:t xml:space="preserve">that </w:t>
      </w:r>
      <w:r w:rsidR="00C118A8" w:rsidRPr="0057295E">
        <w:rPr>
          <w:rFonts w:ascii="Times New Roman" w:hAnsi="Times New Roman" w:cs="Times New Roman"/>
          <w:color w:val="auto"/>
        </w:rPr>
        <w:t xml:space="preserve">real exchange rate is sensitive to </w:t>
      </w:r>
      <w:r w:rsidR="005E7F45" w:rsidRPr="0057295E">
        <w:rPr>
          <w:rFonts w:ascii="Times New Roman" w:hAnsi="Times New Roman" w:cs="Times New Roman"/>
          <w:color w:val="auto"/>
        </w:rPr>
        <w:t xml:space="preserve">oil price shocks in Nigeria </w:t>
      </w:r>
      <w:r w:rsidR="00C118A8" w:rsidRPr="0057295E">
        <w:rPr>
          <w:rFonts w:ascii="Times New Roman" w:hAnsi="Times New Roman" w:cs="Times New Roman"/>
          <w:color w:val="auto"/>
        </w:rPr>
        <w:t>using variance decomposition approach</w:t>
      </w:r>
      <w:r w:rsidR="005E7F45" w:rsidRPr="0057295E">
        <w:rPr>
          <w:rFonts w:ascii="Times New Roman" w:hAnsi="Times New Roman" w:cs="Times New Roman"/>
          <w:color w:val="auto"/>
        </w:rPr>
        <w:t>.</w:t>
      </w:r>
      <w:r w:rsidR="005E7F45" w:rsidRPr="005C4C16">
        <w:rPr>
          <w:rFonts w:ascii="Times New Roman" w:hAnsi="Times New Roman" w:cs="Times New Roman"/>
          <w:color w:val="auto"/>
        </w:rPr>
        <w:t xml:space="preserve"> </w:t>
      </w:r>
      <w:r w:rsidR="005C4C16" w:rsidRPr="005C4C16">
        <w:rPr>
          <w:rFonts w:ascii="Times New Roman" w:hAnsi="Times New Roman" w:cs="Times New Roman"/>
          <w:color w:val="auto"/>
        </w:rPr>
        <w:t>Also further inquiry shows that oil price shock affects the government monetary policy significantly through the exchange rate.  But the effect was insignificant in the 4</w:t>
      </w:r>
      <w:r w:rsidR="005C4C16" w:rsidRPr="005C4C16">
        <w:rPr>
          <w:rFonts w:ascii="Times New Roman" w:hAnsi="Times New Roman" w:cs="Times New Roman"/>
          <w:color w:val="auto"/>
          <w:vertAlign w:val="superscript"/>
        </w:rPr>
        <w:t>th</w:t>
      </w:r>
      <w:r w:rsidR="005C4C16" w:rsidRPr="005C4C16">
        <w:rPr>
          <w:rFonts w:ascii="Times New Roman" w:hAnsi="Times New Roman" w:cs="Times New Roman"/>
          <w:color w:val="auto"/>
        </w:rPr>
        <w:t xml:space="preserve"> period, while </w:t>
      </w:r>
      <w:r w:rsidR="005E7F45" w:rsidRPr="005C4C16">
        <w:rPr>
          <w:rFonts w:ascii="Times New Roman" w:hAnsi="Times New Roman" w:cs="Times New Roman"/>
          <w:color w:val="auto"/>
        </w:rPr>
        <w:t>8th and 10th contributed about 10% and 17% respectively to change in the domestic money supply.</w:t>
      </w:r>
      <w:r w:rsidR="00812E92" w:rsidRPr="005C4C16">
        <w:rPr>
          <w:rFonts w:ascii="Times New Roman" w:hAnsi="Times New Roman" w:cs="Times New Roman"/>
          <w:color w:val="auto"/>
        </w:rPr>
        <w:t xml:space="preserve"> </w:t>
      </w:r>
    </w:p>
    <w:p w:rsidR="007E6D4C" w:rsidRDefault="007E6D4C" w:rsidP="007E6D4C">
      <w:pPr>
        <w:autoSpaceDE w:val="0"/>
        <w:autoSpaceDN w:val="0"/>
        <w:adjustRightInd w:val="0"/>
        <w:spacing w:after="0" w:line="240" w:lineRule="auto"/>
        <w:jc w:val="both"/>
        <w:rPr>
          <w:rFonts w:ascii="Times New Roman" w:hAnsi="Times New Roman" w:cs="Times New Roman"/>
          <w:color w:val="FF0000"/>
          <w:sz w:val="24"/>
          <w:szCs w:val="24"/>
        </w:rPr>
      </w:pPr>
    </w:p>
    <w:p w:rsidR="000E2F97" w:rsidRPr="007E6D4C" w:rsidRDefault="00211549" w:rsidP="007E6D4C">
      <w:pPr>
        <w:autoSpaceDE w:val="0"/>
        <w:autoSpaceDN w:val="0"/>
        <w:adjustRightInd w:val="0"/>
        <w:spacing w:after="0" w:line="240" w:lineRule="auto"/>
        <w:jc w:val="both"/>
        <w:rPr>
          <w:rFonts w:ascii="Times New Roman" w:hAnsi="Times New Roman" w:cs="Times New Roman"/>
          <w:sz w:val="24"/>
          <w:szCs w:val="24"/>
        </w:rPr>
      </w:pPr>
      <w:r w:rsidRPr="0057295E">
        <w:rPr>
          <w:rFonts w:ascii="Times New Roman" w:hAnsi="Times New Roman" w:cs="Times New Roman"/>
          <w:sz w:val="24"/>
          <w:szCs w:val="24"/>
        </w:rPr>
        <w:t xml:space="preserve">Considering the relevance of oil price and its implications in Nigeria, </w:t>
      </w:r>
      <w:r w:rsidR="00367382" w:rsidRPr="0057295E">
        <w:rPr>
          <w:rFonts w:ascii="Times New Roman" w:hAnsi="Times New Roman" w:cs="Times New Roman"/>
          <w:sz w:val="24"/>
          <w:szCs w:val="24"/>
        </w:rPr>
        <w:t xml:space="preserve">Oriakhi and </w:t>
      </w:r>
      <w:r w:rsidR="009C7097" w:rsidRPr="0057295E">
        <w:rPr>
          <w:rFonts w:ascii="Times New Roman" w:hAnsi="Times New Roman" w:cs="Times New Roman"/>
          <w:sz w:val="24"/>
          <w:szCs w:val="24"/>
        </w:rPr>
        <w:t>Osaze (2010)</w:t>
      </w:r>
      <w:r w:rsidRPr="0057295E">
        <w:rPr>
          <w:rFonts w:ascii="Times New Roman" w:hAnsi="Times New Roman" w:cs="Times New Roman"/>
          <w:sz w:val="24"/>
          <w:szCs w:val="24"/>
        </w:rPr>
        <w:t xml:space="preserve"> took to </w:t>
      </w:r>
      <w:r w:rsidR="00534855" w:rsidRPr="0057295E">
        <w:rPr>
          <w:rFonts w:ascii="Times New Roman" w:hAnsi="Times New Roman" w:cs="Times New Roman"/>
          <w:iCs/>
          <w:sz w:val="24"/>
          <w:szCs w:val="24"/>
        </w:rPr>
        <w:t>examin</w:t>
      </w:r>
      <w:r w:rsidRPr="0057295E">
        <w:rPr>
          <w:rFonts w:ascii="Times New Roman" w:hAnsi="Times New Roman" w:cs="Times New Roman"/>
          <w:iCs/>
          <w:sz w:val="24"/>
          <w:szCs w:val="24"/>
        </w:rPr>
        <w:t>ing</w:t>
      </w:r>
      <w:r w:rsidR="00166D1C" w:rsidRPr="0057295E">
        <w:rPr>
          <w:rFonts w:ascii="Times New Roman" w:hAnsi="Times New Roman" w:cs="Times New Roman"/>
          <w:iCs/>
          <w:sz w:val="24"/>
          <w:szCs w:val="24"/>
        </w:rPr>
        <w:t xml:space="preserve"> the </w:t>
      </w:r>
      <w:r w:rsidRPr="0057295E">
        <w:rPr>
          <w:rFonts w:ascii="Times New Roman" w:hAnsi="Times New Roman" w:cs="Times New Roman"/>
          <w:iCs/>
          <w:sz w:val="24"/>
          <w:szCs w:val="24"/>
        </w:rPr>
        <w:t xml:space="preserve">relation between cause and effect </w:t>
      </w:r>
      <w:r w:rsidR="00166D1C" w:rsidRPr="0057295E">
        <w:rPr>
          <w:rFonts w:ascii="Times New Roman" w:hAnsi="Times New Roman" w:cs="Times New Roman"/>
          <w:iCs/>
          <w:sz w:val="24"/>
          <w:szCs w:val="24"/>
        </w:rPr>
        <w:t xml:space="preserve">of oil price volatility </w:t>
      </w:r>
      <w:r w:rsidRPr="0057295E">
        <w:rPr>
          <w:rFonts w:ascii="Times New Roman" w:hAnsi="Times New Roman" w:cs="Times New Roman"/>
          <w:iCs/>
          <w:sz w:val="24"/>
          <w:szCs w:val="24"/>
        </w:rPr>
        <w:t xml:space="preserve">and growth. </w:t>
      </w:r>
      <w:r w:rsidR="00166D1C" w:rsidRPr="0057295E">
        <w:rPr>
          <w:rFonts w:ascii="Times New Roman" w:hAnsi="Times New Roman" w:cs="Times New Roman"/>
          <w:iCs/>
          <w:sz w:val="24"/>
          <w:szCs w:val="24"/>
        </w:rPr>
        <w:t xml:space="preserve"> </w:t>
      </w:r>
      <w:r w:rsidRPr="0057295E">
        <w:rPr>
          <w:rFonts w:ascii="Times New Roman" w:hAnsi="Times New Roman" w:cs="Times New Roman"/>
          <w:iCs/>
          <w:sz w:val="24"/>
          <w:szCs w:val="24"/>
        </w:rPr>
        <w:t>With the help of VAR estimation techniques, they</w:t>
      </w:r>
      <w:r w:rsidR="00BB29CE" w:rsidRPr="0057295E">
        <w:rPr>
          <w:rFonts w:ascii="Times New Roman" w:hAnsi="Times New Roman" w:cs="Times New Roman"/>
          <w:iCs/>
          <w:sz w:val="24"/>
          <w:szCs w:val="24"/>
        </w:rPr>
        <w:t xml:space="preserve"> </w:t>
      </w:r>
      <w:r w:rsidRPr="0057295E">
        <w:rPr>
          <w:rFonts w:ascii="Times New Roman" w:hAnsi="Times New Roman" w:cs="Times New Roman"/>
          <w:iCs/>
          <w:sz w:val="24"/>
          <w:szCs w:val="24"/>
        </w:rPr>
        <w:t>inferred</w:t>
      </w:r>
      <w:r w:rsidR="00A63A0C" w:rsidRPr="0057295E">
        <w:rPr>
          <w:rFonts w:ascii="Times New Roman" w:hAnsi="Times New Roman" w:cs="Times New Roman"/>
          <w:iCs/>
          <w:sz w:val="24"/>
          <w:szCs w:val="24"/>
        </w:rPr>
        <w:t xml:space="preserve"> </w:t>
      </w:r>
      <w:r w:rsidR="00166D1C" w:rsidRPr="0057295E">
        <w:rPr>
          <w:rFonts w:ascii="Times New Roman" w:hAnsi="Times New Roman" w:cs="Times New Roman"/>
          <w:iCs/>
          <w:sz w:val="24"/>
          <w:szCs w:val="24"/>
        </w:rPr>
        <w:t>t</w:t>
      </w:r>
      <w:r w:rsidR="00BB29CE" w:rsidRPr="0057295E">
        <w:rPr>
          <w:rFonts w:ascii="Times New Roman" w:hAnsi="Times New Roman" w:cs="Times New Roman"/>
          <w:iCs/>
          <w:sz w:val="24"/>
          <w:szCs w:val="24"/>
        </w:rPr>
        <w:t xml:space="preserve">hat </w:t>
      </w:r>
      <w:r w:rsidRPr="0057295E">
        <w:rPr>
          <w:rFonts w:ascii="Times New Roman" w:hAnsi="Times New Roman" w:cs="Times New Roman"/>
          <w:iCs/>
          <w:sz w:val="24"/>
          <w:szCs w:val="24"/>
        </w:rPr>
        <w:t xml:space="preserve">changes in </w:t>
      </w:r>
      <w:r w:rsidR="00BB29CE" w:rsidRPr="0057295E">
        <w:rPr>
          <w:rFonts w:ascii="Times New Roman" w:hAnsi="Times New Roman" w:cs="Times New Roman"/>
          <w:iCs/>
          <w:sz w:val="24"/>
          <w:szCs w:val="24"/>
        </w:rPr>
        <w:t>oil price determine</w:t>
      </w:r>
      <w:r w:rsidR="00166D1C" w:rsidRPr="0057295E">
        <w:rPr>
          <w:rFonts w:ascii="Times New Roman" w:hAnsi="Times New Roman" w:cs="Times New Roman"/>
          <w:iCs/>
          <w:sz w:val="24"/>
          <w:szCs w:val="24"/>
        </w:rPr>
        <w:t xml:space="preserve"> </w:t>
      </w:r>
      <w:r w:rsidRPr="0057295E">
        <w:rPr>
          <w:rFonts w:ascii="Times New Roman" w:hAnsi="Times New Roman" w:cs="Times New Roman"/>
          <w:iCs/>
          <w:sz w:val="24"/>
          <w:szCs w:val="24"/>
        </w:rPr>
        <w:t xml:space="preserve">the level of </w:t>
      </w:r>
      <w:r w:rsidR="00166D1C" w:rsidRPr="0057295E">
        <w:rPr>
          <w:rFonts w:ascii="Times New Roman" w:hAnsi="Times New Roman" w:cs="Times New Roman"/>
          <w:iCs/>
          <w:sz w:val="24"/>
          <w:szCs w:val="24"/>
        </w:rPr>
        <w:t>government expenditure</w:t>
      </w:r>
      <w:r w:rsidR="00ED0144" w:rsidRPr="0057295E">
        <w:rPr>
          <w:rFonts w:ascii="Times New Roman" w:hAnsi="Times New Roman" w:cs="Times New Roman"/>
          <w:iCs/>
          <w:sz w:val="24"/>
          <w:szCs w:val="24"/>
        </w:rPr>
        <w:t>.</w:t>
      </w:r>
      <w:r w:rsidR="00ED0144" w:rsidRPr="00ED0144">
        <w:rPr>
          <w:rFonts w:ascii="Times New Roman" w:hAnsi="Times New Roman" w:cs="Times New Roman"/>
          <w:iCs/>
          <w:sz w:val="24"/>
          <w:szCs w:val="24"/>
        </w:rPr>
        <w:t xml:space="preserve"> </w:t>
      </w:r>
      <w:r w:rsidR="00166D1C" w:rsidRPr="00ED0144">
        <w:rPr>
          <w:rFonts w:ascii="Times New Roman" w:hAnsi="Times New Roman" w:cs="Times New Roman"/>
          <w:iCs/>
          <w:sz w:val="24"/>
          <w:szCs w:val="24"/>
        </w:rPr>
        <w:t xml:space="preserve">This result seems to reflect the </w:t>
      </w:r>
      <w:r w:rsidR="00ED0144" w:rsidRPr="00ED0144">
        <w:rPr>
          <w:rFonts w:ascii="Times New Roman" w:hAnsi="Times New Roman" w:cs="Times New Roman"/>
          <w:iCs/>
          <w:sz w:val="24"/>
          <w:szCs w:val="24"/>
        </w:rPr>
        <w:t>situation</w:t>
      </w:r>
      <w:r w:rsidR="003E1247" w:rsidRPr="00ED0144">
        <w:rPr>
          <w:rFonts w:ascii="Times New Roman" w:hAnsi="Times New Roman" w:cs="Times New Roman"/>
          <w:iCs/>
          <w:sz w:val="24"/>
          <w:szCs w:val="24"/>
        </w:rPr>
        <w:t xml:space="preserve"> in Nigeria, c</w:t>
      </w:r>
      <w:r w:rsidR="00166D1C" w:rsidRPr="00ED0144">
        <w:rPr>
          <w:rFonts w:ascii="Times New Roman" w:hAnsi="Times New Roman" w:cs="Times New Roman"/>
          <w:iCs/>
          <w:sz w:val="24"/>
          <w:szCs w:val="24"/>
        </w:rPr>
        <w:t xml:space="preserve">onsidering </w:t>
      </w:r>
      <w:r w:rsidR="00ED0144" w:rsidRPr="00ED0144">
        <w:rPr>
          <w:rFonts w:ascii="Times New Roman" w:hAnsi="Times New Roman" w:cs="Times New Roman"/>
          <w:iCs/>
          <w:sz w:val="24"/>
          <w:szCs w:val="24"/>
        </w:rPr>
        <w:t xml:space="preserve">the current and the </w:t>
      </w:r>
      <w:r w:rsidR="00166D1C" w:rsidRPr="00ED0144">
        <w:rPr>
          <w:rFonts w:ascii="Times New Roman" w:hAnsi="Times New Roman" w:cs="Times New Roman"/>
          <w:iCs/>
          <w:sz w:val="24"/>
          <w:szCs w:val="24"/>
        </w:rPr>
        <w:t xml:space="preserve">destabilizing effects of oil price </w:t>
      </w:r>
      <w:r w:rsidR="00ED0144" w:rsidRPr="00ED0144">
        <w:rPr>
          <w:rFonts w:ascii="Times New Roman" w:hAnsi="Times New Roman" w:cs="Times New Roman"/>
          <w:iCs/>
          <w:sz w:val="24"/>
          <w:szCs w:val="24"/>
        </w:rPr>
        <w:t>falls</w:t>
      </w:r>
      <w:r w:rsidR="00166D1C" w:rsidRPr="00ED0144">
        <w:rPr>
          <w:rFonts w:ascii="Times New Roman" w:hAnsi="Times New Roman" w:cs="Times New Roman"/>
          <w:iCs/>
          <w:sz w:val="24"/>
          <w:szCs w:val="24"/>
        </w:rPr>
        <w:t xml:space="preserve"> an</w:t>
      </w:r>
      <w:r w:rsidR="003E1247" w:rsidRPr="00ED0144">
        <w:rPr>
          <w:rFonts w:ascii="Times New Roman" w:hAnsi="Times New Roman" w:cs="Times New Roman"/>
          <w:iCs/>
          <w:sz w:val="24"/>
          <w:szCs w:val="24"/>
        </w:rPr>
        <w:t xml:space="preserve">d </w:t>
      </w:r>
      <w:r w:rsidR="00BB29CE" w:rsidRPr="00ED0144">
        <w:rPr>
          <w:rFonts w:ascii="Times New Roman" w:hAnsi="Times New Roman" w:cs="Times New Roman"/>
          <w:iCs/>
          <w:sz w:val="24"/>
          <w:szCs w:val="24"/>
        </w:rPr>
        <w:t>government spending.</w:t>
      </w:r>
      <w:r w:rsidR="00812E92" w:rsidRPr="007E6D4C">
        <w:rPr>
          <w:rFonts w:ascii="Times New Roman" w:hAnsi="Times New Roman" w:cs="Times New Roman"/>
          <w:iCs/>
          <w:sz w:val="24"/>
          <w:szCs w:val="24"/>
        </w:rPr>
        <w:t xml:space="preserve"> </w:t>
      </w:r>
      <w:r w:rsidR="00F7113B" w:rsidRPr="007E6D4C">
        <w:rPr>
          <w:rFonts w:ascii="Times New Roman" w:hAnsi="Times New Roman" w:cs="Times New Roman"/>
          <w:iCs/>
          <w:sz w:val="24"/>
          <w:szCs w:val="24"/>
        </w:rPr>
        <w:t xml:space="preserve">However, </w:t>
      </w:r>
      <w:r w:rsidR="00A74EE7" w:rsidRPr="0057295E">
        <w:rPr>
          <w:rFonts w:ascii="Times New Roman" w:hAnsi="Times New Roman" w:cs="Times New Roman"/>
          <w:iCs/>
          <w:sz w:val="24"/>
          <w:szCs w:val="24"/>
        </w:rPr>
        <w:t>Aliyu</w:t>
      </w:r>
      <w:r w:rsidR="00F7113B" w:rsidRPr="0057295E">
        <w:rPr>
          <w:rFonts w:ascii="Times New Roman" w:hAnsi="Times New Roman" w:cs="Times New Roman"/>
          <w:iCs/>
          <w:sz w:val="24"/>
          <w:szCs w:val="24"/>
        </w:rPr>
        <w:t xml:space="preserve"> </w:t>
      </w:r>
      <w:r w:rsidR="00A74EE7" w:rsidRPr="0057295E">
        <w:rPr>
          <w:rFonts w:ascii="Times New Roman" w:hAnsi="Times New Roman" w:cs="Times New Roman"/>
          <w:iCs/>
          <w:sz w:val="24"/>
          <w:szCs w:val="24"/>
        </w:rPr>
        <w:t>(2009)</w:t>
      </w:r>
      <w:r w:rsidR="003B4C8A" w:rsidRPr="0057295E">
        <w:rPr>
          <w:rFonts w:ascii="Times New Roman" w:hAnsi="Times New Roman" w:cs="Times New Roman"/>
          <w:iCs/>
          <w:sz w:val="24"/>
          <w:szCs w:val="24"/>
        </w:rPr>
        <w:t xml:space="preserve">, </w:t>
      </w:r>
      <w:r w:rsidR="00A74EE7" w:rsidRPr="0057295E">
        <w:rPr>
          <w:rFonts w:ascii="Times New Roman" w:hAnsi="Times New Roman" w:cs="Times New Roman"/>
          <w:iCs/>
          <w:sz w:val="24"/>
          <w:szCs w:val="24"/>
        </w:rPr>
        <w:t>empirically</w:t>
      </w:r>
      <w:r w:rsidR="00F7113B" w:rsidRPr="0057295E">
        <w:rPr>
          <w:rFonts w:ascii="Times New Roman" w:hAnsi="Times New Roman" w:cs="Times New Roman"/>
          <w:iCs/>
          <w:sz w:val="24"/>
          <w:szCs w:val="24"/>
        </w:rPr>
        <w:t xml:space="preserve"> assess</w:t>
      </w:r>
      <w:r w:rsidR="00A74EE7" w:rsidRPr="0057295E">
        <w:rPr>
          <w:rFonts w:ascii="Times New Roman" w:hAnsi="Times New Roman" w:cs="Times New Roman"/>
          <w:iCs/>
          <w:sz w:val="24"/>
          <w:szCs w:val="24"/>
        </w:rPr>
        <w:t xml:space="preserve"> the effects of oil price shocks on the real</w:t>
      </w:r>
      <w:r w:rsidR="00A27F3C" w:rsidRPr="0057295E">
        <w:rPr>
          <w:rFonts w:ascii="Times New Roman" w:hAnsi="Times New Roman" w:cs="Times New Roman"/>
          <w:sz w:val="24"/>
          <w:szCs w:val="24"/>
        </w:rPr>
        <w:t xml:space="preserve"> </w:t>
      </w:r>
      <w:r w:rsidR="00A74EE7" w:rsidRPr="0057295E">
        <w:rPr>
          <w:rFonts w:ascii="Times New Roman" w:hAnsi="Times New Roman" w:cs="Times New Roman"/>
          <w:iCs/>
          <w:sz w:val="24"/>
          <w:szCs w:val="24"/>
        </w:rPr>
        <w:t>macro</w:t>
      </w:r>
      <w:r w:rsidR="003B4C8A" w:rsidRPr="0057295E">
        <w:rPr>
          <w:rFonts w:ascii="Times New Roman" w:hAnsi="Times New Roman" w:cs="Times New Roman"/>
          <w:iCs/>
          <w:sz w:val="24"/>
          <w:szCs w:val="24"/>
        </w:rPr>
        <w:t xml:space="preserve"> </w:t>
      </w:r>
      <w:r w:rsidR="00BB29CE" w:rsidRPr="0057295E">
        <w:rPr>
          <w:rFonts w:ascii="Times New Roman" w:hAnsi="Times New Roman" w:cs="Times New Roman"/>
          <w:iCs/>
          <w:sz w:val="24"/>
          <w:szCs w:val="24"/>
        </w:rPr>
        <w:t>economic activity in Nigeria using</w:t>
      </w:r>
      <w:r w:rsidR="00A74EE7" w:rsidRPr="0057295E">
        <w:rPr>
          <w:rFonts w:ascii="Times New Roman" w:hAnsi="Times New Roman" w:cs="Times New Roman"/>
          <w:iCs/>
          <w:sz w:val="24"/>
          <w:szCs w:val="24"/>
        </w:rPr>
        <w:t xml:space="preserve"> Granger causality tests and</w:t>
      </w:r>
      <w:r w:rsidR="003B4C8A" w:rsidRPr="0057295E">
        <w:rPr>
          <w:rFonts w:ascii="Times New Roman" w:hAnsi="Times New Roman" w:cs="Times New Roman"/>
          <w:iCs/>
          <w:sz w:val="24"/>
          <w:szCs w:val="24"/>
        </w:rPr>
        <w:t xml:space="preserve"> multivariate VAR analysis to carry</w:t>
      </w:r>
      <w:r w:rsidR="00A27F3C" w:rsidRPr="0057295E">
        <w:rPr>
          <w:rFonts w:ascii="Times New Roman" w:hAnsi="Times New Roman" w:cs="Times New Roman"/>
          <w:sz w:val="24"/>
          <w:szCs w:val="24"/>
        </w:rPr>
        <w:t xml:space="preserve"> </w:t>
      </w:r>
      <w:r w:rsidR="003B4C8A" w:rsidRPr="0057295E">
        <w:rPr>
          <w:rFonts w:ascii="Times New Roman" w:hAnsi="Times New Roman" w:cs="Times New Roman"/>
          <w:iCs/>
          <w:sz w:val="24"/>
          <w:szCs w:val="24"/>
        </w:rPr>
        <w:t xml:space="preserve">out </w:t>
      </w:r>
      <w:r w:rsidR="00A74EE7" w:rsidRPr="0057295E">
        <w:rPr>
          <w:rFonts w:ascii="Times New Roman" w:hAnsi="Times New Roman" w:cs="Times New Roman"/>
          <w:iCs/>
          <w:sz w:val="24"/>
          <w:szCs w:val="24"/>
        </w:rPr>
        <w:t xml:space="preserve">both linear and non-linear specifications. Inter alia, the </w:t>
      </w:r>
      <w:r w:rsidR="00BB29CE" w:rsidRPr="0057295E">
        <w:rPr>
          <w:rFonts w:ascii="Times New Roman" w:hAnsi="Times New Roman" w:cs="Times New Roman"/>
          <w:iCs/>
          <w:sz w:val="24"/>
          <w:szCs w:val="24"/>
        </w:rPr>
        <w:t>latter category included</w:t>
      </w:r>
      <w:r w:rsidR="00A74EE7" w:rsidRPr="0057295E">
        <w:rPr>
          <w:rFonts w:ascii="Times New Roman" w:hAnsi="Times New Roman" w:cs="Times New Roman"/>
          <w:iCs/>
          <w:sz w:val="24"/>
          <w:szCs w:val="24"/>
        </w:rPr>
        <w:t xml:space="preserve"> two</w:t>
      </w:r>
      <w:r w:rsidR="00A27F3C" w:rsidRPr="0057295E">
        <w:rPr>
          <w:rFonts w:ascii="Times New Roman" w:hAnsi="Times New Roman" w:cs="Times New Roman"/>
          <w:sz w:val="24"/>
          <w:szCs w:val="24"/>
        </w:rPr>
        <w:t xml:space="preserve"> </w:t>
      </w:r>
      <w:r w:rsidR="00A74EE7" w:rsidRPr="0057295E">
        <w:rPr>
          <w:rFonts w:ascii="Times New Roman" w:hAnsi="Times New Roman" w:cs="Times New Roman"/>
          <w:iCs/>
          <w:sz w:val="24"/>
          <w:szCs w:val="24"/>
        </w:rPr>
        <w:t>approaches employed in the literature, namely, the asymmetric and net oil price</w:t>
      </w:r>
      <w:r w:rsidR="00A27F3C" w:rsidRPr="0057295E">
        <w:rPr>
          <w:rFonts w:ascii="Times New Roman" w:hAnsi="Times New Roman" w:cs="Times New Roman"/>
          <w:sz w:val="24"/>
          <w:szCs w:val="24"/>
        </w:rPr>
        <w:t xml:space="preserve"> </w:t>
      </w:r>
      <w:r w:rsidR="00A74EE7" w:rsidRPr="0057295E">
        <w:rPr>
          <w:rFonts w:ascii="Times New Roman" w:hAnsi="Times New Roman" w:cs="Times New Roman"/>
          <w:iCs/>
          <w:sz w:val="24"/>
          <w:szCs w:val="24"/>
        </w:rPr>
        <w:t xml:space="preserve">specifications. The </w:t>
      </w:r>
      <w:r w:rsidR="00BB29CE" w:rsidRPr="0057295E">
        <w:rPr>
          <w:rFonts w:ascii="Times New Roman" w:hAnsi="Times New Roman" w:cs="Times New Roman"/>
          <w:iCs/>
          <w:sz w:val="24"/>
          <w:szCs w:val="24"/>
        </w:rPr>
        <w:t>study found</w:t>
      </w:r>
      <w:r w:rsidR="00A74EE7" w:rsidRPr="0057295E">
        <w:rPr>
          <w:rFonts w:ascii="Times New Roman" w:hAnsi="Times New Roman" w:cs="Times New Roman"/>
          <w:iCs/>
          <w:sz w:val="24"/>
          <w:szCs w:val="24"/>
        </w:rPr>
        <w:t xml:space="preserve"> evidence of both linear and non-linear impact of oil price shocks on real</w:t>
      </w:r>
      <w:r w:rsidR="00A27F3C" w:rsidRPr="0057295E">
        <w:rPr>
          <w:rFonts w:ascii="Times New Roman" w:hAnsi="Times New Roman" w:cs="Times New Roman"/>
          <w:sz w:val="24"/>
          <w:szCs w:val="24"/>
        </w:rPr>
        <w:t xml:space="preserve"> </w:t>
      </w:r>
      <w:r w:rsidR="00A74EE7" w:rsidRPr="0057295E">
        <w:rPr>
          <w:rFonts w:ascii="Times New Roman" w:hAnsi="Times New Roman" w:cs="Times New Roman"/>
          <w:iCs/>
          <w:sz w:val="24"/>
          <w:szCs w:val="24"/>
        </w:rPr>
        <w:t xml:space="preserve">GDP. In particular, </w:t>
      </w:r>
      <w:r w:rsidR="00A74EE7" w:rsidRPr="007E6D4C">
        <w:rPr>
          <w:rFonts w:ascii="Times New Roman" w:hAnsi="Times New Roman" w:cs="Times New Roman"/>
          <w:iCs/>
          <w:sz w:val="24"/>
          <w:szCs w:val="24"/>
        </w:rPr>
        <w:t>asymmetric oil price incr</w:t>
      </w:r>
      <w:r w:rsidR="00BB29CE" w:rsidRPr="007E6D4C">
        <w:rPr>
          <w:rFonts w:ascii="Times New Roman" w:hAnsi="Times New Roman" w:cs="Times New Roman"/>
          <w:iCs/>
          <w:sz w:val="24"/>
          <w:szCs w:val="24"/>
        </w:rPr>
        <w:t>eases in the non-linear models we</w:t>
      </w:r>
      <w:r w:rsidR="00A74EE7" w:rsidRPr="007E6D4C">
        <w:rPr>
          <w:rFonts w:ascii="Times New Roman" w:hAnsi="Times New Roman" w:cs="Times New Roman"/>
          <w:iCs/>
          <w:sz w:val="24"/>
          <w:szCs w:val="24"/>
        </w:rPr>
        <w:t xml:space="preserve">re found to have </w:t>
      </w:r>
      <w:r w:rsidR="00A27F3C" w:rsidRPr="007E6D4C">
        <w:rPr>
          <w:rFonts w:ascii="Times New Roman" w:hAnsi="Times New Roman" w:cs="Times New Roman"/>
          <w:iCs/>
          <w:sz w:val="24"/>
          <w:szCs w:val="24"/>
        </w:rPr>
        <w:t xml:space="preserve">positive </w:t>
      </w:r>
      <w:r w:rsidR="00A74EE7" w:rsidRPr="007E6D4C">
        <w:rPr>
          <w:rFonts w:ascii="Times New Roman" w:hAnsi="Times New Roman" w:cs="Times New Roman"/>
          <w:iCs/>
          <w:sz w:val="24"/>
          <w:szCs w:val="24"/>
        </w:rPr>
        <w:t>impact on real GDP growth of a larger magnitude th</w:t>
      </w:r>
      <w:r w:rsidR="00BB29CE" w:rsidRPr="007E6D4C">
        <w:rPr>
          <w:rFonts w:ascii="Times New Roman" w:hAnsi="Times New Roman" w:cs="Times New Roman"/>
          <w:iCs/>
          <w:sz w:val="24"/>
          <w:szCs w:val="24"/>
        </w:rPr>
        <w:t>an</w:t>
      </w:r>
      <w:r w:rsidR="00A74EE7" w:rsidRPr="007E6D4C">
        <w:rPr>
          <w:rFonts w:ascii="Times New Roman" w:hAnsi="Times New Roman" w:cs="Times New Roman"/>
          <w:iCs/>
          <w:sz w:val="24"/>
          <w:szCs w:val="24"/>
        </w:rPr>
        <w:t xml:space="preserve"> asymmetric oil price decreases </w:t>
      </w:r>
      <w:r w:rsidR="00BB29CE" w:rsidRPr="007E6D4C">
        <w:rPr>
          <w:rFonts w:ascii="Times New Roman" w:hAnsi="Times New Roman" w:cs="Times New Roman"/>
          <w:iCs/>
          <w:sz w:val="24"/>
          <w:szCs w:val="24"/>
        </w:rPr>
        <w:t xml:space="preserve">and </w:t>
      </w:r>
      <w:r w:rsidR="00A74EE7" w:rsidRPr="007E6D4C">
        <w:rPr>
          <w:rFonts w:ascii="Times New Roman" w:hAnsi="Times New Roman" w:cs="Times New Roman"/>
          <w:iCs/>
          <w:sz w:val="24"/>
          <w:szCs w:val="24"/>
        </w:rPr>
        <w:t>adversely affect</w:t>
      </w:r>
      <w:r w:rsidR="00A27F3C" w:rsidRPr="007E6D4C">
        <w:rPr>
          <w:rFonts w:ascii="Times New Roman" w:hAnsi="Times New Roman" w:cs="Times New Roman"/>
          <w:iCs/>
          <w:sz w:val="24"/>
          <w:szCs w:val="24"/>
        </w:rPr>
        <w:t xml:space="preserve"> </w:t>
      </w:r>
      <w:r w:rsidR="00A74EE7" w:rsidRPr="007E6D4C">
        <w:rPr>
          <w:rFonts w:ascii="Times New Roman" w:hAnsi="Times New Roman" w:cs="Times New Roman"/>
          <w:iCs/>
          <w:sz w:val="24"/>
          <w:szCs w:val="24"/>
        </w:rPr>
        <w:t>real GDP. T</w:t>
      </w:r>
      <w:r w:rsidR="00BB29CE" w:rsidRPr="007E6D4C">
        <w:rPr>
          <w:rFonts w:ascii="Times New Roman" w:hAnsi="Times New Roman" w:cs="Times New Roman"/>
          <w:iCs/>
          <w:sz w:val="24"/>
          <w:szCs w:val="24"/>
        </w:rPr>
        <w:t>he non-linear estimation recorded</w:t>
      </w:r>
      <w:r w:rsidR="00A74EE7" w:rsidRPr="007E6D4C">
        <w:rPr>
          <w:rFonts w:ascii="Times New Roman" w:hAnsi="Times New Roman" w:cs="Times New Roman"/>
          <w:iCs/>
          <w:sz w:val="24"/>
          <w:szCs w:val="24"/>
        </w:rPr>
        <w:t xml:space="preserve"> significant improvement over the linear estimation </w:t>
      </w:r>
      <w:r w:rsidR="00BB29CE" w:rsidRPr="007E6D4C">
        <w:rPr>
          <w:rFonts w:ascii="Times New Roman" w:hAnsi="Times New Roman" w:cs="Times New Roman"/>
          <w:iCs/>
          <w:sz w:val="24"/>
          <w:szCs w:val="24"/>
        </w:rPr>
        <w:t>but the</w:t>
      </w:r>
      <w:r w:rsidR="00A74EE7" w:rsidRPr="007E6D4C">
        <w:rPr>
          <w:rFonts w:ascii="Times New Roman" w:hAnsi="Times New Roman" w:cs="Times New Roman"/>
          <w:iCs/>
          <w:sz w:val="24"/>
          <w:szCs w:val="24"/>
        </w:rPr>
        <w:t xml:space="preserve"> earlier </w:t>
      </w:r>
      <w:r w:rsidR="00BB29CE" w:rsidRPr="007E6D4C">
        <w:rPr>
          <w:rFonts w:ascii="Times New Roman" w:hAnsi="Times New Roman" w:cs="Times New Roman"/>
          <w:iCs/>
          <w:sz w:val="24"/>
          <w:szCs w:val="24"/>
        </w:rPr>
        <w:t xml:space="preserve">study </w:t>
      </w:r>
      <w:r w:rsidR="00A74EE7" w:rsidRPr="007E6D4C">
        <w:rPr>
          <w:rFonts w:ascii="Times New Roman" w:hAnsi="Times New Roman" w:cs="Times New Roman"/>
          <w:iCs/>
          <w:sz w:val="24"/>
          <w:szCs w:val="24"/>
        </w:rPr>
        <w:t>by Aliyu (2009</w:t>
      </w:r>
      <w:r w:rsidR="0084153F" w:rsidRPr="007E6D4C">
        <w:rPr>
          <w:rFonts w:ascii="Times New Roman" w:hAnsi="Times New Roman" w:cs="Times New Roman"/>
          <w:iCs/>
          <w:sz w:val="24"/>
          <w:szCs w:val="24"/>
        </w:rPr>
        <w:t xml:space="preserve">) </w:t>
      </w:r>
      <w:r w:rsidR="00A74EE7" w:rsidRPr="007E6D4C">
        <w:rPr>
          <w:rFonts w:ascii="Times New Roman" w:hAnsi="Times New Roman" w:cs="Times New Roman"/>
          <w:iCs/>
          <w:sz w:val="24"/>
          <w:szCs w:val="24"/>
        </w:rPr>
        <w:t>indicate</w:t>
      </w:r>
      <w:r w:rsidR="003B4C8A" w:rsidRPr="007E6D4C">
        <w:rPr>
          <w:rFonts w:ascii="Times New Roman" w:hAnsi="Times New Roman" w:cs="Times New Roman"/>
          <w:iCs/>
          <w:sz w:val="24"/>
          <w:szCs w:val="24"/>
        </w:rPr>
        <w:t>d</w:t>
      </w:r>
      <w:r w:rsidR="00A74EE7" w:rsidRPr="007E6D4C">
        <w:rPr>
          <w:rFonts w:ascii="Times New Roman" w:hAnsi="Times New Roman" w:cs="Times New Roman"/>
          <w:iCs/>
          <w:sz w:val="24"/>
          <w:szCs w:val="24"/>
        </w:rPr>
        <w:t xml:space="preserve"> that linear price change and all the other oil</w:t>
      </w:r>
      <w:r w:rsidR="00A27F3C" w:rsidRPr="007E6D4C">
        <w:rPr>
          <w:rFonts w:ascii="Times New Roman" w:hAnsi="Times New Roman" w:cs="Times New Roman"/>
          <w:sz w:val="24"/>
          <w:szCs w:val="24"/>
        </w:rPr>
        <w:t xml:space="preserve"> </w:t>
      </w:r>
      <w:r w:rsidR="00A74EE7" w:rsidRPr="007E6D4C">
        <w:rPr>
          <w:rFonts w:ascii="Times New Roman" w:hAnsi="Times New Roman" w:cs="Times New Roman"/>
          <w:iCs/>
          <w:sz w:val="24"/>
          <w:szCs w:val="24"/>
        </w:rPr>
        <w:t xml:space="preserve">price transformations </w:t>
      </w:r>
      <w:r w:rsidR="00BB29CE" w:rsidRPr="007E6D4C">
        <w:rPr>
          <w:rFonts w:ascii="Times New Roman" w:hAnsi="Times New Roman" w:cs="Times New Roman"/>
          <w:iCs/>
          <w:sz w:val="24"/>
          <w:szCs w:val="24"/>
        </w:rPr>
        <w:t>we</w:t>
      </w:r>
      <w:r w:rsidR="00A74EE7" w:rsidRPr="007E6D4C">
        <w:rPr>
          <w:rFonts w:ascii="Times New Roman" w:hAnsi="Times New Roman" w:cs="Times New Roman"/>
          <w:iCs/>
          <w:sz w:val="24"/>
          <w:szCs w:val="24"/>
        </w:rPr>
        <w:t>re significant for the system as a whole</w:t>
      </w:r>
      <w:r w:rsidR="00DD57EF" w:rsidRPr="007E6D4C">
        <w:rPr>
          <w:rFonts w:ascii="Times New Roman" w:hAnsi="Times New Roman" w:cs="Times New Roman"/>
          <w:sz w:val="24"/>
          <w:szCs w:val="24"/>
        </w:rPr>
        <w:t>. The results show</w:t>
      </w:r>
      <w:r w:rsidR="00BB29CE" w:rsidRPr="007E6D4C">
        <w:rPr>
          <w:rFonts w:ascii="Times New Roman" w:hAnsi="Times New Roman" w:cs="Times New Roman"/>
          <w:sz w:val="24"/>
          <w:szCs w:val="24"/>
        </w:rPr>
        <w:t>ed</w:t>
      </w:r>
      <w:r w:rsidR="00DD57EF" w:rsidRPr="007E6D4C">
        <w:rPr>
          <w:rFonts w:ascii="Times New Roman" w:hAnsi="Times New Roman" w:cs="Times New Roman"/>
          <w:sz w:val="24"/>
          <w:szCs w:val="24"/>
        </w:rPr>
        <w:t xml:space="preserve"> that the interaction between oil prices and macroeconomic variables in Nigeria is generally significant with the causality going in at least one direction across all the oil price specifications. Nigeria’s real exchange rate appreciates when oil price hike facilitates higher inflow of foreign exchange into the economy. Although this may sound good for the economy, it, however, has serious implications on real economic activities and the foreign scene due to the heavy reliance of the economy on foreign inputs.</w:t>
      </w:r>
    </w:p>
    <w:p w:rsidR="007E6D4C" w:rsidRPr="007E6D4C" w:rsidRDefault="007E6D4C" w:rsidP="007E6D4C">
      <w:pPr>
        <w:autoSpaceDE w:val="0"/>
        <w:autoSpaceDN w:val="0"/>
        <w:adjustRightInd w:val="0"/>
        <w:spacing w:after="0" w:line="240" w:lineRule="auto"/>
        <w:jc w:val="both"/>
        <w:rPr>
          <w:rFonts w:ascii="Times New Roman" w:hAnsi="Times New Roman" w:cs="Times New Roman"/>
          <w:sz w:val="24"/>
          <w:szCs w:val="24"/>
        </w:rPr>
      </w:pPr>
    </w:p>
    <w:p w:rsidR="00BE666F" w:rsidRPr="00757BDC" w:rsidRDefault="009C2661" w:rsidP="00812E92">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Relating foreign exchange reforms to the performance of private domestic investment in Nigeria, </w:t>
      </w:r>
      <w:r w:rsidR="00BE666F" w:rsidRPr="007E6D4C">
        <w:rPr>
          <w:rFonts w:ascii="Times New Roman" w:hAnsi="Times New Roman" w:cs="Times New Roman"/>
          <w:sz w:val="24"/>
          <w:szCs w:val="24"/>
        </w:rPr>
        <w:t>Bakare (2011)</w:t>
      </w:r>
      <w:r w:rsidR="00BE666F" w:rsidRPr="007E6D4C">
        <w:rPr>
          <w:rFonts w:ascii="Times New Roman" w:hAnsi="Times New Roman" w:cs="Times New Roman"/>
          <w:iCs/>
          <w:sz w:val="24"/>
          <w:szCs w:val="24"/>
        </w:rPr>
        <w:t xml:space="preserve"> </w:t>
      </w:r>
      <w:r w:rsidRPr="009C2661">
        <w:rPr>
          <w:rFonts w:ascii="Times New Roman" w:hAnsi="Times New Roman" w:cs="Times New Roman"/>
          <w:iCs/>
          <w:sz w:val="24"/>
          <w:szCs w:val="24"/>
        </w:rPr>
        <w:t xml:space="preserve">show </w:t>
      </w:r>
      <w:r w:rsidR="00BE666F" w:rsidRPr="009C2661">
        <w:rPr>
          <w:rFonts w:ascii="Times New Roman" w:hAnsi="Times New Roman" w:cs="Times New Roman"/>
          <w:iCs/>
          <w:sz w:val="24"/>
          <w:szCs w:val="24"/>
        </w:rPr>
        <w:t>a significant but negative relationship between floating foreign exchange rate and private domestic investment in Nigeria.</w:t>
      </w:r>
      <w:r>
        <w:rPr>
          <w:rFonts w:ascii="Times New Roman" w:hAnsi="Times New Roman" w:cs="Times New Roman"/>
          <w:iCs/>
          <w:color w:val="00B050"/>
          <w:sz w:val="24"/>
          <w:szCs w:val="24"/>
        </w:rPr>
        <w:t xml:space="preserve"> </w:t>
      </w:r>
      <w:r w:rsidR="00BE666F" w:rsidRPr="0057295E">
        <w:rPr>
          <w:rFonts w:ascii="Times New Roman" w:hAnsi="Times New Roman" w:cs="Times New Roman"/>
          <w:sz w:val="24"/>
          <w:szCs w:val="24"/>
        </w:rPr>
        <w:t xml:space="preserve">Olanipekuo (2010) examined the impact of exchange rate volatility on economic activities of firms in Nigeria focusing on the effect of exchange rate volatility on output, export and investment. Unlike the previous studies that were done at aggregate level, the study employed more disaggregated firm-level quarterly data from 1990 to 2012. The IM-Pesaran-Shin panel unit root test was used and in order to measure the volatility of exchange rate, the study utilized Generalized Conditional </w:t>
      </w:r>
      <w:r w:rsidR="008078E7" w:rsidRPr="0057295E">
        <w:rPr>
          <w:rFonts w:ascii="Times New Roman" w:hAnsi="Times New Roman" w:cs="Times New Roman"/>
          <w:sz w:val="24"/>
          <w:szCs w:val="24"/>
        </w:rPr>
        <w:t>Heteroskedasticity</w:t>
      </w:r>
      <w:r w:rsidR="00BE666F" w:rsidRPr="0057295E">
        <w:rPr>
          <w:rFonts w:ascii="Times New Roman" w:hAnsi="Times New Roman" w:cs="Times New Roman"/>
          <w:sz w:val="24"/>
          <w:szCs w:val="24"/>
        </w:rPr>
        <w:t xml:space="preserve"> (GARCH) approach was utilized. The findings reveal that exchange rate volatility significantly influences output, export and investment of firms in Nigeria. Therefore, emphasis has to be laid on mechanism to reduce exchange rate volatility such as expenditure switching and export diversification policies.</w:t>
      </w:r>
    </w:p>
    <w:p w:rsidR="002920FF" w:rsidRPr="0057295E" w:rsidRDefault="00C90079" w:rsidP="00B150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With the help of </w:t>
      </w:r>
      <w:r w:rsidRPr="007E6D4C">
        <w:rPr>
          <w:rFonts w:ascii="Times New Roman" w:hAnsi="Times New Roman" w:cs="Times New Roman"/>
          <w:iCs/>
          <w:sz w:val="24"/>
          <w:szCs w:val="24"/>
        </w:rPr>
        <w:t>structural VAR model</w:t>
      </w:r>
      <w:r>
        <w:rPr>
          <w:rFonts w:ascii="Times New Roman" w:hAnsi="Times New Roman" w:cs="Times New Roman"/>
          <w:sz w:val="24"/>
          <w:szCs w:val="24"/>
        </w:rPr>
        <w:t xml:space="preserve">, </w:t>
      </w:r>
      <w:r w:rsidR="00D07931" w:rsidRPr="007E6D4C">
        <w:rPr>
          <w:rFonts w:ascii="Times New Roman" w:hAnsi="Times New Roman" w:cs="Times New Roman"/>
          <w:sz w:val="24"/>
          <w:szCs w:val="24"/>
        </w:rPr>
        <w:t>Mordi and Adabiyi</w:t>
      </w:r>
      <w:r w:rsidR="000E2F97" w:rsidRPr="007E6D4C">
        <w:rPr>
          <w:rFonts w:ascii="Times New Roman" w:hAnsi="Times New Roman" w:cs="Times New Roman"/>
          <w:sz w:val="24"/>
          <w:szCs w:val="24"/>
        </w:rPr>
        <w:t xml:space="preserve"> </w:t>
      </w:r>
      <w:r w:rsidR="00D07931" w:rsidRPr="007E6D4C">
        <w:rPr>
          <w:rFonts w:ascii="Times New Roman" w:hAnsi="Times New Roman" w:cs="Times New Roman"/>
          <w:sz w:val="24"/>
          <w:szCs w:val="24"/>
        </w:rPr>
        <w:t>(20</w:t>
      </w:r>
      <w:r w:rsidR="009D4B08">
        <w:rPr>
          <w:rFonts w:ascii="Times New Roman" w:hAnsi="Times New Roman" w:cs="Times New Roman"/>
          <w:sz w:val="24"/>
          <w:szCs w:val="24"/>
        </w:rPr>
        <w:t>10</w:t>
      </w:r>
      <w:r w:rsidR="0094356E" w:rsidRPr="007E6D4C">
        <w:rPr>
          <w:rFonts w:ascii="Times New Roman" w:hAnsi="Times New Roman" w:cs="Times New Roman"/>
          <w:sz w:val="24"/>
          <w:szCs w:val="24"/>
        </w:rPr>
        <w:t>)</w:t>
      </w:r>
      <w:r w:rsidR="003C5E7C" w:rsidRPr="007E6D4C">
        <w:rPr>
          <w:rFonts w:ascii="Times New Roman" w:hAnsi="Times New Roman" w:cs="Times New Roman"/>
          <w:sz w:val="24"/>
          <w:szCs w:val="24"/>
        </w:rPr>
        <w:t xml:space="preserve"> </w:t>
      </w:r>
      <w:r>
        <w:rPr>
          <w:rFonts w:ascii="Times New Roman" w:hAnsi="Times New Roman" w:cs="Times New Roman"/>
          <w:sz w:val="24"/>
          <w:szCs w:val="24"/>
        </w:rPr>
        <w:t>examined</w:t>
      </w:r>
      <w:r w:rsidR="00544F42" w:rsidRPr="007E6D4C">
        <w:rPr>
          <w:rFonts w:ascii="Times New Roman" w:hAnsi="Times New Roman" w:cs="Times New Roman"/>
          <w:iCs/>
          <w:sz w:val="24"/>
          <w:szCs w:val="24"/>
        </w:rPr>
        <w:t xml:space="preserve"> asymmetric impact of oil shocks</w:t>
      </w:r>
      <w:r w:rsidR="003C5E7C" w:rsidRPr="007E6D4C">
        <w:rPr>
          <w:rFonts w:ascii="Times New Roman" w:hAnsi="Times New Roman" w:cs="Times New Roman"/>
          <w:sz w:val="24"/>
          <w:szCs w:val="24"/>
        </w:rPr>
        <w:t xml:space="preserve"> </w:t>
      </w:r>
      <w:r w:rsidR="00544F42" w:rsidRPr="007E6D4C">
        <w:rPr>
          <w:rFonts w:ascii="Times New Roman" w:hAnsi="Times New Roman" w:cs="Times New Roman"/>
          <w:iCs/>
          <w:sz w:val="24"/>
          <w:szCs w:val="24"/>
        </w:rPr>
        <w:t>on ou</w:t>
      </w:r>
      <w:r w:rsidR="003C5E7C" w:rsidRPr="007E6D4C">
        <w:rPr>
          <w:rFonts w:ascii="Times New Roman" w:hAnsi="Times New Roman" w:cs="Times New Roman"/>
          <w:iCs/>
          <w:sz w:val="24"/>
          <w:szCs w:val="24"/>
        </w:rPr>
        <w:t>tput and price</w:t>
      </w:r>
      <w:r>
        <w:rPr>
          <w:rFonts w:ascii="Times New Roman" w:hAnsi="Times New Roman" w:cs="Times New Roman"/>
          <w:iCs/>
          <w:sz w:val="24"/>
          <w:szCs w:val="24"/>
        </w:rPr>
        <w:t xml:space="preserve"> using </w:t>
      </w:r>
      <w:r w:rsidRPr="007E6D4C">
        <w:rPr>
          <w:rFonts w:ascii="Times New Roman" w:hAnsi="Times New Roman" w:cs="Times New Roman"/>
          <w:iCs/>
          <w:sz w:val="24"/>
          <w:szCs w:val="24"/>
        </w:rPr>
        <w:t xml:space="preserve">monthly data </w:t>
      </w:r>
      <w:r>
        <w:rPr>
          <w:rFonts w:ascii="Times New Roman" w:hAnsi="Times New Roman" w:cs="Times New Roman"/>
          <w:iCs/>
          <w:sz w:val="24"/>
          <w:szCs w:val="24"/>
        </w:rPr>
        <w:t>for the periods</w:t>
      </w:r>
      <w:r w:rsidRPr="007E6D4C">
        <w:rPr>
          <w:rFonts w:ascii="Times New Roman" w:hAnsi="Times New Roman" w:cs="Times New Roman"/>
          <w:iCs/>
          <w:sz w:val="24"/>
          <w:szCs w:val="24"/>
        </w:rPr>
        <w:t xml:space="preserve"> 1999 to 2008</w:t>
      </w:r>
      <w:r w:rsidR="00544F42" w:rsidRPr="007E6D4C">
        <w:rPr>
          <w:rFonts w:ascii="Times New Roman" w:hAnsi="Times New Roman" w:cs="Times New Roman"/>
          <w:iCs/>
          <w:sz w:val="24"/>
          <w:szCs w:val="24"/>
        </w:rPr>
        <w:t xml:space="preserve">. </w:t>
      </w:r>
      <w:r w:rsidRPr="007E6D4C">
        <w:rPr>
          <w:rFonts w:ascii="Times New Roman" w:hAnsi="Times New Roman" w:cs="Times New Roman"/>
          <w:iCs/>
          <w:sz w:val="24"/>
          <w:szCs w:val="24"/>
        </w:rPr>
        <w:t xml:space="preserve">The </w:t>
      </w:r>
      <w:r w:rsidR="00544F42" w:rsidRPr="007E6D4C">
        <w:rPr>
          <w:rFonts w:ascii="Times New Roman" w:hAnsi="Times New Roman" w:cs="Times New Roman"/>
          <w:iCs/>
          <w:sz w:val="24"/>
          <w:szCs w:val="24"/>
        </w:rPr>
        <w:t>empirical results show</w:t>
      </w:r>
      <w:r w:rsidR="00622040" w:rsidRPr="007E6D4C">
        <w:rPr>
          <w:rFonts w:ascii="Times New Roman" w:hAnsi="Times New Roman" w:cs="Times New Roman"/>
          <w:iCs/>
          <w:sz w:val="24"/>
          <w:szCs w:val="24"/>
        </w:rPr>
        <w:t>ed</w:t>
      </w:r>
      <w:r w:rsidR="00544F42" w:rsidRPr="007E6D4C">
        <w:rPr>
          <w:rFonts w:ascii="Times New Roman" w:hAnsi="Times New Roman" w:cs="Times New Roman"/>
          <w:iCs/>
          <w:sz w:val="24"/>
          <w:szCs w:val="24"/>
        </w:rPr>
        <w:t xml:space="preserve"> that oil price shocks </w:t>
      </w:r>
      <w:r>
        <w:rPr>
          <w:rFonts w:ascii="Times New Roman" w:hAnsi="Times New Roman" w:cs="Times New Roman"/>
          <w:iCs/>
          <w:sz w:val="24"/>
          <w:szCs w:val="24"/>
        </w:rPr>
        <w:t xml:space="preserve">impact </w:t>
      </w:r>
      <w:r w:rsidR="00544F42" w:rsidRPr="007E6D4C">
        <w:rPr>
          <w:rFonts w:ascii="Times New Roman" w:hAnsi="Times New Roman" w:cs="Times New Roman"/>
          <w:iCs/>
          <w:sz w:val="24"/>
          <w:szCs w:val="24"/>
        </w:rPr>
        <w:t>on output and prices is asymmetric in nature</w:t>
      </w:r>
      <w:r w:rsidR="00B455B5">
        <w:rPr>
          <w:rFonts w:ascii="Times New Roman" w:hAnsi="Times New Roman" w:cs="Times New Roman"/>
          <w:iCs/>
          <w:sz w:val="24"/>
          <w:szCs w:val="24"/>
        </w:rPr>
        <w:t xml:space="preserve">. Comparing, the weight of the influence, they observed that the </w:t>
      </w:r>
      <w:r w:rsidR="00544F42" w:rsidRPr="007E6D4C">
        <w:rPr>
          <w:rFonts w:ascii="Times New Roman" w:hAnsi="Times New Roman" w:cs="Times New Roman"/>
          <w:iCs/>
          <w:sz w:val="24"/>
          <w:szCs w:val="24"/>
        </w:rPr>
        <w:t>impact of oil price</w:t>
      </w:r>
      <w:r w:rsidR="003C5E7C" w:rsidRPr="007E6D4C">
        <w:rPr>
          <w:rFonts w:ascii="Times New Roman" w:hAnsi="Times New Roman" w:cs="Times New Roman"/>
          <w:sz w:val="24"/>
          <w:szCs w:val="24"/>
        </w:rPr>
        <w:t xml:space="preserve"> </w:t>
      </w:r>
      <w:r w:rsidR="00544F42" w:rsidRPr="007E6D4C">
        <w:rPr>
          <w:rFonts w:ascii="Times New Roman" w:hAnsi="Times New Roman" w:cs="Times New Roman"/>
          <w:iCs/>
          <w:sz w:val="24"/>
          <w:szCs w:val="24"/>
        </w:rPr>
        <w:t>decrease</w:t>
      </w:r>
      <w:r w:rsidR="00B455B5">
        <w:rPr>
          <w:rFonts w:ascii="Times New Roman" w:hAnsi="Times New Roman" w:cs="Times New Roman"/>
          <w:iCs/>
          <w:sz w:val="24"/>
          <w:szCs w:val="24"/>
        </w:rPr>
        <w:t xml:space="preserve"> is</w:t>
      </w:r>
      <w:r w:rsidR="00544F42" w:rsidRPr="007E6D4C">
        <w:rPr>
          <w:rFonts w:ascii="Times New Roman" w:hAnsi="Times New Roman" w:cs="Times New Roman"/>
          <w:iCs/>
          <w:sz w:val="24"/>
          <w:szCs w:val="24"/>
        </w:rPr>
        <w:t xml:space="preserve"> significant</w:t>
      </w:r>
      <w:r w:rsidR="00B455B5">
        <w:rPr>
          <w:rFonts w:ascii="Times New Roman" w:hAnsi="Times New Roman" w:cs="Times New Roman"/>
          <w:iCs/>
          <w:sz w:val="24"/>
          <w:szCs w:val="24"/>
        </w:rPr>
        <w:t xml:space="preserve"> but</w:t>
      </w:r>
      <w:r w:rsidR="00544F42" w:rsidRPr="007E6D4C">
        <w:rPr>
          <w:rFonts w:ascii="Times New Roman" w:hAnsi="Times New Roman" w:cs="Times New Roman"/>
          <w:iCs/>
          <w:sz w:val="24"/>
          <w:szCs w:val="24"/>
        </w:rPr>
        <w:t xml:space="preserve"> greater than oil price increase. </w:t>
      </w:r>
      <w:r w:rsidR="00B455B5" w:rsidRPr="00B455B5">
        <w:rPr>
          <w:rFonts w:ascii="Times New Roman" w:hAnsi="Times New Roman" w:cs="Times New Roman"/>
          <w:iCs/>
          <w:sz w:val="24"/>
          <w:szCs w:val="24"/>
        </w:rPr>
        <w:t xml:space="preserve">Drawing inference from the findings, they argued that </w:t>
      </w:r>
      <w:r w:rsidR="00544F42" w:rsidRPr="00B455B5">
        <w:rPr>
          <w:rFonts w:ascii="Times New Roman" w:hAnsi="Times New Roman" w:cs="Times New Roman"/>
          <w:iCs/>
          <w:sz w:val="24"/>
          <w:szCs w:val="24"/>
        </w:rPr>
        <w:t>polic</w:t>
      </w:r>
      <w:r w:rsidR="00B455B5" w:rsidRPr="00B455B5">
        <w:rPr>
          <w:rFonts w:ascii="Times New Roman" w:hAnsi="Times New Roman" w:cs="Times New Roman"/>
          <w:iCs/>
          <w:sz w:val="24"/>
          <w:szCs w:val="24"/>
        </w:rPr>
        <w:t>ies</w:t>
      </w:r>
      <w:r w:rsidR="00544F42" w:rsidRPr="00B455B5">
        <w:rPr>
          <w:rFonts w:ascii="Times New Roman" w:hAnsi="Times New Roman" w:cs="Times New Roman"/>
          <w:iCs/>
          <w:sz w:val="24"/>
          <w:szCs w:val="24"/>
        </w:rPr>
        <w:t xml:space="preserve"> aimed at</w:t>
      </w:r>
      <w:r w:rsidR="003C5E7C" w:rsidRPr="00B455B5">
        <w:rPr>
          <w:rFonts w:ascii="Times New Roman" w:hAnsi="Times New Roman" w:cs="Times New Roman"/>
          <w:sz w:val="24"/>
          <w:szCs w:val="24"/>
        </w:rPr>
        <w:t xml:space="preserve"> </w:t>
      </w:r>
      <w:r w:rsidR="00544F42" w:rsidRPr="0057295E">
        <w:rPr>
          <w:rFonts w:ascii="Times New Roman" w:hAnsi="Times New Roman" w:cs="Times New Roman"/>
          <w:iCs/>
          <w:sz w:val="24"/>
          <w:szCs w:val="24"/>
        </w:rPr>
        <w:t xml:space="preserve">moving the economy forward must focus on price stability </w:t>
      </w:r>
      <w:r w:rsidR="00B455B5" w:rsidRPr="0057295E">
        <w:rPr>
          <w:rFonts w:ascii="Times New Roman" w:hAnsi="Times New Roman" w:cs="Times New Roman"/>
          <w:iCs/>
          <w:sz w:val="24"/>
          <w:szCs w:val="24"/>
        </w:rPr>
        <w:t xml:space="preserve">because oil </w:t>
      </w:r>
      <w:r w:rsidR="00544F42" w:rsidRPr="0057295E">
        <w:rPr>
          <w:rFonts w:ascii="Times New Roman" w:hAnsi="Times New Roman" w:cs="Times New Roman"/>
          <w:iCs/>
          <w:sz w:val="24"/>
          <w:szCs w:val="24"/>
        </w:rPr>
        <w:t>price</w:t>
      </w:r>
      <w:r w:rsidR="00B455B5" w:rsidRPr="0057295E">
        <w:rPr>
          <w:rFonts w:ascii="Times New Roman" w:hAnsi="Times New Roman" w:cs="Times New Roman"/>
          <w:iCs/>
          <w:sz w:val="24"/>
          <w:szCs w:val="24"/>
        </w:rPr>
        <w:t xml:space="preserve"> changes</w:t>
      </w:r>
      <w:r w:rsidR="00726382" w:rsidRPr="0057295E">
        <w:rPr>
          <w:rFonts w:ascii="Times New Roman" w:hAnsi="Times New Roman" w:cs="Times New Roman"/>
          <w:sz w:val="24"/>
          <w:szCs w:val="24"/>
        </w:rPr>
        <w:t xml:space="preserve"> </w:t>
      </w:r>
      <w:r w:rsidR="000F5CF2" w:rsidRPr="0057295E">
        <w:rPr>
          <w:rFonts w:ascii="Times New Roman" w:hAnsi="Times New Roman" w:cs="Times New Roman"/>
          <w:iCs/>
          <w:sz w:val="24"/>
          <w:szCs w:val="24"/>
        </w:rPr>
        <w:t>play a</w:t>
      </w:r>
      <w:r w:rsidR="00970775" w:rsidRPr="0057295E">
        <w:rPr>
          <w:rFonts w:ascii="Times New Roman" w:hAnsi="Times New Roman" w:cs="Times New Roman"/>
          <w:iCs/>
          <w:sz w:val="24"/>
          <w:szCs w:val="24"/>
        </w:rPr>
        <w:t xml:space="preserve"> sign</w:t>
      </w:r>
      <w:r w:rsidR="00544F42" w:rsidRPr="0057295E">
        <w:rPr>
          <w:rFonts w:ascii="Times New Roman" w:hAnsi="Times New Roman" w:cs="Times New Roman"/>
          <w:iCs/>
          <w:sz w:val="24"/>
          <w:szCs w:val="24"/>
        </w:rPr>
        <w:t>ificant role.</w:t>
      </w:r>
      <w:r w:rsidR="00E439AB" w:rsidRPr="0057295E">
        <w:rPr>
          <w:rFonts w:ascii="Times New Roman" w:hAnsi="Times New Roman" w:cs="Times New Roman"/>
          <w:iCs/>
          <w:sz w:val="24"/>
          <w:szCs w:val="24"/>
        </w:rPr>
        <w:t xml:space="preserve"> </w:t>
      </w:r>
      <w:r w:rsidR="00A45E89" w:rsidRPr="0057295E">
        <w:rPr>
          <w:rFonts w:ascii="Times New Roman" w:hAnsi="Times New Roman" w:cs="Times New Roman"/>
          <w:iCs/>
          <w:sz w:val="24"/>
          <w:szCs w:val="24"/>
        </w:rPr>
        <w:t xml:space="preserve">In addition, </w:t>
      </w:r>
      <w:r w:rsidR="00E439AB" w:rsidRPr="0057295E">
        <w:rPr>
          <w:rFonts w:ascii="Times New Roman" w:hAnsi="Times New Roman" w:cs="Times New Roman"/>
          <w:sz w:val="24"/>
          <w:szCs w:val="24"/>
        </w:rPr>
        <w:t>Pa</w:t>
      </w:r>
      <w:r w:rsidR="00776A63" w:rsidRPr="0057295E">
        <w:rPr>
          <w:rFonts w:ascii="Times New Roman" w:hAnsi="Times New Roman" w:cs="Times New Roman"/>
          <w:sz w:val="24"/>
          <w:szCs w:val="24"/>
        </w:rPr>
        <w:t>tti</w:t>
      </w:r>
      <w:r w:rsidR="00E439AB" w:rsidRPr="0057295E">
        <w:rPr>
          <w:rFonts w:ascii="Times New Roman" w:hAnsi="Times New Roman" w:cs="Times New Roman"/>
          <w:sz w:val="24"/>
          <w:szCs w:val="24"/>
        </w:rPr>
        <w:t xml:space="preserve"> and Ratti (2007)</w:t>
      </w:r>
      <w:r w:rsidR="00A45E89" w:rsidRPr="0057295E">
        <w:rPr>
          <w:rFonts w:ascii="Times New Roman" w:hAnsi="Times New Roman" w:cs="Times New Roman"/>
          <w:sz w:val="24"/>
          <w:szCs w:val="24"/>
        </w:rPr>
        <w:t xml:space="preserve"> also observed the influence of </w:t>
      </w:r>
      <w:r w:rsidR="00E439AB" w:rsidRPr="0057295E">
        <w:rPr>
          <w:rFonts w:ascii="Times New Roman" w:hAnsi="Times New Roman" w:cs="Times New Roman"/>
          <w:sz w:val="24"/>
          <w:szCs w:val="24"/>
        </w:rPr>
        <w:t>oil</w:t>
      </w:r>
      <w:r w:rsidR="00970775" w:rsidRPr="0057295E">
        <w:rPr>
          <w:rFonts w:ascii="Times New Roman" w:hAnsi="Times New Roman" w:cs="Times New Roman"/>
          <w:sz w:val="24"/>
          <w:szCs w:val="24"/>
        </w:rPr>
        <w:t xml:space="preserve"> price increase </w:t>
      </w:r>
      <w:r w:rsidR="00A45E89" w:rsidRPr="0057295E">
        <w:rPr>
          <w:rFonts w:ascii="Times New Roman" w:hAnsi="Times New Roman" w:cs="Times New Roman"/>
          <w:sz w:val="24"/>
          <w:szCs w:val="24"/>
        </w:rPr>
        <w:t xml:space="preserve">and oil </w:t>
      </w:r>
      <w:r w:rsidR="00E439AB" w:rsidRPr="0057295E">
        <w:rPr>
          <w:rFonts w:ascii="Times New Roman" w:hAnsi="Times New Roman" w:cs="Times New Roman"/>
          <w:sz w:val="24"/>
          <w:szCs w:val="24"/>
        </w:rPr>
        <w:t>price</w:t>
      </w:r>
      <w:r w:rsidR="00A45E89" w:rsidRPr="0057295E">
        <w:rPr>
          <w:rFonts w:ascii="Times New Roman" w:hAnsi="Times New Roman" w:cs="Times New Roman"/>
          <w:sz w:val="24"/>
          <w:szCs w:val="24"/>
        </w:rPr>
        <w:t xml:space="preserve"> decrease in economic growth not to be the same and thus, harmonizing the works of Mordi and Adabiyi (2010)</w:t>
      </w:r>
      <w:r w:rsidR="00E439AB" w:rsidRPr="0057295E">
        <w:rPr>
          <w:rFonts w:ascii="Times New Roman" w:hAnsi="Times New Roman" w:cs="Times New Roman"/>
          <w:sz w:val="24"/>
          <w:szCs w:val="24"/>
        </w:rPr>
        <w:t>.</w:t>
      </w:r>
      <w:r w:rsidR="0022038B" w:rsidRPr="0057295E">
        <w:rPr>
          <w:rFonts w:ascii="Times New Roman" w:hAnsi="Times New Roman" w:cs="Times New Roman"/>
          <w:sz w:val="24"/>
          <w:szCs w:val="24"/>
        </w:rPr>
        <w:t xml:space="preserve"> </w:t>
      </w:r>
      <w:r w:rsidR="00970775" w:rsidRPr="0057295E">
        <w:rPr>
          <w:rFonts w:ascii="Times New Roman" w:hAnsi="Times New Roman" w:cs="Times New Roman"/>
          <w:sz w:val="24"/>
          <w:szCs w:val="24"/>
        </w:rPr>
        <w:t xml:space="preserve">In the same vein, </w:t>
      </w:r>
      <w:r w:rsidR="0022038B" w:rsidRPr="0057295E">
        <w:rPr>
          <w:rFonts w:ascii="Times New Roman" w:hAnsi="Times New Roman" w:cs="Times New Roman"/>
          <w:sz w:val="24"/>
          <w:szCs w:val="24"/>
        </w:rPr>
        <w:t xml:space="preserve">Hooker (1996) </w:t>
      </w:r>
      <w:r w:rsidR="00A45E89" w:rsidRPr="0057295E">
        <w:rPr>
          <w:rFonts w:ascii="Times New Roman" w:hAnsi="Times New Roman" w:cs="Times New Roman"/>
          <w:sz w:val="24"/>
          <w:szCs w:val="24"/>
        </w:rPr>
        <w:t xml:space="preserve">shows that monetary policy responds to oil price increases and not to oil price decreases in </w:t>
      </w:r>
      <w:r w:rsidR="0022038B" w:rsidRPr="0057295E">
        <w:rPr>
          <w:rFonts w:ascii="Times New Roman" w:hAnsi="Times New Roman" w:cs="Times New Roman"/>
          <w:sz w:val="24"/>
          <w:szCs w:val="24"/>
        </w:rPr>
        <w:t xml:space="preserve">the </w:t>
      </w:r>
      <w:r w:rsidR="00A45E89" w:rsidRPr="0057295E">
        <w:rPr>
          <w:rFonts w:ascii="Times New Roman" w:hAnsi="Times New Roman" w:cs="Times New Roman"/>
          <w:sz w:val="24"/>
          <w:szCs w:val="24"/>
        </w:rPr>
        <w:t xml:space="preserve">attempt to examine the </w:t>
      </w:r>
      <w:r w:rsidR="0022038B" w:rsidRPr="0057295E">
        <w:rPr>
          <w:rFonts w:ascii="Times New Roman" w:hAnsi="Times New Roman" w:cs="Times New Roman"/>
          <w:sz w:val="24"/>
          <w:szCs w:val="24"/>
        </w:rPr>
        <w:t xml:space="preserve">asymmetric effects of oil price shocks on GNP </w:t>
      </w:r>
      <w:r w:rsidR="00A45E89" w:rsidRPr="0057295E">
        <w:rPr>
          <w:rFonts w:ascii="Times New Roman" w:hAnsi="Times New Roman" w:cs="Times New Roman"/>
          <w:sz w:val="24"/>
          <w:szCs w:val="24"/>
        </w:rPr>
        <w:t xml:space="preserve">looking at </w:t>
      </w:r>
      <w:r w:rsidR="0022038B" w:rsidRPr="0057295E">
        <w:rPr>
          <w:rFonts w:ascii="Times New Roman" w:hAnsi="Times New Roman" w:cs="Times New Roman"/>
          <w:sz w:val="24"/>
          <w:szCs w:val="24"/>
        </w:rPr>
        <w:t xml:space="preserve">the response of interest rates to oil price shocks. </w:t>
      </w:r>
      <w:r w:rsidR="00A45E89" w:rsidRPr="0057295E">
        <w:rPr>
          <w:rFonts w:ascii="Times New Roman" w:hAnsi="Times New Roman" w:cs="Times New Roman"/>
          <w:sz w:val="24"/>
          <w:szCs w:val="24"/>
        </w:rPr>
        <w:t xml:space="preserve">Hence, analyzing the relationship </w:t>
      </w:r>
      <w:r w:rsidR="00FA722A" w:rsidRPr="0057295E">
        <w:rPr>
          <w:rFonts w:ascii="Times New Roman" w:hAnsi="Times New Roman" w:cs="Times New Roman"/>
          <w:sz w:val="24"/>
          <w:szCs w:val="24"/>
        </w:rPr>
        <w:t>between exchange rates and macroeconomic performance</w:t>
      </w:r>
      <w:r w:rsidR="00A45E89" w:rsidRPr="0057295E">
        <w:rPr>
          <w:rFonts w:ascii="Times New Roman" w:hAnsi="Times New Roman" w:cs="Times New Roman"/>
          <w:sz w:val="24"/>
          <w:szCs w:val="24"/>
        </w:rPr>
        <w:t xml:space="preserve">, </w:t>
      </w:r>
      <w:r w:rsidR="00A15A1E" w:rsidRPr="0057295E">
        <w:rPr>
          <w:rFonts w:ascii="Times New Roman" w:hAnsi="Times New Roman" w:cs="Times New Roman"/>
          <w:sz w:val="24"/>
          <w:szCs w:val="24"/>
        </w:rPr>
        <w:t xml:space="preserve">Dada and Oyeranti (2010) </w:t>
      </w:r>
      <w:r w:rsidR="00FA722A" w:rsidRPr="0057295E">
        <w:rPr>
          <w:rFonts w:ascii="Times New Roman" w:hAnsi="Times New Roman" w:cs="Times New Roman"/>
          <w:sz w:val="24"/>
          <w:szCs w:val="24"/>
        </w:rPr>
        <w:t xml:space="preserve">found evidence of no </w:t>
      </w:r>
      <w:r w:rsidR="00C3338B" w:rsidRPr="0057295E">
        <w:rPr>
          <w:rFonts w:ascii="Times New Roman" w:hAnsi="Times New Roman" w:cs="Times New Roman"/>
          <w:sz w:val="24"/>
          <w:szCs w:val="24"/>
        </w:rPr>
        <w:t xml:space="preserve">strong </w:t>
      </w:r>
      <w:r w:rsidR="00FA722A" w:rsidRPr="0057295E">
        <w:rPr>
          <w:rFonts w:ascii="Times New Roman" w:hAnsi="Times New Roman" w:cs="Times New Roman"/>
          <w:sz w:val="24"/>
          <w:szCs w:val="24"/>
        </w:rPr>
        <w:t xml:space="preserve">and </w:t>
      </w:r>
      <w:r w:rsidR="00C3338B" w:rsidRPr="0057295E">
        <w:rPr>
          <w:rFonts w:ascii="Times New Roman" w:hAnsi="Times New Roman" w:cs="Times New Roman"/>
          <w:sz w:val="24"/>
          <w:szCs w:val="24"/>
        </w:rPr>
        <w:t>direct relationship between changes in the exchange</w:t>
      </w:r>
      <w:r w:rsidR="00122B47" w:rsidRPr="0057295E">
        <w:rPr>
          <w:rFonts w:ascii="Times New Roman" w:hAnsi="Times New Roman" w:cs="Times New Roman"/>
          <w:sz w:val="24"/>
          <w:szCs w:val="24"/>
        </w:rPr>
        <w:t xml:space="preserve"> </w:t>
      </w:r>
      <w:r w:rsidR="00C3338B" w:rsidRPr="0057295E">
        <w:rPr>
          <w:rFonts w:ascii="Times New Roman" w:hAnsi="Times New Roman" w:cs="Times New Roman"/>
          <w:sz w:val="24"/>
          <w:szCs w:val="24"/>
        </w:rPr>
        <w:t>rate and GDP</w:t>
      </w:r>
      <w:r w:rsidR="00E9795E" w:rsidRPr="0057295E">
        <w:rPr>
          <w:rFonts w:ascii="Times New Roman" w:hAnsi="Times New Roman" w:cs="Times New Roman"/>
          <w:sz w:val="24"/>
          <w:szCs w:val="24"/>
        </w:rPr>
        <w:t xml:space="preserve"> </w:t>
      </w:r>
      <w:r w:rsidR="00C3338B" w:rsidRPr="0057295E">
        <w:rPr>
          <w:rFonts w:ascii="Times New Roman" w:hAnsi="Times New Roman" w:cs="Times New Roman"/>
          <w:sz w:val="24"/>
          <w:szCs w:val="24"/>
        </w:rPr>
        <w:t>gro</w:t>
      </w:r>
      <w:r w:rsidR="002920FF" w:rsidRPr="0057295E">
        <w:rPr>
          <w:rFonts w:ascii="Times New Roman" w:hAnsi="Times New Roman" w:cs="Times New Roman"/>
          <w:sz w:val="24"/>
          <w:szCs w:val="24"/>
        </w:rPr>
        <w:t>wth.</w:t>
      </w:r>
      <w:r w:rsidR="00FA722A" w:rsidRPr="0057295E">
        <w:rPr>
          <w:rFonts w:ascii="Times New Roman" w:hAnsi="Times New Roman" w:cs="Times New Roman"/>
          <w:sz w:val="24"/>
          <w:szCs w:val="24"/>
        </w:rPr>
        <w:t xml:space="preserve"> </w:t>
      </w:r>
    </w:p>
    <w:p w:rsidR="00B15054" w:rsidRDefault="00B15054" w:rsidP="00B15054">
      <w:pPr>
        <w:autoSpaceDE w:val="0"/>
        <w:autoSpaceDN w:val="0"/>
        <w:adjustRightInd w:val="0"/>
        <w:spacing w:after="0" w:line="240" w:lineRule="auto"/>
        <w:jc w:val="both"/>
        <w:rPr>
          <w:rFonts w:ascii="Times New Roman" w:hAnsi="Times New Roman" w:cs="Times New Roman"/>
          <w:sz w:val="24"/>
          <w:szCs w:val="24"/>
        </w:rPr>
      </w:pPr>
    </w:p>
    <w:p w:rsidR="003462DF" w:rsidRPr="00812E92" w:rsidRDefault="003462DF" w:rsidP="00B15054">
      <w:pPr>
        <w:pStyle w:val="ListParagraph"/>
        <w:numPr>
          <w:ilvl w:val="0"/>
          <w:numId w:val="26"/>
        </w:numPr>
        <w:spacing w:after="0"/>
        <w:ind w:hanging="720"/>
        <w:jc w:val="both"/>
        <w:rPr>
          <w:rFonts w:ascii="Times New Roman" w:hAnsi="Times New Roman" w:cs="Times New Roman"/>
          <w:b/>
          <w:sz w:val="24"/>
          <w:szCs w:val="24"/>
        </w:rPr>
      </w:pPr>
      <w:r w:rsidRPr="00812E92">
        <w:rPr>
          <w:rFonts w:ascii="Times New Roman" w:hAnsi="Times New Roman" w:cs="Times New Roman"/>
          <w:b/>
          <w:sz w:val="24"/>
          <w:szCs w:val="24"/>
        </w:rPr>
        <w:t>Research Methodology</w:t>
      </w:r>
      <w:r w:rsidR="00812E92">
        <w:rPr>
          <w:rFonts w:ascii="Times New Roman" w:hAnsi="Times New Roman" w:cs="Times New Roman"/>
          <w:b/>
          <w:sz w:val="24"/>
          <w:szCs w:val="24"/>
        </w:rPr>
        <w:t xml:space="preserve"> and Data Source:</w:t>
      </w:r>
    </w:p>
    <w:p w:rsidR="00CA71BB" w:rsidRDefault="0006044F" w:rsidP="00B15054">
      <w:pPr>
        <w:autoSpaceDE w:val="0"/>
        <w:autoSpaceDN w:val="0"/>
        <w:adjustRightInd w:val="0"/>
        <w:spacing w:after="0" w:line="240" w:lineRule="auto"/>
        <w:jc w:val="both"/>
        <w:rPr>
          <w:rFonts w:ascii="Times New Roman" w:hAnsi="Times New Roman" w:cs="Times New Roman"/>
          <w:sz w:val="24"/>
          <w:szCs w:val="24"/>
        </w:rPr>
      </w:pPr>
      <w:r w:rsidRPr="00D448DE">
        <w:rPr>
          <w:rFonts w:ascii="Times New Roman" w:hAnsi="Times New Roman" w:cs="Times New Roman"/>
          <w:sz w:val="24"/>
          <w:szCs w:val="24"/>
        </w:rPr>
        <w:t>The data for the study are secondary data sourced from the Central Bank of Nigeria Statistical Bulletin and National Bureau of statistics (NBS). The work covers the period of 1970-2013.</w:t>
      </w:r>
      <w:r w:rsidR="006E6117" w:rsidRPr="003462DF">
        <w:rPr>
          <w:rFonts w:ascii="Times New Roman" w:hAnsi="Times New Roman" w:cs="Times New Roman"/>
          <w:sz w:val="24"/>
          <w:szCs w:val="24"/>
        </w:rPr>
        <w:t xml:space="preserve">The framework of the study is built on GARCH and EGARCH model and granger causality test. </w:t>
      </w:r>
      <w:r w:rsidR="00FA722A">
        <w:rPr>
          <w:rFonts w:ascii="Times New Roman" w:hAnsi="Times New Roman" w:cs="Times New Roman"/>
          <w:sz w:val="24"/>
          <w:szCs w:val="24"/>
        </w:rPr>
        <w:t xml:space="preserve">According to </w:t>
      </w:r>
      <w:r w:rsidR="00FA722A" w:rsidRPr="00FA722A">
        <w:rPr>
          <w:rFonts w:ascii="Times New Roman" w:hAnsi="Times New Roman" w:cs="Times New Roman"/>
          <w:sz w:val="24"/>
          <w:szCs w:val="24"/>
        </w:rPr>
        <w:t>Brooks (2008), t</w:t>
      </w:r>
      <w:r w:rsidR="00CA71BB" w:rsidRPr="00FA722A">
        <w:rPr>
          <w:rFonts w:ascii="Times New Roman" w:hAnsi="Times New Roman" w:cs="Times New Roman"/>
          <w:sz w:val="24"/>
          <w:szCs w:val="24"/>
        </w:rPr>
        <w:t>he standard GARCH model allows the conditional variance to be dependent upon previous own lags.</w:t>
      </w:r>
      <w:r w:rsidR="00CA71BB" w:rsidRPr="003462DF">
        <w:rPr>
          <w:rFonts w:ascii="Times New Roman" w:hAnsi="Times New Roman" w:cs="Times New Roman"/>
          <w:sz w:val="24"/>
          <w:szCs w:val="24"/>
        </w:rPr>
        <w:t xml:space="preserve"> The basic structure of the symmetric normal GARCH model is GARCH (1, 1) given by </w:t>
      </w:r>
      <w:r w:rsidR="00CA71BB" w:rsidRPr="005704D9">
        <w:rPr>
          <w:rFonts w:ascii="Times New Roman" w:hAnsi="Times New Roman" w:cs="Times New Roman"/>
          <w:sz w:val="24"/>
          <w:szCs w:val="24"/>
        </w:rPr>
        <w:t>Chris Brooks (2008)</w:t>
      </w:r>
      <w:r w:rsidR="00CA71BB" w:rsidRPr="003462DF">
        <w:rPr>
          <w:rFonts w:ascii="Times New Roman" w:hAnsi="Times New Roman" w:cs="Times New Roman"/>
          <w:sz w:val="24"/>
          <w:szCs w:val="24"/>
        </w:rPr>
        <w:t xml:space="preserve">.  </w:t>
      </w:r>
      <w:r w:rsidR="006E6117" w:rsidRPr="003462DF">
        <w:rPr>
          <w:rFonts w:ascii="Times New Roman" w:hAnsi="Times New Roman" w:cs="Times New Roman"/>
          <w:sz w:val="24"/>
          <w:szCs w:val="24"/>
        </w:rPr>
        <w:t xml:space="preserve">The GARCH model is used to measure </w:t>
      </w:r>
      <w:r w:rsidR="00CA71BB" w:rsidRPr="003462DF">
        <w:rPr>
          <w:rFonts w:ascii="Times New Roman" w:hAnsi="Times New Roman" w:cs="Times New Roman"/>
          <w:sz w:val="24"/>
          <w:szCs w:val="24"/>
        </w:rPr>
        <w:t>conditional variance</w:t>
      </w:r>
      <w:r w:rsidR="006E6117" w:rsidRPr="003462DF">
        <w:rPr>
          <w:rFonts w:ascii="Times New Roman" w:hAnsi="Times New Roman" w:cs="Times New Roman"/>
          <w:sz w:val="24"/>
          <w:szCs w:val="24"/>
        </w:rPr>
        <w:t xml:space="preserve"> in oil price and exchange rate dynamic</w:t>
      </w:r>
      <w:r w:rsidR="00CA71BB" w:rsidRPr="003462DF">
        <w:rPr>
          <w:rFonts w:ascii="Times New Roman" w:hAnsi="Times New Roman" w:cs="Times New Roman"/>
          <w:sz w:val="24"/>
          <w:szCs w:val="24"/>
        </w:rPr>
        <w:t xml:space="preserve"> as shown in equation (1) below</w:t>
      </w:r>
      <w:r w:rsidR="006E6117" w:rsidRPr="003462DF">
        <w:rPr>
          <w:rFonts w:ascii="Times New Roman" w:hAnsi="Times New Roman" w:cs="Times New Roman"/>
          <w:sz w:val="24"/>
          <w:szCs w:val="24"/>
        </w:rPr>
        <w:t>, while</w:t>
      </w:r>
      <w:r w:rsidR="00F3390C" w:rsidRPr="003462DF">
        <w:rPr>
          <w:rFonts w:ascii="Times New Roman" w:hAnsi="Times New Roman" w:cs="Times New Roman"/>
          <w:sz w:val="24"/>
          <w:szCs w:val="24"/>
        </w:rPr>
        <w:t xml:space="preserve"> Pair Wise Granger Causality Tests is employed to examine the causal relationship between oil price fluctuation and exchange rate dynamic in Nigeria. </w:t>
      </w:r>
      <w:r w:rsidR="00444680" w:rsidRPr="003462DF">
        <w:rPr>
          <w:rFonts w:ascii="Times New Roman" w:hAnsi="Times New Roman" w:cs="Times New Roman"/>
          <w:sz w:val="24"/>
          <w:szCs w:val="24"/>
        </w:rPr>
        <w:t>Following the approach in Narayan et.al (2008) and Ghosh (2011), the</w:t>
      </w:r>
      <w:r w:rsidR="002F4000" w:rsidRPr="003462DF">
        <w:rPr>
          <w:rFonts w:ascii="Times New Roman" w:hAnsi="Times New Roman" w:cs="Times New Roman"/>
          <w:sz w:val="24"/>
          <w:szCs w:val="24"/>
        </w:rPr>
        <w:t xml:space="preserve"> study</w:t>
      </w:r>
      <w:r w:rsidR="00444680" w:rsidRPr="003462DF">
        <w:rPr>
          <w:rFonts w:ascii="Times New Roman" w:hAnsi="Times New Roman" w:cs="Times New Roman"/>
          <w:sz w:val="24"/>
          <w:szCs w:val="24"/>
        </w:rPr>
        <w:t xml:space="preserve"> </w:t>
      </w:r>
      <w:r w:rsidR="002F4000" w:rsidRPr="003462DF">
        <w:rPr>
          <w:rFonts w:ascii="Times New Roman" w:hAnsi="Times New Roman" w:cs="Times New Roman"/>
          <w:sz w:val="24"/>
          <w:szCs w:val="24"/>
        </w:rPr>
        <w:t>characterize</w:t>
      </w:r>
      <w:r w:rsidR="00444680" w:rsidRPr="003462DF">
        <w:rPr>
          <w:rFonts w:ascii="Times New Roman" w:hAnsi="Times New Roman" w:cs="Times New Roman"/>
          <w:sz w:val="24"/>
          <w:szCs w:val="24"/>
        </w:rPr>
        <w:t xml:space="preserve"> the linkage between oil prices and exchange rate </w:t>
      </w:r>
      <w:r w:rsidR="002F4000" w:rsidRPr="003462DF">
        <w:rPr>
          <w:rFonts w:ascii="Times New Roman" w:hAnsi="Times New Roman" w:cs="Times New Roman"/>
          <w:sz w:val="24"/>
          <w:szCs w:val="24"/>
        </w:rPr>
        <w:t xml:space="preserve">dynamic </w:t>
      </w:r>
      <w:r w:rsidR="00444680" w:rsidRPr="003462DF">
        <w:rPr>
          <w:rFonts w:ascii="Times New Roman" w:hAnsi="Times New Roman" w:cs="Times New Roman"/>
          <w:sz w:val="24"/>
          <w:szCs w:val="24"/>
        </w:rPr>
        <w:t>with the aid of GARCH (p,q) and EGARCH (p,q) models. The mean equation is given by</w:t>
      </w:r>
    </w:p>
    <w:p w:rsidR="00812E92" w:rsidRPr="003462DF" w:rsidRDefault="00812E92" w:rsidP="00503912">
      <w:pPr>
        <w:autoSpaceDE w:val="0"/>
        <w:autoSpaceDN w:val="0"/>
        <w:adjustRightInd w:val="0"/>
        <w:spacing w:after="0" w:line="240" w:lineRule="auto"/>
        <w:jc w:val="both"/>
        <w:rPr>
          <w:rFonts w:ascii="Times New Roman" w:hAnsi="Times New Roman" w:cs="Times New Roman"/>
          <w:sz w:val="24"/>
          <w:szCs w:val="24"/>
        </w:rPr>
      </w:pPr>
    </w:p>
    <w:p w:rsidR="00CA71BB" w:rsidRPr="003462DF" w:rsidRDefault="00503912" w:rsidP="003462DF">
      <w:pPr>
        <w:autoSpaceDE w:val="0"/>
        <w:autoSpaceDN w:val="0"/>
        <w:adjustRightInd w:val="0"/>
        <w:spacing w:after="0" w:line="360" w:lineRule="auto"/>
        <w:jc w:val="both"/>
        <w:rPr>
          <w:rFonts w:ascii="Times New Roman" w:hAnsi="Times New Roman" w:cs="Times New Roman"/>
          <w:sz w:val="24"/>
          <w:szCs w:val="24"/>
        </w:rPr>
      </w:pPr>
      <w:r w:rsidRPr="003462DF">
        <w:rPr>
          <w:rFonts w:ascii="Times New Roman" w:hAnsi="Times New Roman" w:cs="Times New Roman"/>
          <w:position w:val="-12"/>
          <w:sz w:val="24"/>
          <w:szCs w:val="24"/>
        </w:rPr>
        <w:object w:dxaOrig="110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6.5pt" o:ole="">
            <v:imagedata r:id="rId10" o:title=""/>
          </v:shape>
          <o:OLEObject Type="Embed" ProgID="Equation.DSMT4" ShapeID="_x0000_i1025" DrawAspect="Content" ObjectID="_1575414231" r:id="rId11"/>
        </w:object>
      </w:r>
    </w:p>
    <w:p w:rsidR="002F4000" w:rsidRPr="003462DF" w:rsidRDefault="007E6D4C" w:rsidP="00812E92">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w</w:t>
      </w:r>
      <w:r w:rsidR="002F4000" w:rsidRPr="003462DF">
        <w:rPr>
          <w:rFonts w:ascii="Times New Roman" w:hAnsi="Times New Roman" w:cs="Times New Roman"/>
          <w:sz w:val="24"/>
          <w:szCs w:val="24"/>
        </w:rPr>
        <w:t xml:space="preserve">here </w:t>
      </w:r>
      <m:oMath>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r>
              <w:rPr>
                <w:rFonts w:ascii="Cambria Math" w:hAnsi="Times New Roman" w:cs="Times New Roman"/>
                <w:sz w:val="24"/>
                <w:szCs w:val="24"/>
              </w:rPr>
              <m:t xml:space="preserve"> </m:t>
            </m:r>
          </m:sub>
        </m:sSub>
      </m:oMath>
      <w:r w:rsidR="00CF0E3A" w:rsidRPr="003462DF">
        <w:rPr>
          <w:rFonts w:ascii="Times New Roman" w:hAnsi="Times New Roman" w:cs="Times New Roman"/>
          <w:sz w:val="24"/>
          <w:szCs w:val="24"/>
        </w:rPr>
        <w:t>is the white noise residual</w:t>
      </w:r>
      <m:oMath>
        <m:r>
          <w:rPr>
            <w:rFonts w:ascii="Cambria Math" w:hAnsi="Times New Roman" w:cs="Times New Roman"/>
            <w:sz w:val="24"/>
            <w:szCs w:val="24"/>
          </w:rPr>
          <m:t xml:space="preserve"> </m:t>
        </m:r>
        <m:r>
          <w:rPr>
            <w:rFonts w:ascii="Cambria Math" w:hAnsi="Cambria Math" w:cs="Times New Roman"/>
            <w:sz w:val="24"/>
            <w:szCs w:val="24"/>
          </w:rPr>
          <m:t>N</m:t>
        </m:r>
        <m:r>
          <w:rPr>
            <w:rFonts w:ascii="Cambria Math" w:hAnsi="Times New Roman" w:cs="Times New Roman"/>
            <w:sz w:val="24"/>
            <w:szCs w:val="24"/>
          </w:rPr>
          <m:t xml:space="preserve"> (0, </m:t>
        </m:r>
        <m:sSubSup>
          <m:sSubSupPr>
            <m:ctrlPr>
              <w:rPr>
                <w:rFonts w:ascii="Cambria Math" w:hAnsi="Times New Roman"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Times New Roman" w:cs="Times New Roman"/>
                <w:sz w:val="24"/>
                <w:szCs w:val="24"/>
              </w:rPr>
              <m:t>2</m:t>
            </m:r>
          </m:sup>
        </m:sSubSup>
        <m:r>
          <w:rPr>
            <w:rFonts w:ascii="Cambria Math" w:hAnsi="Times New Roman" w:cs="Times New Roman"/>
            <w:sz w:val="24"/>
            <w:szCs w:val="24"/>
          </w:rPr>
          <m:t>)</m:t>
        </m:r>
      </m:oMath>
      <w:r w:rsidR="006F480E" w:rsidRPr="003462DF">
        <w:rPr>
          <w:rFonts w:ascii="Times New Roman" w:eastAsiaTheme="minorEastAsia" w:hAnsi="Times New Roman" w:cs="Times New Roman"/>
          <w:sz w:val="24"/>
          <w:szCs w:val="24"/>
        </w:rPr>
        <w:t xml:space="preserve">. </w:t>
      </w:r>
    </w:p>
    <w:p w:rsidR="006F480E" w:rsidRPr="003462DF" w:rsidRDefault="006F480E" w:rsidP="003462DF">
      <w:pPr>
        <w:autoSpaceDE w:val="0"/>
        <w:autoSpaceDN w:val="0"/>
        <w:adjustRightInd w:val="0"/>
        <w:spacing w:after="0" w:line="360" w:lineRule="auto"/>
        <w:jc w:val="both"/>
        <w:rPr>
          <w:rFonts w:ascii="Times New Roman" w:hAnsi="Times New Roman" w:cs="Times New Roman"/>
          <w:sz w:val="24"/>
          <w:szCs w:val="24"/>
        </w:rPr>
      </w:pPr>
      <w:r w:rsidRPr="003462DF">
        <w:rPr>
          <w:rFonts w:ascii="Times New Roman" w:hAnsi="Times New Roman" w:cs="Times New Roman"/>
          <w:sz w:val="24"/>
          <w:szCs w:val="24"/>
        </w:rPr>
        <w:t>In terms of the second moment, the variance equation for the GARCH (p, q) is of the form</w:t>
      </w:r>
    </w:p>
    <w:p w:rsidR="00CA71BB" w:rsidRPr="003462DF" w:rsidRDefault="00503912" w:rsidP="003462DF">
      <w:pPr>
        <w:autoSpaceDE w:val="0"/>
        <w:autoSpaceDN w:val="0"/>
        <w:adjustRightInd w:val="0"/>
        <w:spacing w:after="0" w:line="360" w:lineRule="auto"/>
        <w:jc w:val="both"/>
        <w:rPr>
          <w:rFonts w:ascii="Times New Roman" w:hAnsi="Times New Roman" w:cs="Times New Roman"/>
          <w:sz w:val="24"/>
          <w:szCs w:val="24"/>
        </w:rPr>
      </w:pPr>
      <w:r w:rsidRPr="003462DF">
        <w:rPr>
          <w:rFonts w:ascii="Times New Roman" w:hAnsi="Times New Roman" w:cs="Times New Roman"/>
          <w:position w:val="-28"/>
          <w:sz w:val="24"/>
          <w:szCs w:val="24"/>
        </w:rPr>
        <w:object w:dxaOrig="11659" w:dyaOrig="680">
          <v:shape id="_x0000_i1026" type="#_x0000_t75" style="width:481.5pt;height:29.25pt" o:ole="">
            <v:imagedata r:id="rId12" o:title=""/>
          </v:shape>
          <o:OLEObject Type="Embed" ProgID="Equation.DSMT4" ShapeID="_x0000_i1026" DrawAspect="Content" ObjectID="_1575414232" r:id="rId13"/>
        </w:object>
      </w:r>
    </w:p>
    <w:p w:rsidR="006F480E" w:rsidRPr="003462DF" w:rsidRDefault="007E6D4C" w:rsidP="00812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CF0E3A" w:rsidRPr="003462DF">
        <w:rPr>
          <w:rFonts w:ascii="Times New Roman" w:hAnsi="Times New Roman" w:cs="Times New Roman"/>
          <w:sz w:val="24"/>
          <w:szCs w:val="24"/>
        </w:rPr>
        <w:t xml:space="preserve">here the conditions </w:t>
      </w:r>
      <m:oMath>
        <m:r>
          <w:rPr>
            <w:rFonts w:ascii="Cambria Math" w:hAnsi="Cambria Math" w:cs="Times New Roman"/>
            <w:sz w:val="24"/>
            <w:szCs w:val="24"/>
          </w:rPr>
          <m:t>θ</m:t>
        </m:r>
        <m:r>
          <w:rPr>
            <w:rFonts w:ascii="Cambria Math" w:hAnsi="Times New Roman" w:cs="Times New Roman"/>
            <w:sz w:val="24"/>
            <w:szCs w:val="24"/>
          </w:rPr>
          <m:t xml:space="preserve">&gt;0, </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Times New Roman" w:cs="Times New Roman"/>
                    <w:sz w:val="24"/>
                    <w:szCs w:val="24"/>
                  </w:rPr>
                  <m:t>1</m:t>
                </m:r>
              </m:sub>
            </m:sSub>
          </m:e>
        </m:d>
        <m:r>
          <w:rPr>
            <w:rFonts w:ascii="Cambria Math" w:hAnsi="Times New Roman" w:cs="Times New Roman"/>
            <w:sz w:val="24"/>
            <w:szCs w:val="24"/>
          </w:rPr>
          <m:t>&lt;1</m:t>
        </m:r>
      </m:oMath>
      <w:r w:rsidR="00CF0E3A" w:rsidRPr="003462DF">
        <w:rPr>
          <w:rFonts w:ascii="Times New Roman" w:hAnsi="Times New Roman" w:cs="Times New Roman"/>
          <w:sz w:val="24"/>
          <w:szCs w:val="24"/>
        </w:rPr>
        <w:t xml:space="preserve">  and </w:t>
      </w:r>
      <m:oMath>
        <m:r>
          <w:rPr>
            <w:rFonts w:ascii="Cambria Math" w:hAnsi="Times New Roman" w:cs="Times New Roman"/>
            <w:sz w:val="24"/>
            <w:szCs w:val="24"/>
          </w:rPr>
          <m:t>(1</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Times New Roman" w:hAnsi="Cambria Math" w:cs="Times New Roman"/>
                <w:sz w:val="24"/>
                <w:szCs w:val="24"/>
              </w:rPr>
              <m:t>∅</m:t>
            </m:r>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Times New Roman" w:cs="Times New Roman"/>
                <w:sz w:val="24"/>
                <w:szCs w:val="24"/>
              </w:rPr>
              <m:t>1</m:t>
            </m:r>
          </m:sub>
        </m:sSub>
        <m:r>
          <w:rPr>
            <w:rFonts w:ascii="Cambria Math" w:eastAsiaTheme="minorEastAsia" w:hAnsi="Times New Roman" w:cs="Times New Roman"/>
            <w:sz w:val="24"/>
            <w:szCs w:val="24"/>
          </w:rPr>
          <m:t>)&gt;1</m:t>
        </m:r>
      </m:oMath>
      <w:r w:rsidR="00CF0E3A" w:rsidRPr="003462DF">
        <w:rPr>
          <w:rFonts w:ascii="Times New Roman" w:hAnsi="Times New Roman" w:cs="Times New Roman"/>
          <w:sz w:val="24"/>
          <w:szCs w:val="24"/>
        </w:rPr>
        <w:t xml:space="preserve"> hold in the case of a GARCH (1, 1) model. Equation (2) expresses the conditional variance as a linear function of p lagged squared disturbances and q lagged conditional variances. In other words, volatility today depends upon the volatilities for the previous q periods and upon the squared residual for the previous p periods. Often GARCH models with small values of p and q do a very good estimate of volatility with the p = q = 1 case sometimes being adequate (Narayan et. al, 2008; Ghosh, 2011).</w:t>
      </w:r>
      <w:r w:rsidR="00983E3E" w:rsidRPr="003462DF">
        <w:rPr>
          <w:rFonts w:ascii="Times New Roman" w:hAnsi="Times New Roman" w:cs="Times New Roman"/>
          <w:sz w:val="24"/>
          <w:szCs w:val="24"/>
        </w:rPr>
        <w:t xml:space="preserve"> </w:t>
      </w:r>
      <w:r w:rsidR="00E84730" w:rsidRPr="003462DF">
        <w:rPr>
          <w:rFonts w:ascii="Times New Roman" w:hAnsi="Times New Roman" w:cs="Times New Roman"/>
          <w:sz w:val="24"/>
          <w:szCs w:val="24"/>
        </w:rPr>
        <w:t xml:space="preserve">However, considering the fact that </w:t>
      </w:r>
      <w:r w:rsidR="00983E3E" w:rsidRPr="003462DF">
        <w:rPr>
          <w:rFonts w:ascii="Times New Roman" w:hAnsi="Times New Roman" w:cs="Times New Roman"/>
          <w:sz w:val="24"/>
          <w:szCs w:val="24"/>
        </w:rPr>
        <w:t xml:space="preserve">GARCH model cannot account for </w:t>
      </w:r>
      <w:r w:rsidR="00141D5A" w:rsidRPr="003462DF">
        <w:rPr>
          <w:rFonts w:ascii="Times New Roman" w:hAnsi="Times New Roman" w:cs="Times New Roman"/>
          <w:sz w:val="24"/>
          <w:szCs w:val="24"/>
        </w:rPr>
        <w:t>size</w:t>
      </w:r>
      <w:r w:rsidR="00983E3E" w:rsidRPr="003462DF">
        <w:rPr>
          <w:rFonts w:ascii="Times New Roman" w:hAnsi="Times New Roman" w:cs="Times New Roman"/>
          <w:sz w:val="24"/>
          <w:szCs w:val="24"/>
        </w:rPr>
        <w:t xml:space="preserve"> effects</w:t>
      </w:r>
      <w:r w:rsidR="00E84730" w:rsidRPr="003462DF">
        <w:rPr>
          <w:rFonts w:ascii="Times New Roman" w:hAnsi="Times New Roman" w:cs="Times New Roman"/>
          <w:sz w:val="24"/>
          <w:szCs w:val="24"/>
        </w:rPr>
        <w:t xml:space="preserve"> and</w:t>
      </w:r>
      <w:r w:rsidR="00983E3E" w:rsidRPr="003462DF">
        <w:rPr>
          <w:rFonts w:ascii="Times New Roman" w:hAnsi="Times New Roman" w:cs="Times New Roman"/>
          <w:sz w:val="24"/>
          <w:szCs w:val="24"/>
        </w:rPr>
        <w:t xml:space="preserve"> does not allow for any direct feedback between the conditional variance and the conditional mean</w:t>
      </w:r>
      <w:r w:rsidR="00E84730" w:rsidRPr="003462DF">
        <w:rPr>
          <w:rFonts w:ascii="Times New Roman" w:hAnsi="Times New Roman" w:cs="Times New Roman"/>
          <w:sz w:val="24"/>
          <w:szCs w:val="24"/>
        </w:rPr>
        <w:t>, exponential GARCH model suggested by Nelson (1991), is introduced</w:t>
      </w:r>
      <w:r w:rsidR="00983E3E" w:rsidRPr="003462DF">
        <w:rPr>
          <w:rFonts w:ascii="Times New Roman" w:hAnsi="Times New Roman" w:cs="Times New Roman"/>
          <w:sz w:val="24"/>
          <w:szCs w:val="24"/>
        </w:rPr>
        <w:t xml:space="preserve"> to </w:t>
      </w:r>
      <w:r w:rsidR="00E84730" w:rsidRPr="003462DF">
        <w:rPr>
          <w:rFonts w:ascii="Times New Roman" w:hAnsi="Times New Roman" w:cs="Times New Roman"/>
          <w:sz w:val="24"/>
          <w:szCs w:val="24"/>
        </w:rPr>
        <w:t>establishment the</w:t>
      </w:r>
      <w:r w:rsidR="00983E3E" w:rsidRPr="003462DF">
        <w:rPr>
          <w:rFonts w:ascii="Times New Roman" w:hAnsi="Times New Roman" w:cs="Times New Roman"/>
          <w:sz w:val="24"/>
          <w:szCs w:val="24"/>
        </w:rPr>
        <w:t xml:space="preserve"> </w:t>
      </w:r>
      <w:r w:rsidR="00141D5A" w:rsidRPr="003462DF">
        <w:rPr>
          <w:rFonts w:ascii="Times New Roman" w:hAnsi="Times New Roman" w:cs="Times New Roman"/>
          <w:sz w:val="24"/>
          <w:szCs w:val="24"/>
        </w:rPr>
        <w:t>size</w:t>
      </w:r>
      <w:r w:rsidR="00983E3E" w:rsidRPr="003462DF">
        <w:rPr>
          <w:rFonts w:ascii="Times New Roman" w:hAnsi="Times New Roman" w:cs="Times New Roman"/>
          <w:sz w:val="24"/>
          <w:szCs w:val="24"/>
        </w:rPr>
        <w:t xml:space="preserve"> effect of </w:t>
      </w:r>
      <w:r w:rsidR="00141D5A" w:rsidRPr="003462DF">
        <w:rPr>
          <w:rFonts w:ascii="Times New Roman" w:hAnsi="Times New Roman" w:cs="Times New Roman"/>
          <w:sz w:val="24"/>
          <w:szCs w:val="24"/>
        </w:rPr>
        <w:t xml:space="preserve">oil price fluctuation on </w:t>
      </w:r>
      <w:r w:rsidR="00983E3E" w:rsidRPr="003462DF">
        <w:rPr>
          <w:rFonts w:ascii="Times New Roman" w:hAnsi="Times New Roman" w:cs="Times New Roman"/>
          <w:sz w:val="24"/>
          <w:szCs w:val="24"/>
        </w:rPr>
        <w:t>exchange rate dynamic in Nigeria</w:t>
      </w:r>
      <w:r w:rsidR="00E84730" w:rsidRPr="003462DF">
        <w:rPr>
          <w:rFonts w:ascii="Times New Roman" w:hAnsi="Times New Roman" w:cs="Times New Roman"/>
          <w:sz w:val="24"/>
          <w:szCs w:val="24"/>
        </w:rPr>
        <w:t>.</w:t>
      </w:r>
    </w:p>
    <w:p w:rsidR="00A823D0" w:rsidRPr="003462DF" w:rsidRDefault="00A823D0" w:rsidP="0006044F">
      <w:pPr>
        <w:autoSpaceDE w:val="0"/>
        <w:autoSpaceDN w:val="0"/>
        <w:adjustRightInd w:val="0"/>
        <w:spacing w:after="0" w:line="240" w:lineRule="auto"/>
        <w:jc w:val="both"/>
        <w:rPr>
          <w:rFonts w:ascii="Times New Roman" w:hAnsi="Times New Roman" w:cs="Times New Roman"/>
          <w:sz w:val="24"/>
          <w:szCs w:val="24"/>
        </w:rPr>
      </w:pPr>
    </w:p>
    <w:p w:rsidR="00A823D0" w:rsidRPr="003462DF" w:rsidRDefault="00A823D0" w:rsidP="003462DF">
      <w:pPr>
        <w:autoSpaceDE w:val="0"/>
        <w:autoSpaceDN w:val="0"/>
        <w:adjustRightInd w:val="0"/>
        <w:spacing w:after="0" w:line="360" w:lineRule="auto"/>
        <w:jc w:val="both"/>
        <w:rPr>
          <w:rFonts w:ascii="Times New Roman" w:hAnsi="Times New Roman" w:cs="Times New Roman"/>
          <w:sz w:val="24"/>
          <w:szCs w:val="24"/>
        </w:rPr>
      </w:pPr>
      <w:r w:rsidRPr="003462DF">
        <w:rPr>
          <w:rFonts w:ascii="Times New Roman" w:hAnsi="Times New Roman" w:cs="Times New Roman"/>
          <w:sz w:val="24"/>
          <w:szCs w:val="24"/>
        </w:rPr>
        <w:lastRenderedPageBreak/>
        <w:t>Similarly, the EGARCH model which allow for oscillation in the conditional variance can be written as</w:t>
      </w:r>
    </w:p>
    <w:p w:rsidR="005C3E43" w:rsidRPr="003462DF" w:rsidRDefault="00503912" w:rsidP="003462DF">
      <w:pPr>
        <w:autoSpaceDE w:val="0"/>
        <w:autoSpaceDN w:val="0"/>
        <w:adjustRightInd w:val="0"/>
        <w:spacing w:after="0" w:line="360" w:lineRule="auto"/>
        <w:jc w:val="both"/>
        <w:rPr>
          <w:rFonts w:ascii="Times New Roman" w:hAnsi="Times New Roman" w:cs="Times New Roman"/>
          <w:sz w:val="24"/>
          <w:szCs w:val="24"/>
        </w:rPr>
      </w:pPr>
      <w:r w:rsidRPr="003462DF">
        <w:rPr>
          <w:rFonts w:ascii="Times New Roman" w:hAnsi="Times New Roman" w:cs="Times New Roman"/>
          <w:position w:val="-32"/>
          <w:sz w:val="24"/>
          <w:szCs w:val="24"/>
        </w:rPr>
        <w:object w:dxaOrig="14140" w:dyaOrig="760">
          <v:shape id="_x0000_i1027" type="#_x0000_t75" style="width:481.5pt;height:27pt" o:ole="">
            <v:imagedata r:id="rId14" o:title=""/>
          </v:shape>
          <o:OLEObject Type="Embed" ProgID="Equation.DSMT4" ShapeID="_x0000_i1027" DrawAspect="Content" ObjectID="_1575414233" r:id="rId15"/>
        </w:object>
      </w:r>
    </w:p>
    <w:p w:rsidR="00013120" w:rsidRDefault="00013120" w:rsidP="00812E92">
      <w:pPr>
        <w:autoSpaceDE w:val="0"/>
        <w:autoSpaceDN w:val="0"/>
        <w:adjustRightInd w:val="0"/>
        <w:spacing w:after="0" w:line="240" w:lineRule="auto"/>
        <w:jc w:val="both"/>
        <w:rPr>
          <w:rFonts w:ascii="Times New Roman" w:hAnsi="Times New Roman" w:cs="Times New Roman"/>
          <w:sz w:val="24"/>
          <w:szCs w:val="24"/>
        </w:rPr>
      </w:pPr>
      <w:r w:rsidRPr="003462DF">
        <w:rPr>
          <w:rFonts w:ascii="Times New Roman" w:hAnsi="Times New Roman" w:cs="Times New Roman"/>
          <w:sz w:val="24"/>
          <w:szCs w:val="24"/>
        </w:rPr>
        <w:t xml:space="preserve">The parameters of </w:t>
      </w:r>
      <w:r w:rsidR="00D03B26" w:rsidRPr="003462DF">
        <w:rPr>
          <w:rFonts w:ascii="Times New Roman" w:hAnsi="Times New Roman" w:cs="Times New Roman"/>
          <w:sz w:val="24"/>
          <w:szCs w:val="24"/>
        </w:rPr>
        <w:t xml:space="preserve">equation </w:t>
      </w:r>
      <w:r w:rsidRPr="003462DF">
        <w:rPr>
          <w:rFonts w:ascii="Times New Roman" w:hAnsi="Times New Roman" w:cs="Times New Roman"/>
          <w:sz w:val="24"/>
          <w:szCs w:val="24"/>
        </w:rPr>
        <w:t>(</w:t>
      </w:r>
      <w:r w:rsidR="006E60B6" w:rsidRPr="003462DF">
        <w:rPr>
          <w:rFonts w:ascii="Times New Roman" w:hAnsi="Times New Roman" w:cs="Times New Roman"/>
          <w:sz w:val="24"/>
          <w:szCs w:val="24"/>
        </w:rPr>
        <w:t>3</w:t>
      </w:r>
      <w:r w:rsidRPr="003462DF">
        <w:rPr>
          <w:rFonts w:ascii="Times New Roman" w:hAnsi="Times New Roman" w:cs="Times New Roman"/>
          <w:sz w:val="24"/>
          <w:szCs w:val="24"/>
        </w:rPr>
        <w:t>) include the mean of the volatility equation, the size effect (</w:t>
      </w:r>
      <m:oMath>
        <m:r>
          <w:rPr>
            <w:rFonts w:ascii="Cambria Math" w:hAnsi="Cambria Math" w:cs="Times New Roman"/>
            <w:sz w:val="24"/>
            <w:szCs w:val="24"/>
          </w:rPr>
          <m:t>α</m:t>
        </m:r>
      </m:oMath>
      <w:r w:rsidRPr="003462DF">
        <w:rPr>
          <w:rFonts w:ascii="Times New Roman" w:hAnsi="Times New Roman" w:cs="Times New Roman"/>
          <w:sz w:val="24"/>
          <w:szCs w:val="24"/>
        </w:rPr>
        <w:t xml:space="preserve">) which is suggestive of the magnitude of the increase in volatility regardless of the direction of shock. The estimate of </w:t>
      </w:r>
      <m:oMath>
        <m:r>
          <w:rPr>
            <w:rFonts w:ascii="Cambria Math" w:hAnsi="Cambria Math" w:cs="Times New Roman"/>
            <w:sz w:val="24"/>
            <w:szCs w:val="24"/>
          </w:rPr>
          <m:t>β</m:t>
        </m:r>
      </m:oMath>
      <w:r w:rsidR="006E60B6" w:rsidRPr="003462DF">
        <w:rPr>
          <w:rFonts w:ascii="Times New Roman" w:eastAsiaTheme="minorEastAsia" w:hAnsi="Times New Roman" w:cs="Times New Roman"/>
          <w:sz w:val="24"/>
          <w:szCs w:val="24"/>
        </w:rPr>
        <w:t xml:space="preserve"> </w:t>
      </w:r>
      <w:r w:rsidRPr="003462DF">
        <w:rPr>
          <w:rFonts w:ascii="Times New Roman" w:hAnsi="Times New Roman" w:cs="Times New Roman"/>
          <w:sz w:val="24"/>
          <w:szCs w:val="24"/>
        </w:rPr>
        <w:t xml:space="preserve">captures the persistence of shocks and </w:t>
      </w:r>
      <w:r w:rsidR="006E60B6" w:rsidRPr="003462DF">
        <w:rPr>
          <w:rFonts w:ascii="Times New Roman" w:hAnsi="Times New Roman" w:cs="Times New Roman"/>
          <w:sz w:val="24"/>
          <w:szCs w:val="24"/>
        </w:rPr>
        <w:t xml:space="preserve">λ </w:t>
      </w:r>
      <w:r w:rsidRPr="003462DF">
        <w:rPr>
          <w:rFonts w:ascii="Times New Roman" w:hAnsi="Times New Roman" w:cs="Times New Roman"/>
          <w:sz w:val="24"/>
          <w:szCs w:val="24"/>
        </w:rPr>
        <w:t>is the sign effect.</w:t>
      </w:r>
      <w:r w:rsidR="00141D5A" w:rsidRPr="003462DF">
        <w:rPr>
          <w:rFonts w:ascii="Times New Roman" w:hAnsi="Times New Roman" w:cs="Times New Roman"/>
          <w:sz w:val="24"/>
          <w:szCs w:val="24"/>
        </w:rPr>
        <w:t xml:space="preserve"> In addition, to trace the impact of oil price fluctuation and exchange rate dynamic on</w:t>
      </w:r>
      <w:r w:rsidR="00A80531" w:rsidRPr="003462DF">
        <w:rPr>
          <w:rFonts w:ascii="Times New Roman" w:hAnsi="Times New Roman" w:cs="Times New Roman"/>
          <w:sz w:val="24"/>
          <w:szCs w:val="24"/>
        </w:rPr>
        <w:t xml:space="preserve"> economic growth, the model in equation (4) </w:t>
      </w:r>
      <w:r w:rsidR="00D03B26" w:rsidRPr="003462DF">
        <w:rPr>
          <w:rFonts w:ascii="Times New Roman" w:hAnsi="Times New Roman" w:cs="Times New Roman"/>
          <w:sz w:val="24"/>
          <w:szCs w:val="24"/>
        </w:rPr>
        <w:t xml:space="preserve">below </w:t>
      </w:r>
      <w:r w:rsidR="00A80531" w:rsidRPr="003462DF">
        <w:rPr>
          <w:rFonts w:ascii="Times New Roman" w:hAnsi="Times New Roman" w:cs="Times New Roman"/>
          <w:sz w:val="24"/>
          <w:szCs w:val="24"/>
        </w:rPr>
        <w:t>is adopted.</w:t>
      </w:r>
      <w:r w:rsidR="00141D5A" w:rsidRPr="003462DF">
        <w:rPr>
          <w:rFonts w:ascii="Times New Roman" w:hAnsi="Times New Roman" w:cs="Times New Roman"/>
          <w:sz w:val="24"/>
          <w:szCs w:val="24"/>
        </w:rPr>
        <w:t xml:space="preserve"> </w:t>
      </w:r>
    </w:p>
    <w:p w:rsidR="00812E92" w:rsidRPr="003462DF" w:rsidRDefault="00812E92" w:rsidP="00812E92">
      <w:pPr>
        <w:autoSpaceDE w:val="0"/>
        <w:autoSpaceDN w:val="0"/>
        <w:adjustRightInd w:val="0"/>
        <w:spacing w:after="0" w:line="240" w:lineRule="auto"/>
        <w:jc w:val="both"/>
        <w:rPr>
          <w:rFonts w:ascii="Times New Roman" w:hAnsi="Times New Roman" w:cs="Times New Roman"/>
          <w:sz w:val="24"/>
          <w:szCs w:val="24"/>
        </w:rPr>
      </w:pPr>
    </w:p>
    <w:p w:rsidR="00141D5A" w:rsidRPr="003462DF" w:rsidRDefault="00503912" w:rsidP="003462DF">
      <w:pPr>
        <w:autoSpaceDE w:val="0"/>
        <w:autoSpaceDN w:val="0"/>
        <w:adjustRightInd w:val="0"/>
        <w:spacing w:after="0" w:line="360" w:lineRule="auto"/>
        <w:jc w:val="both"/>
        <w:rPr>
          <w:rFonts w:ascii="Times New Roman" w:hAnsi="Times New Roman" w:cs="Times New Roman"/>
          <w:sz w:val="24"/>
          <w:szCs w:val="24"/>
        </w:rPr>
      </w:pPr>
      <w:r w:rsidRPr="003462DF">
        <w:rPr>
          <w:rFonts w:ascii="Times New Roman" w:hAnsi="Times New Roman" w:cs="Times New Roman"/>
          <w:position w:val="-14"/>
          <w:sz w:val="24"/>
          <w:szCs w:val="24"/>
        </w:rPr>
        <w:object w:dxaOrig="11420" w:dyaOrig="400">
          <v:shape id="_x0000_i1028" type="#_x0000_t75" style="width:481.5pt;height:17.25pt" o:ole="">
            <v:imagedata r:id="rId16" o:title=""/>
          </v:shape>
          <o:OLEObject Type="Embed" ProgID="Equation.DSMT4" ShapeID="_x0000_i1028" DrawAspect="Content" ObjectID="_1575414234" r:id="rId17"/>
        </w:object>
      </w:r>
    </w:p>
    <w:p w:rsidR="007E6D4C" w:rsidRPr="007E6D4C" w:rsidRDefault="007E6D4C" w:rsidP="007E6D4C">
      <w:pPr>
        <w:autoSpaceDE w:val="0"/>
        <w:autoSpaceDN w:val="0"/>
        <w:adjustRightInd w:val="0"/>
        <w:spacing w:after="0" w:line="240" w:lineRule="auto"/>
        <w:jc w:val="both"/>
        <w:rPr>
          <w:rFonts w:ascii="Times New Roman" w:hAnsi="Times New Roman" w:cs="Times New Roman"/>
          <w:sz w:val="6"/>
          <w:szCs w:val="24"/>
        </w:rPr>
      </w:pPr>
    </w:p>
    <w:p w:rsidR="005D60D5" w:rsidRDefault="007E6D4C" w:rsidP="007E6D4C">
      <w:pPr>
        <w:autoSpaceDE w:val="0"/>
        <w:autoSpaceDN w:val="0"/>
        <w:adjustRightInd w:val="0"/>
        <w:spacing w:after="0"/>
        <w:jc w:val="both"/>
        <w:rPr>
          <w:rFonts w:ascii="Times New Roman" w:eastAsiaTheme="minorEastAsia" w:hAnsi="Times New Roman" w:cs="Times New Roman"/>
          <w:sz w:val="24"/>
          <w:szCs w:val="24"/>
        </w:rPr>
      </w:pPr>
      <w:r>
        <w:rPr>
          <w:rFonts w:ascii="Times New Roman" w:hAnsi="Times New Roman" w:cs="Times New Roman"/>
          <w:sz w:val="24"/>
          <w:szCs w:val="24"/>
        </w:rPr>
        <w:t>w</w:t>
      </w:r>
      <w:r w:rsidR="00A80531" w:rsidRPr="003462DF">
        <w:rPr>
          <w:rFonts w:ascii="Times New Roman" w:hAnsi="Times New Roman" w:cs="Times New Roman"/>
          <w:sz w:val="24"/>
          <w:szCs w:val="24"/>
        </w:rPr>
        <w:t>here</w:t>
      </w:r>
      <w:r w:rsidR="00FB4A42" w:rsidRPr="003462DF">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Rgdp</m:t>
            </m:r>
          </m:e>
          <m:sub>
            <m:r>
              <w:rPr>
                <w:rFonts w:ascii="Cambria Math" w:hAnsi="Cambria Math" w:cs="Times New Roman"/>
                <w:sz w:val="24"/>
                <w:szCs w:val="24"/>
              </w:rPr>
              <m:t>t</m:t>
            </m:r>
          </m:sub>
        </m:sSub>
        <m:r>
          <w:rPr>
            <w:rFonts w:ascii="Cambria Math" w:hAnsi="Times New Roman" w:cs="Times New Roman"/>
            <w:sz w:val="24"/>
            <w:szCs w:val="24"/>
          </w:rPr>
          <m:t xml:space="preserve"> </m:t>
        </m:r>
      </m:oMath>
      <w:r w:rsidR="00FB4A42" w:rsidRPr="003462DF">
        <w:rPr>
          <w:rFonts w:ascii="Times New Roman" w:eastAsiaTheme="minorEastAsia" w:hAnsi="Times New Roman" w:cs="Times New Roman"/>
          <w:sz w:val="24"/>
          <w:szCs w:val="24"/>
        </w:rPr>
        <w:t xml:space="preserve">, </w:t>
      </w:r>
      <w:r w:rsidR="00875734" w:rsidRPr="003462DF">
        <w:rPr>
          <w:rFonts w:ascii="Times New Roman" w:eastAsiaTheme="minorEastAsia" w:hAnsi="Times New Roman" w:cs="Times New Roman"/>
          <w:sz w:val="24"/>
          <w:szCs w:val="24"/>
        </w:rPr>
        <w:t xml:space="preserve">is the real gross domestic product which measures the </w:t>
      </w:r>
      <w:r w:rsidR="00875734" w:rsidRPr="003462DF">
        <w:rPr>
          <w:rFonts w:ascii="Times New Roman" w:hAnsi="Times New Roman" w:cs="Times New Roman"/>
          <w:sz w:val="24"/>
          <w:szCs w:val="24"/>
        </w:rPr>
        <w:t>market value of goods and services produced in a country within a period of time</w:t>
      </w:r>
      <w:r w:rsidR="00875734" w:rsidRPr="003462DF">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Opr</m:t>
            </m:r>
          </m:e>
          <m:sub>
            <m:r>
              <w:rPr>
                <w:rFonts w:ascii="Cambria Math" w:eastAsiaTheme="minorEastAsia" w:hAnsi="Cambria Math" w:cs="Times New Roman"/>
                <w:sz w:val="24"/>
                <w:szCs w:val="24"/>
              </w:rPr>
              <m:t>t</m:t>
            </m:r>
          </m:sub>
        </m:sSub>
      </m:oMath>
      <w:r w:rsidR="00FB4A42" w:rsidRPr="003462DF">
        <w:rPr>
          <w:rFonts w:ascii="Times New Roman" w:eastAsiaTheme="minorEastAsia" w:hAnsi="Times New Roman" w:cs="Times New Roman"/>
          <w:sz w:val="24"/>
          <w:szCs w:val="24"/>
        </w:rPr>
        <w:t>,</w:t>
      </w:r>
      <w:r w:rsidR="00875734" w:rsidRPr="003462DF">
        <w:rPr>
          <w:rFonts w:ascii="Times New Roman" w:eastAsiaTheme="minorEastAsia" w:hAnsi="Times New Roman" w:cs="Times New Roman"/>
          <w:sz w:val="24"/>
          <w:szCs w:val="24"/>
        </w:rPr>
        <w:t xml:space="preserve"> is the oil price </w:t>
      </w:r>
      <w:r w:rsidR="00FB4A42" w:rsidRPr="003462DF">
        <w:rPr>
          <w:rFonts w:ascii="Times New Roman" w:eastAsiaTheme="minorEastAsia" w:hAnsi="Times New Roman" w:cs="Times New Roman"/>
          <w:sz w:val="24"/>
          <w:szCs w:val="24"/>
        </w:rPr>
        <w:t>which</w:t>
      </w:r>
      <w:r w:rsidR="00875734" w:rsidRPr="003462DF">
        <w:rPr>
          <w:rFonts w:ascii="Times New Roman" w:eastAsiaTheme="minorEastAsia" w:hAnsi="Times New Roman" w:cs="Times New Roman"/>
          <w:sz w:val="24"/>
          <w:szCs w:val="24"/>
        </w:rPr>
        <w:t xml:space="preserve"> measures</w:t>
      </w:r>
      <w:r w:rsidR="00FB4A42" w:rsidRPr="003462DF">
        <w:rPr>
          <w:rFonts w:ascii="Times New Roman" w:eastAsiaTheme="minorEastAsia" w:hAnsi="Times New Roman" w:cs="Times New Roman"/>
          <w:sz w:val="24"/>
          <w:szCs w:val="24"/>
        </w:rPr>
        <w:t xml:space="preserve"> the price of oil in the international market.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Rexr</m:t>
            </m:r>
          </m:e>
          <m:sub>
            <m:r>
              <w:rPr>
                <w:rFonts w:ascii="Cambria Math" w:eastAsiaTheme="minorEastAsia" w:hAnsi="Cambria Math" w:cs="Times New Roman"/>
                <w:sz w:val="24"/>
                <w:szCs w:val="24"/>
              </w:rPr>
              <m:t>t</m:t>
            </m:r>
          </m:sub>
        </m:sSub>
      </m:oMath>
      <w:r w:rsidR="00FB4A42" w:rsidRPr="003462DF">
        <w:rPr>
          <w:rFonts w:ascii="Times New Roman" w:eastAsiaTheme="minorEastAsia" w:hAnsi="Times New Roman" w:cs="Times New Roman"/>
          <w:sz w:val="24"/>
          <w:szCs w:val="24"/>
        </w:rPr>
        <w:t xml:space="preserve"> is the real exchange rate. This measures the rate at which </w:t>
      </w:r>
      <w:r w:rsidR="00FB4A42" w:rsidRPr="003462DF">
        <w:rPr>
          <w:rFonts w:ascii="Times New Roman" w:hAnsi="Times New Roman" w:cs="Times New Roman"/>
          <w:sz w:val="24"/>
          <w:szCs w:val="24"/>
        </w:rPr>
        <w:t xml:space="preserve">a country’s currency exchanged for another. Hence, this study looks at the rate at which naira exchange for US Dollar. However, </w:t>
      </w:r>
      <m:oMath>
        <m:nary>
          <m:naryPr>
            <m:chr m:val="∑"/>
            <m:limLoc m:val="undOvr"/>
            <m:subHide m:val="on"/>
            <m:supHide m:val="on"/>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t</m:t>
                </m:r>
              </m:sub>
            </m:sSub>
          </m:e>
        </m:nary>
      </m:oMath>
      <w:r w:rsidR="00FB4A42" w:rsidRPr="003462DF">
        <w:rPr>
          <w:rFonts w:ascii="Times New Roman" w:eastAsiaTheme="minorEastAsia" w:hAnsi="Times New Roman" w:cs="Times New Roman"/>
          <w:sz w:val="24"/>
          <w:szCs w:val="24"/>
        </w:rPr>
        <w:t xml:space="preserve"> is the vector of control variables such as foreign direct investment</w:t>
      </w:r>
      <w:r w:rsidR="00A75AF8" w:rsidRPr="003462DF">
        <w:rPr>
          <w:rFonts w:ascii="Times New Roman" w:eastAsiaTheme="minorEastAsia" w:hAnsi="Times New Roman" w:cs="Times New Roman"/>
          <w:sz w:val="24"/>
          <w:szCs w:val="24"/>
        </w:rPr>
        <w:t xml:space="preserve"> (</w:t>
      </w:r>
      <w:r w:rsidR="00A75AF8" w:rsidRPr="003462DF">
        <w:rPr>
          <w:rFonts w:ascii="Times New Roman" w:eastAsiaTheme="minorEastAsia" w:hAnsi="Times New Roman" w:cs="Times New Roman"/>
          <w:i/>
          <w:sz w:val="24"/>
          <w:szCs w:val="24"/>
        </w:rPr>
        <w:t>Fdi</w:t>
      </w:r>
      <w:r w:rsidR="00A75AF8" w:rsidRPr="003462DF">
        <w:rPr>
          <w:rFonts w:ascii="Times New Roman" w:eastAsiaTheme="minorEastAsia" w:hAnsi="Times New Roman" w:cs="Times New Roman"/>
          <w:sz w:val="24"/>
          <w:szCs w:val="24"/>
        </w:rPr>
        <w:t>)</w:t>
      </w:r>
      <w:r w:rsidR="00FB4A42" w:rsidRPr="003462DF">
        <w:rPr>
          <w:rFonts w:ascii="Times New Roman" w:eastAsiaTheme="minorEastAsia" w:hAnsi="Times New Roman" w:cs="Times New Roman"/>
          <w:sz w:val="24"/>
          <w:szCs w:val="24"/>
        </w:rPr>
        <w:t>, external debt</w:t>
      </w:r>
      <w:r w:rsidR="00A75AF8" w:rsidRPr="003462DF">
        <w:rPr>
          <w:rFonts w:ascii="Times New Roman" w:eastAsiaTheme="minorEastAsia" w:hAnsi="Times New Roman" w:cs="Times New Roman"/>
          <w:sz w:val="24"/>
          <w:szCs w:val="24"/>
        </w:rPr>
        <w:t xml:space="preserve"> (</w:t>
      </w:r>
      <w:r w:rsidR="00A75AF8" w:rsidRPr="003462DF">
        <w:rPr>
          <w:rFonts w:ascii="Times New Roman" w:eastAsiaTheme="minorEastAsia" w:hAnsi="Times New Roman" w:cs="Times New Roman"/>
          <w:i/>
          <w:sz w:val="24"/>
          <w:szCs w:val="24"/>
        </w:rPr>
        <w:t>Exdt</w:t>
      </w:r>
      <w:r w:rsidR="00A75AF8" w:rsidRPr="003462DF">
        <w:rPr>
          <w:rFonts w:ascii="Times New Roman" w:eastAsiaTheme="minorEastAsia" w:hAnsi="Times New Roman" w:cs="Times New Roman"/>
          <w:sz w:val="24"/>
          <w:szCs w:val="24"/>
        </w:rPr>
        <w:t>)</w:t>
      </w:r>
      <w:r w:rsidR="00FB4A42" w:rsidRPr="003462DF">
        <w:rPr>
          <w:rFonts w:ascii="Times New Roman" w:eastAsiaTheme="minorEastAsia" w:hAnsi="Times New Roman" w:cs="Times New Roman"/>
          <w:sz w:val="24"/>
          <w:szCs w:val="24"/>
        </w:rPr>
        <w:t>, inflation</w:t>
      </w:r>
      <w:r w:rsidR="00A75AF8" w:rsidRPr="003462DF">
        <w:rPr>
          <w:rFonts w:ascii="Times New Roman" w:eastAsiaTheme="minorEastAsia" w:hAnsi="Times New Roman" w:cs="Times New Roman"/>
          <w:sz w:val="24"/>
          <w:szCs w:val="24"/>
        </w:rPr>
        <w:t xml:space="preserve"> (</w:t>
      </w:r>
      <w:r w:rsidR="00A75AF8" w:rsidRPr="003462DF">
        <w:rPr>
          <w:rFonts w:ascii="Times New Roman" w:eastAsiaTheme="minorEastAsia" w:hAnsi="Times New Roman" w:cs="Times New Roman"/>
          <w:i/>
          <w:sz w:val="24"/>
          <w:szCs w:val="24"/>
        </w:rPr>
        <w:t>Inf</w:t>
      </w:r>
      <w:r w:rsidR="00A75AF8" w:rsidRPr="003462DF">
        <w:rPr>
          <w:rFonts w:ascii="Times New Roman" w:eastAsiaTheme="minorEastAsia" w:hAnsi="Times New Roman" w:cs="Times New Roman"/>
          <w:sz w:val="24"/>
          <w:szCs w:val="24"/>
        </w:rPr>
        <w:t>)</w:t>
      </w:r>
      <w:r w:rsidR="00FB4A42" w:rsidRPr="003462DF">
        <w:rPr>
          <w:rFonts w:ascii="Times New Roman" w:eastAsiaTheme="minorEastAsia" w:hAnsi="Times New Roman" w:cs="Times New Roman"/>
          <w:sz w:val="24"/>
          <w:szCs w:val="24"/>
        </w:rPr>
        <w:t xml:space="preserve"> and real interest rate</w:t>
      </w:r>
      <w:r w:rsidR="00A75AF8" w:rsidRPr="003462DF">
        <w:rPr>
          <w:rFonts w:ascii="Times New Roman" w:eastAsiaTheme="minorEastAsia" w:hAnsi="Times New Roman" w:cs="Times New Roman"/>
          <w:sz w:val="24"/>
          <w:szCs w:val="24"/>
        </w:rPr>
        <w:t xml:space="preserve"> (</w:t>
      </w:r>
      <w:r w:rsidR="00A75AF8" w:rsidRPr="003462DF">
        <w:rPr>
          <w:rFonts w:ascii="Times New Roman" w:eastAsiaTheme="minorEastAsia" w:hAnsi="Times New Roman" w:cs="Times New Roman"/>
          <w:i/>
          <w:sz w:val="24"/>
          <w:szCs w:val="24"/>
        </w:rPr>
        <w:t>Rintr</w:t>
      </w:r>
      <w:r w:rsidR="00A75AF8" w:rsidRPr="003462DF">
        <w:rPr>
          <w:rFonts w:ascii="Times New Roman" w:eastAsiaTheme="minorEastAsia" w:hAnsi="Times New Roman" w:cs="Times New Roman"/>
          <w:sz w:val="24"/>
          <w:szCs w:val="24"/>
        </w:rPr>
        <w:t>)</w:t>
      </w:r>
      <w:r w:rsidR="00FB4A42" w:rsidRPr="003462DF">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β</m:t>
            </m:r>
          </m:e>
          <m:sub>
            <m:r>
              <w:rPr>
                <w:rFonts w:ascii="Cambria Math" w:hAnsi="Times New Roman" w:cs="Times New Roman"/>
                <w:sz w:val="24"/>
                <w:szCs w:val="24"/>
              </w:rPr>
              <m:t>1</m:t>
            </m:r>
          </m:sub>
        </m:sSub>
        <m:r>
          <w:rPr>
            <w:rFonts w:ascii="Cambria Math" w:hAnsi="Times New Roman" w:cs="Times New Roman"/>
            <w:sz w:val="24"/>
            <w:szCs w:val="24"/>
          </w:rPr>
          <m:t xml:space="preserve"> </m:t>
        </m:r>
        <m:r>
          <w:rPr>
            <w:rFonts w:ascii="Cambria Math" w:hAnsi="Cambria Math" w:cs="Times New Roman"/>
            <w:sz w:val="24"/>
            <w:szCs w:val="24"/>
          </w:rPr>
          <m:t>and</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oMath>
      <w:r w:rsidR="004477EF" w:rsidRPr="003462DF">
        <w:rPr>
          <w:rFonts w:ascii="Times New Roman" w:eastAsiaTheme="minorEastAsia" w:hAnsi="Times New Roman" w:cs="Times New Roman"/>
          <w:sz w:val="24"/>
          <w:szCs w:val="24"/>
        </w:rPr>
        <w:t xml:space="preserve"> </w:t>
      </w:r>
      <w:r w:rsidR="005D60D5" w:rsidRPr="003462DF">
        <w:rPr>
          <w:rFonts w:ascii="Times New Roman" w:eastAsiaTheme="minorEastAsia" w:hAnsi="Times New Roman" w:cs="Times New Roman"/>
          <w:sz w:val="24"/>
          <w:szCs w:val="24"/>
        </w:rPr>
        <w:t>are the coefficients</w:t>
      </w:r>
      <w:r w:rsidR="004477EF" w:rsidRPr="003462DF">
        <w:rPr>
          <w:rFonts w:ascii="Times New Roman" w:eastAsiaTheme="minorEastAsia" w:hAnsi="Times New Roman" w:cs="Times New Roman"/>
          <w:sz w:val="24"/>
          <w:szCs w:val="24"/>
        </w:rPr>
        <w:t xml:space="preserve"> of the explanatory variables and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3</m:t>
            </m:r>
          </m:sub>
        </m:sSub>
      </m:oMath>
      <w:r w:rsidR="004477EF" w:rsidRPr="003462DF">
        <w:rPr>
          <w:rFonts w:ascii="Times New Roman" w:eastAsiaTheme="minorEastAsia" w:hAnsi="Times New Roman" w:cs="Times New Roman"/>
          <w:sz w:val="24"/>
          <w:szCs w:val="24"/>
        </w:rPr>
        <w:t xml:space="preserve"> is the </w:t>
      </w:r>
      <w:r w:rsidR="00A75AF8" w:rsidRPr="003462DF">
        <w:rPr>
          <w:rFonts w:ascii="Times New Roman" w:eastAsiaTheme="minorEastAsia" w:hAnsi="Times New Roman" w:cs="Times New Roman"/>
          <w:sz w:val="24"/>
          <w:szCs w:val="24"/>
        </w:rPr>
        <w:t>coefficients</w:t>
      </w:r>
      <w:r w:rsidR="004477EF" w:rsidRPr="003462DF">
        <w:rPr>
          <w:rFonts w:ascii="Times New Roman" w:eastAsiaTheme="minorEastAsia" w:hAnsi="Times New Roman" w:cs="Times New Roman"/>
          <w:sz w:val="24"/>
          <w:szCs w:val="24"/>
        </w:rPr>
        <w:t xml:space="preserve"> of </w:t>
      </w:r>
      <w:r w:rsidR="00FB4A42" w:rsidRPr="003462DF">
        <w:rPr>
          <w:rFonts w:ascii="Times New Roman" w:eastAsiaTheme="minorEastAsia" w:hAnsi="Times New Roman" w:cs="Times New Roman"/>
          <w:sz w:val="24"/>
          <w:szCs w:val="24"/>
        </w:rPr>
        <w:t>the</w:t>
      </w:r>
      <w:r w:rsidR="004477EF" w:rsidRPr="003462DF">
        <w:rPr>
          <w:rFonts w:ascii="Times New Roman" w:eastAsiaTheme="minorEastAsia" w:hAnsi="Times New Roman" w:cs="Times New Roman"/>
          <w:sz w:val="24"/>
          <w:szCs w:val="24"/>
        </w:rPr>
        <w:t xml:space="preserve"> control variables while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and</m:t>
        </m:r>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oMath>
      <w:r w:rsidR="004477EF" w:rsidRPr="003462DF">
        <w:rPr>
          <w:rFonts w:ascii="Times New Roman" w:eastAsiaTheme="minorEastAsia" w:hAnsi="Times New Roman" w:cs="Times New Roman"/>
          <w:sz w:val="24"/>
          <w:szCs w:val="24"/>
        </w:rPr>
        <w:t xml:space="preserve"> are constant and the error term respectively. </w:t>
      </w:r>
      <w:r w:rsidR="00CB763D" w:rsidRPr="003462DF">
        <w:rPr>
          <w:rFonts w:ascii="Times New Roman" w:eastAsiaTheme="minorEastAsia" w:hAnsi="Times New Roman" w:cs="Times New Roman"/>
          <w:sz w:val="24"/>
          <w:szCs w:val="24"/>
        </w:rPr>
        <w:t>Considering the specification of equation (4) above, the model is transformed to incorporate both the core variables and the control variables as suggested in equation (5) below:</w:t>
      </w:r>
    </w:p>
    <w:p w:rsidR="007E6D4C" w:rsidRPr="007E6D4C" w:rsidRDefault="007E6D4C" w:rsidP="007E6D4C">
      <w:pPr>
        <w:autoSpaceDE w:val="0"/>
        <w:autoSpaceDN w:val="0"/>
        <w:adjustRightInd w:val="0"/>
        <w:spacing w:after="0" w:line="240" w:lineRule="auto"/>
        <w:jc w:val="both"/>
        <w:rPr>
          <w:rFonts w:ascii="Times New Roman" w:eastAsiaTheme="minorEastAsia" w:hAnsi="Times New Roman" w:cs="Times New Roman"/>
          <w:sz w:val="16"/>
          <w:szCs w:val="24"/>
        </w:rPr>
      </w:pPr>
    </w:p>
    <w:p w:rsidR="00CB763D" w:rsidRPr="003462DF" w:rsidRDefault="00503912" w:rsidP="003462DF">
      <w:pPr>
        <w:tabs>
          <w:tab w:val="left" w:pos="2565"/>
          <w:tab w:val="left" w:pos="5550"/>
        </w:tabs>
        <w:jc w:val="both"/>
        <w:rPr>
          <w:rFonts w:ascii="Times New Roman" w:hAnsi="Times New Roman" w:cs="Times New Roman"/>
          <w:sz w:val="24"/>
          <w:szCs w:val="24"/>
        </w:rPr>
      </w:pPr>
      <w:r w:rsidRPr="003462DF">
        <w:rPr>
          <w:rFonts w:ascii="Times New Roman" w:hAnsi="Times New Roman" w:cs="Times New Roman"/>
          <w:position w:val="-12"/>
          <w:sz w:val="24"/>
          <w:szCs w:val="24"/>
        </w:rPr>
        <w:object w:dxaOrig="11320" w:dyaOrig="360">
          <v:shape id="_x0000_i1029" type="#_x0000_t75" style="width:483.75pt;height:16.5pt" o:ole="">
            <v:imagedata r:id="rId18" o:title=""/>
          </v:shape>
          <o:OLEObject Type="Embed" ProgID="Equation.DSMT4" ShapeID="_x0000_i1029" DrawAspect="Content" ObjectID="_1575414235" r:id="rId19"/>
        </w:object>
      </w:r>
    </w:p>
    <w:p w:rsidR="00A75AF8" w:rsidRPr="00FE4345" w:rsidRDefault="00A3597D" w:rsidP="007E6D4C">
      <w:pPr>
        <w:tabs>
          <w:tab w:val="left" w:pos="2565"/>
          <w:tab w:val="left" w:pos="5550"/>
        </w:tabs>
        <w:spacing w:after="0" w:line="240" w:lineRule="auto"/>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Times New Roman" w:cs="Times New Roman"/>
                <w:sz w:val="24"/>
                <w:szCs w:val="24"/>
              </w:rPr>
              <m:t>3</m:t>
            </m:r>
          </m:sub>
        </m:sSub>
        <m:r>
          <w:rPr>
            <w:rFonts w:ascii="Cambria Math" w:hAnsi="Times New Roman" w:cs="Times New Roman"/>
            <w:sz w:val="24"/>
            <w:szCs w:val="24"/>
          </w:rPr>
          <m:t xml:space="preserve"> </m:t>
        </m:r>
        <m:r>
          <w:rPr>
            <w:rFonts w:ascii="Cambria Math" w:hAnsi="Cambria Math" w:cs="Times New Roman"/>
            <w:sz w:val="24"/>
            <w:szCs w:val="24"/>
          </w:rPr>
          <m:t>and</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φ</m:t>
            </m:r>
          </m:e>
          <m:sub>
            <m:r>
              <w:rPr>
                <w:rFonts w:ascii="Cambria Math" w:hAnsi="Times New Roman" w:cs="Times New Roman"/>
                <w:sz w:val="24"/>
                <w:szCs w:val="24"/>
              </w:rPr>
              <m:t>4</m:t>
            </m:r>
          </m:sub>
        </m:sSub>
      </m:oMath>
      <w:r w:rsidR="00A75AF8" w:rsidRPr="00FE4345">
        <w:rPr>
          <w:rFonts w:ascii="Times New Roman" w:eastAsiaTheme="minorEastAsia" w:hAnsi="Times New Roman" w:cs="Times New Roman"/>
          <w:sz w:val="24"/>
          <w:szCs w:val="24"/>
        </w:rPr>
        <w:t xml:space="preserve"> are coefficients of foreign direct investment, inflation, interest rate and external debt respectively and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υ</m:t>
            </m:r>
          </m:e>
          <m:sub>
            <m:r>
              <w:rPr>
                <w:rFonts w:ascii="Cambria Math" w:eastAsiaTheme="minorEastAsia" w:hAnsi="Cambria Math" w:cs="Times New Roman"/>
                <w:sz w:val="24"/>
                <w:szCs w:val="24"/>
              </w:rPr>
              <m:t>t</m:t>
            </m:r>
          </m:sub>
        </m:sSub>
      </m:oMath>
      <w:r w:rsidR="00777A84" w:rsidRPr="00FE4345">
        <w:rPr>
          <w:rFonts w:ascii="Times New Roman" w:eastAsiaTheme="minorEastAsia" w:hAnsi="Times New Roman" w:cs="Times New Roman"/>
          <w:sz w:val="24"/>
          <w:szCs w:val="24"/>
        </w:rPr>
        <w:t xml:space="preserve"> is the error term while others remain as defined above. To establish the long run relationship between oil price and exchange rate dynamic, equation (5) is transformed into;</w:t>
      </w:r>
    </w:p>
    <w:p w:rsidR="007E6D4C" w:rsidRPr="007E6D4C" w:rsidRDefault="007E6D4C" w:rsidP="002A3B6C">
      <w:pPr>
        <w:tabs>
          <w:tab w:val="left" w:pos="2565"/>
          <w:tab w:val="left" w:pos="5550"/>
        </w:tabs>
        <w:spacing w:after="0" w:line="240" w:lineRule="auto"/>
        <w:jc w:val="both"/>
        <w:rPr>
          <w:rFonts w:ascii="Times New Roman" w:eastAsiaTheme="minorEastAsia" w:hAnsi="Times New Roman" w:cs="Times New Roman"/>
          <w:sz w:val="20"/>
          <w:szCs w:val="24"/>
        </w:rPr>
      </w:pPr>
    </w:p>
    <w:p w:rsidR="00777A84" w:rsidRPr="003462DF" w:rsidRDefault="00503912" w:rsidP="002A3B6C">
      <w:pPr>
        <w:tabs>
          <w:tab w:val="left" w:pos="2565"/>
          <w:tab w:val="left" w:pos="5550"/>
        </w:tabs>
        <w:spacing w:after="0" w:line="240" w:lineRule="auto"/>
        <w:jc w:val="both"/>
        <w:rPr>
          <w:rFonts w:ascii="Times New Roman" w:hAnsi="Times New Roman" w:cs="Times New Roman"/>
          <w:sz w:val="24"/>
          <w:szCs w:val="24"/>
        </w:rPr>
      </w:pPr>
      <w:r w:rsidRPr="003462DF">
        <w:rPr>
          <w:rFonts w:ascii="Times New Roman" w:hAnsi="Times New Roman" w:cs="Times New Roman"/>
          <w:position w:val="-12"/>
          <w:sz w:val="24"/>
          <w:szCs w:val="24"/>
        </w:rPr>
        <w:object w:dxaOrig="11340" w:dyaOrig="360">
          <v:shape id="_x0000_i1030" type="#_x0000_t75" style="width:483.75pt;height:16.5pt" o:ole="">
            <v:imagedata r:id="rId20" o:title=""/>
          </v:shape>
          <o:OLEObject Type="Embed" ProgID="Equation.DSMT4" ShapeID="_x0000_i1030" DrawAspect="Content" ObjectID="_1575414236" r:id="rId21"/>
        </w:object>
      </w:r>
    </w:p>
    <w:p w:rsidR="00882355" w:rsidRPr="0072636D" w:rsidRDefault="00882355" w:rsidP="002A3B6C">
      <w:pPr>
        <w:tabs>
          <w:tab w:val="left" w:pos="2565"/>
          <w:tab w:val="left" w:pos="5550"/>
        </w:tabs>
        <w:spacing w:after="0" w:line="240" w:lineRule="auto"/>
        <w:jc w:val="both"/>
        <w:rPr>
          <w:rFonts w:ascii="Times New Roman" w:hAnsi="Times New Roman" w:cs="Times New Roman"/>
          <w:sz w:val="24"/>
          <w:szCs w:val="24"/>
          <w:highlight w:val="yellow"/>
        </w:rPr>
      </w:pPr>
    </w:p>
    <w:p w:rsidR="00F33F84" w:rsidRDefault="00F33F84" w:rsidP="002A3B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0154CA" w:rsidRPr="000154CA">
        <w:rPr>
          <w:rFonts w:ascii="Times New Roman" w:hAnsi="Times New Roman" w:cs="Times New Roman"/>
          <w:b/>
          <w:sz w:val="24"/>
          <w:szCs w:val="24"/>
        </w:rPr>
        <w:t>E</w:t>
      </w:r>
      <w:r w:rsidR="008F1E21">
        <w:rPr>
          <w:rFonts w:ascii="Times New Roman" w:hAnsi="Times New Roman" w:cs="Times New Roman"/>
          <w:b/>
          <w:sz w:val="24"/>
          <w:szCs w:val="24"/>
        </w:rPr>
        <w:t>mpirical Results and Discussion:</w:t>
      </w:r>
    </w:p>
    <w:p w:rsidR="00E10E17" w:rsidRPr="00E10E17" w:rsidRDefault="00E10E17" w:rsidP="00E10E17">
      <w:pPr>
        <w:spacing w:after="0" w:line="240" w:lineRule="auto"/>
        <w:jc w:val="both"/>
        <w:rPr>
          <w:rFonts w:ascii="Times New Roman" w:hAnsi="Times New Roman" w:cs="Times New Roman"/>
          <w:b/>
          <w:sz w:val="8"/>
          <w:szCs w:val="24"/>
        </w:rPr>
      </w:pPr>
    </w:p>
    <w:p w:rsidR="00F33F84" w:rsidRPr="00506A1B" w:rsidRDefault="00E10E17" w:rsidP="00E10E17">
      <w:pPr>
        <w:spacing w:after="0" w:line="240" w:lineRule="auto"/>
        <w:jc w:val="both"/>
        <w:rPr>
          <w:rFonts w:ascii="Times New Roman" w:hAnsi="Times New Roman" w:cs="Times New Roman"/>
          <w:sz w:val="24"/>
          <w:szCs w:val="24"/>
        </w:rPr>
      </w:pPr>
      <w:r w:rsidRPr="00E10E17">
        <w:rPr>
          <w:rFonts w:ascii="Times New Roman" w:hAnsi="Times New Roman" w:cs="Times New Roman"/>
          <w:sz w:val="24"/>
          <w:szCs w:val="24"/>
        </w:rPr>
        <w:t xml:space="preserve">In this section, we present and discussed </w:t>
      </w:r>
      <w:r>
        <w:rPr>
          <w:rFonts w:ascii="Times New Roman" w:hAnsi="Times New Roman" w:cs="Times New Roman"/>
          <w:sz w:val="24"/>
          <w:szCs w:val="24"/>
        </w:rPr>
        <w:t xml:space="preserve">pre and post estimation results as well as the EGARCH results. </w:t>
      </w:r>
      <w:r w:rsidR="00F33F84" w:rsidRPr="00005D20">
        <w:rPr>
          <w:rFonts w:ascii="Times New Roman" w:hAnsi="Times New Roman" w:cs="Times New Roman"/>
          <w:sz w:val="24"/>
          <w:szCs w:val="24"/>
        </w:rPr>
        <w:t>The Augmented Dickey Fuller (ADF) test of Unit Root is employed in this research work</w:t>
      </w:r>
      <w:r w:rsidR="008F1E21">
        <w:rPr>
          <w:rFonts w:ascii="Times New Roman" w:hAnsi="Times New Roman" w:cs="Times New Roman"/>
          <w:sz w:val="24"/>
          <w:szCs w:val="24"/>
        </w:rPr>
        <w:t xml:space="preserve"> to ascertain the stationarity of the variables</w:t>
      </w:r>
      <w:r w:rsidR="00F33F84" w:rsidRPr="00005D20">
        <w:rPr>
          <w:rFonts w:ascii="Times New Roman" w:hAnsi="Times New Roman" w:cs="Times New Roman"/>
          <w:sz w:val="24"/>
          <w:szCs w:val="24"/>
        </w:rPr>
        <w:t>. A variable is stationary if the absolute ADF value (|T|) is greater than any of the absolute Mackinnon critical values. The results of the unit root test as shown in the ADF test result</w:t>
      </w:r>
      <w:r w:rsidR="008F1E21">
        <w:rPr>
          <w:rFonts w:ascii="Times New Roman" w:hAnsi="Times New Roman" w:cs="Times New Roman"/>
          <w:sz w:val="24"/>
          <w:szCs w:val="24"/>
        </w:rPr>
        <w:t xml:space="preserve"> below</w:t>
      </w:r>
      <w:r w:rsidR="00F33F84" w:rsidRPr="00005D20">
        <w:rPr>
          <w:rFonts w:ascii="Times New Roman" w:hAnsi="Times New Roman" w:cs="Times New Roman"/>
          <w:sz w:val="24"/>
          <w:szCs w:val="24"/>
        </w:rPr>
        <w:t xml:space="preserve"> shows that all the variables are stationary but at different orders of integration. This can be summarized in table 4.1 below</w:t>
      </w:r>
      <w:r w:rsidR="00A67FBF" w:rsidRPr="00506A1B">
        <w:rPr>
          <w:rFonts w:ascii="Times New Roman" w:hAnsi="Times New Roman" w:cs="Times New Roman"/>
          <w:sz w:val="24"/>
          <w:szCs w:val="24"/>
        </w:rPr>
        <w:t xml:space="preserve">. Invariably this could mean that the </w:t>
      </w:r>
      <w:r w:rsidR="00140E7A" w:rsidRPr="00506A1B">
        <w:rPr>
          <w:rFonts w:ascii="Times New Roman" w:hAnsi="Times New Roman" w:cs="Times New Roman"/>
          <w:sz w:val="24"/>
          <w:szCs w:val="24"/>
        </w:rPr>
        <w:t xml:space="preserve">selected </w:t>
      </w:r>
      <w:r w:rsidR="00A67FBF" w:rsidRPr="00506A1B">
        <w:rPr>
          <w:rFonts w:ascii="Times New Roman" w:hAnsi="Times New Roman" w:cs="Times New Roman"/>
          <w:sz w:val="24"/>
          <w:szCs w:val="24"/>
        </w:rPr>
        <w:t xml:space="preserve">variables </w:t>
      </w:r>
      <w:r w:rsidR="00140E7A" w:rsidRPr="00506A1B">
        <w:rPr>
          <w:rFonts w:ascii="Times New Roman" w:hAnsi="Times New Roman" w:cs="Times New Roman"/>
          <w:sz w:val="24"/>
          <w:szCs w:val="24"/>
        </w:rPr>
        <w:t xml:space="preserve">for the study </w:t>
      </w:r>
      <w:r w:rsidR="00A67FBF" w:rsidRPr="00506A1B">
        <w:rPr>
          <w:rFonts w:ascii="Times New Roman" w:hAnsi="Times New Roman" w:cs="Times New Roman"/>
          <w:sz w:val="24"/>
          <w:szCs w:val="24"/>
        </w:rPr>
        <w:t>drift together in the long-run. Due to the outcome of the unit root results, we conducted additional test as shown on table 4.2 below</w:t>
      </w:r>
      <w:r w:rsidR="00140E7A" w:rsidRPr="00506A1B">
        <w:rPr>
          <w:rFonts w:ascii="Times New Roman" w:hAnsi="Times New Roman" w:cs="Times New Roman"/>
          <w:sz w:val="24"/>
          <w:szCs w:val="24"/>
        </w:rPr>
        <w:t xml:space="preserve"> for further inquiry</w:t>
      </w:r>
      <w:r w:rsidR="00A67FBF" w:rsidRPr="00506A1B">
        <w:rPr>
          <w:rFonts w:ascii="Times New Roman" w:hAnsi="Times New Roman" w:cs="Times New Roman"/>
          <w:sz w:val="24"/>
          <w:szCs w:val="24"/>
        </w:rPr>
        <w:t>.</w:t>
      </w:r>
    </w:p>
    <w:p w:rsidR="00C15AC9" w:rsidRDefault="00C15AC9" w:rsidP="00E10E17">
      <w:pPr>
        <w:spacing w:after="0" w:line="240" w:lineRule="auto"/>
        <w:jc w:val="both"/>
        <w:rPr>
          <w:rFonts w:ascii="Times New Roman" w:hAnsi="Times New Roman" w:cs="Times New Roman"/>
          <w:sz w:val="24"/>
          <w:szCs w:val="24"/>
        </w:rPr>
      </w:pPr>
    </w:p>
    <w:p w:rsidR="00EE3C1C" w:rsidRDefault="00EE3C1C" w:rsidP="00E10E17">
      <w:pPr>
        <w:spacing w:after="0" w:line="240" w:lineRule="auto"/>
        <w:jc w:val="both"/>
        <w:rPr>
          <w:rFonts w:ascii="Times New Roman" w:hAnsi="Times New Roman" w:cs="Times New Roman"/>
          <w:sz w:val="24"/>
          <w:szCs w:val="24"/>
        </w:rPr>
      </w:pPr>
    </w:p>
    <w:p w:rsidR="00712DBD" w:rsidRDefault="00712DBD" w:rsidP="00E10E17">
      <w:pPr>
        <w:spacing w:after="0" w:line="240" w:lineRule="auto"/>
        <w:jc w:val="both"/>
        <w:rPr>
          <w:rFonts w:ascii="Times New Roman" w:hAnsi="Times New Roman" w:cs="Times New Roman"/>
          <w:sz w:val="24"/>
          <w:szCs w:val="24"/>
        </w:rPr>
      </w:pPr>
    </w:p>
    <w:p w:rsidR="00712DBD" w:rsidRDefault="00712DBD" w:rsidP="00E10E17">
      <w:pPr>
        <w:spacing w:after="0" w:line="240" w:lineRule="auto"/>
        <w:jc w:val="both"/>
        <w:rPr>
          <w:rFonts w:ascii="Times New Roman" w:hAnsi="Times New Roman" w:cs="Times New Roman"/>
          <w:sz w:val="24"/>
          <w:szCs w:val="24"/>
        </w:rPr>
      </w:pPr>
    </w:p>
    <w:p w:rsidR="00F33F84" w:rsidRPr="00F33F84" w:rsidRDefault="00F33F84" w:rsidP="00F33F84">
      <w:pPr>
        <w:spacing w:line="240" w:lineRule="auto"/>
        <w:jc w:val="both"/>
        <w:rPr>
          <w:rFonts w:ascii="Times New Roman" w:hAnsi="Times New Roman" w:cs="Times New Roman"/>
          <w:b/>
          <w:sz w:val="24"/>
          <w:szCs w:val="24"/>
        </w:rPr>
      </w:pPr>
      <w:r w:rsidRPr="00F33F84">
        <w:rPr>
          <w:rFonts w:ascii="Times New Roman" w:hAnsi="Times New Roman" w:cs="Times New Roman"/>
          <w:b/>
          <w:sz w:val="24"/>
          <w:szCs w:val="24"/>
        </w:rPr>
        <w:lastRenderedPageBreak/>
        <w:t>Table 4.1 Unit Root Results</w:t>
      </w:r>
    </w:p>
    <w:tbl>
      <w:tblPr>
        <w:tblStyle w:val="TableGrid"/>
        <w:tblW w:w="0" w:type="auto"/>
        <w:jc w:val="center"/>
        <w:tblInd w:w="-27" w:type="dxa"/>
        <w:tblLook w:val="04A0"/>
      </w:tblPr>
      <w:tblGrid>
        <w:gridCol w:w="1215"/>
        <w:gridCol w:w="1260"/>
        <w:gridCol w:w="1350"/>
        <w:gridCol w:w="1350"/>
        <w:gridCol w:w="1344"/>
        <w:gridCol w:w="1536"/>
        <w:gridCol w:w="1530"/>
      </w:tblGrid>
      <w:tr w:rsidR="00F33F84" w:rsidRPr="00005D20" w:rsidTr="00F66E9D">
        <w:trPr>
          <w:trHeight w:val="575"/>
          <w:jc w:val="center"/>
        </w:trPr>
        <w:tc>
          <w:tcPr>
            <w:tcW w:w="1215" w:type="dxa"/>
          </w:tcPr>
          <w:p w:rsidR="00F33F84" w:rsidRPr="00C15AC9" w:rsidRDefault="00F33F84" w:rsidP="007E6D4C">
            <w:pPr>
              <w:jc w:val="center"/>
              <w:rPr>
                <w:rFonts w:asciiTheme="minorHAnsi" w:hAnsiTheme="minorHAnsi"/>
                <w:b/>
              </w:rPr>
            </w:pPr>
            <w:r w:rsidRPr="00C15AC9">
              <w:rPr>
                <w:rFonts w:asciiTheme="minorHAnsi" w:hAnsiTheme="minorHAnsi"/>
                <w:b/>
              </w:rPr>
              <w:t>Variables</w:t>
            </w:r>
          </w:p>
        </w:tc>
        <w:tc>
          <w:tcPr>
            <w:tcW w:w="1260" w:type="dxa"/>
          </w:tcPr>
          <w:p w:rsidR="00F33F84" w:rsidRPr="00C15AC9" w:rsidRDefault="00F33F84" w:rsidP="007E6D4C">
            <w:pPr>
              <w:jc w:val="center"/>
              <w:rPr>
                <w:rFonts w:asciiTheme="minorHAnsi" w:hAnsiTheme="minorHAnsi"/>
                <w:b/>
              </w:rPr>
            </w:pPr>
            <w:r w:rsidRPr="00C15AC9">
              <w:rPr>
                <w:rFonts w:asciiTheme="minorHAnsi" w:hAnsiTheme="minorHAnsi"/>
                <w:b/>
              </w:rPr>
              <w:t>ADF Test Statistic</w:t>
            </w:r>
          </w:p>
        </w:tc>
        <w:tc>
          <w:tcPr>
            <w:tcW w:w="1350" w:type="dxa"/>
          </w:tcPr>
          <w:p w:rsidR="00F33F84" w:rsidRPr="00C15AC9" w:rsidRDefault="00F33F84" w:rsidP="007E6D4C">
            <w:pPr>
              <w:jc w:val="center"/>
              <w:rPr>
                <w:rFonts w:asciiTheme="minorHAnsi" w:hAnsiTheme="minorHAnsi"/>
                <w:b/>
              </w:rPr>
            </w:pPr>
            <w:r w:rsidRPr="00C15AC9">
              <w:rPr>
                <w:rFonts w:asciiTheme="minorHAnsi" w:hAnsiTheme="minorHAnsi"/>
                <w:b/>
              </w:rPr>
              <w:t>1% Critical Values</w:t>
            </w:r>
          </w:p>
        </w:tc>
        <w:tc>
          <w:tcPr>
            <w:tcW w:w="1350" w:type="dxa"/>
          </w:tcPr>
          <w:p w:rsidR="00F33F84" w:rsidRPr="00C15AC9" w:rsidRDefault="00F33F84" w:rsidP="007E6D4C">
            <w:pPr>
              <w:jc w:val="center"/>
              <w:rPr>
                <w:rFonts w:asciiTheme="minorHAnsi" w:hAnsiTheme="minorHAnsi"/>
                <w:b/>
              </w:rPr>
            </w:pPr>
            <w:r w:rsidRPr="00C15AC9">
              <w:rPr>
                <w:rFonts w:asciiTheme="minorHAnsi" w:hAnsiTheme="minorHAnsi"/>
                <w:b/>
              </w:rPr>
              <w:t>5% Critical Values</w:t>
            </w:r>
          </w:p>
        </w:tc>
        <w:tc>
          <w:tcPr>
            <w:tcW w:w="1344" w:type="dxa"/>
          </w:tcPr>
          <w:p w:rsidR="00F33F84" w:rsidRPr="00C15AC9" w:rsidRDefault="00F33F84" w:rsidP="007E6D4C">
            <w:pPr>
              <w:jc w:val="center"/>
              <w:rPr>
                <w:rFonts w:asciiTheme="minorHAnsi" w:hAnsiTheme="minorHAnsi"/>
                <w:b/>
              </w:rPr>
            </w:pPr>
            <w:r w:rsidRPr="00C15AC9">
              <w:rPr>
                <w:rFonts w:asciiTheme="minorHAnsi" w:hAnsiTheme="minorHAnsi"/>
                <w:b/>
              </w:rPr>
              <w:t>10% Critical Value</w:t>
            </w:r>
          </w:p>
        </w:tc>
        <w:tc>
          <w:tcPr>
            <w:tcW w:w="1536" w:type="dxa"/>
          </w:tcPr>
          <w:p w:rsidR="00F33F84" w:rsidRPr="00C15AC9" w:rsidRDefault="00F33F84" w:rsidP="007E6D4C">
            <w:pPr>
              <w:jc w:val="center"/>
              <w:rPr>
                <w:rFonts w:asciiTheme="minorHAnsi" w:hAnsiTheme="minorHAnsi"/>
                <w:b/>
              </w:rPr>
            </w:pPr>
            <w:r w:rsidRPr="00C15AC9">
              <w:rPr>
                <w:rFonts w:asciiTheme="minorHAnsi" w:hAnsiTheme="minorHAnsi"/>
                <w:b/>
              </w:rPr>
              <w:t>Order Of Integration</w:t>
            </w:r>
          </w:p>
        </w:tc>
        <w:tc>
          <w:tcPr>
            <w:tcW w:w="1530" w:type="dxa"/>
          </w:tcPr>
          <w:p w:rsidR="00F33F84" w:rsidRPr="00C15AC9" w:rsidRDefault="00F33F84" w:rsidP="007E6D4C">
            <w:pPr>
              <w:jc w:val="center"/>
              <w:rPr>
                <w:rFonts w:asciiTheme="minorHAnsi" w:hAnsiTheme="minorHAnsi"/>
                <w:b/>
              </w:rPr>
            </w:pPr>
            <w:r w:rsidRPr="00C15AC9">
              <w:rPr>
                <w:rFonts w:asciiTheme="minorHAnsi" w:hAnsiTheme="minorHAnsi"/>
                <w:b/>
              </w:rPr>
              <w:t>Decision</w:t>
            </w:r>
          </w:p>
        </w:tc>
      </w:tr>
      <w:tr w:rsidR="00F33F84" w:rsidRPr="00005D20" w:rsidTr="007E6D4C">
        <w:trPr>
          <w:trHeight w:val="350"/>
          <w:jc w:val="center"/>
        </w:trPr>
        <w:tc>
          <w:tcPr>
            <w:tcW w:w="1215" w:type="dxa"/>
          </w:tcPr>
          <w:p w:rsidR="00F33F84" w:rsidRPr="00C15AC9" w:rsidRDefault="00F33F84" w:rsidP="007E6D4C">
            <w:pPr>
              <w:jc w:val="center"/>
              <w:rPr>
                <w:rFonts w:asciiTheme="minorHAnsi" w:hAnsiTheme="minorHAnsi"/>
              </w:rPr>
            </w:pPr>
            <w:r w:rsidRPr="00C15AC9">
              <w:rPr>
                <w:rFonts w:asciiTheme="minorHAnsi" w:hAnsiTheme="minorHAnsi"/>
              </w:rPr>
              <w:t>RGDP</w:t>
            </w:r>
          </w:p>
        </w:tc>
        <w:tc>
          <w:tcPr>
            <w:tcW w:w="1260" w:type="dxa"/>
          </w:tcPr>
          <w:p w:rsidR="00F33F84" w:rsidRPr="00C15AC9" w:rsidRDefault="00F33F84" w:rsidP="007E6D4C">
            <w:pPr>
              <w:jc w:val="center"/>
              <w:rPr>
                <w:rFonts w:asciiTheme="minorHAnsi" w:hAnsiTheme="minorHAnsi"/>
              </w:rPr>
            </w:pPr>
            <w:r w:rsidRPr="00C15AC9">
              <w:rPr>
                <w:rFonts w:asciiTheme="minorHAnsi" w:hAnsiTheme="minorHAnsi"/>
              </w:rPr>
              <w:t>-5.157</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-3.641</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-2.955</w:t>
            </w:r>
          </w:p>
        </w:tc>
        <w:tc>
          <w:tcPr>
            <w:tcW w:w="1344" w:type="dxa"/>
          </w:tcPr>
          <w:p w:rsidR="00F33F84" w:rsidRPr="00C15AC9" w:rsidRDefault="00F33F84" w:rsidP="007E6D4C">
            <w:pPr>
              <w:jc w:val="center"/>
              <w:rPr>
                <w:rFonts w:asciiTheme="minorHAnsi" w:hAnsiTheme="minorHAnsi"/>
              </w:rPr>
            </w:pPr>
            <w:r w:rsidRPr="00C15AC9">
              <w:rPr>
                <w:rFonts w:asciiTheme="minorHAnsi" w:hAnsiTheme="minorHAnsi"/>
              </w:rPr>
              <w:t>-2.611</w:t>
            </w:r>
          </w:p>
        </w:tc>
        <w:tc>
          <w:tcPr>
            <w:tcW w:w="1536" w:type="dxa"/>
          </w:tcPr>
          <w:p w:rsidR="00F33F84" w:rsidRPr="00C15AC9" w:rsidRDefault="00F33F84" w:rsidP="007E6D4C">
            <w:pPr>
              <w:jc w:val="center"/>
              <w:rPr>
                <w:rFonts w:asciiTheme="minorHAnsi" w:hAnsiTheme="minorHAnsi"/>
              </w:rPr>
            </w:pPr>
            <w:r w:rsidRPr="00C15AC9">
              <w:rPr>
                <w:rFonts w:asciiTheme="minorHAnsi" w:hAnsiTheme="minorHAnsi"/>
              </w:rPr>
              <w:t>1</w:t>
            </w:r>
            <w:r w:rsidRPr="00C15AC9">
              <w:rPr>
                <w:rFonts w:asciiTheme="minorHAnsi" w:hAnsiTheme="minorHAnsi"/>
                <w:vertAlign w:val="superscript"/>
              </w:rPr>
              <w:t xml:space="preserve">st </w:t>
            </w:r>
            <w:r w:rsidRPr="00C15AC9">
              <w:rPr>
                <w:rFonts w:asciiTheme="minorHAnsi" w:hAnsiTheme="minorHAnsi"/>
              </w:rPr>
              <w:t xml:space="preserve"> Difference</w:t>
            </w:r>
          </w:p>
        </w:tc>
        <w:tc>
          <w:tcPr>
            <w:tcW w:w="1530" w:type="dxa"/>
          </w:tcPr>
          <w:p w:rsidR="00F33F84" w:rsidRPr="00C15AC9" w:rsidRDefault="00F33F84" w:rsidP="007E6D4C">
            <w:pPr>
              <w:jc w:val="center"/>
              <w:rPr>
                <w:rFonts w:asciiTheme="minorHAnsi" w:hAnsiTheme="minorHAnsi"/>
              </w:rPr>
            </w:pPr>
            <w:r w:rsidRPr="00C15AC9">
              <w:rPr>
                <w:rFonts w:asciiTheme="minorHAnsi" w:hAnsiTheme="minorHAnsi"/>
              </w:rPr>
              <w:t>Stationary</w:t>
            </w:r>
          </w:p>
        </w:tc>
      </w:tr>
      <w:tr w:rsidR="00F33F84" w:rsidRPr="00005D20" w:rsidTr="007E6D4C">
        <w:trPr>
          <w:trHeight w:val="422"/>
          <w:jc w:val="center"/>
        </w:trPr>
        <w:tc>
          <w:tcPr>
            <w:tcW w:w="1215" w:type="dxa"/>
          </w:tcPr>
          <w:p w:rsidR="00F33F84" w:rsidRPr="00C15AC9" w:rsidRDefault="00F33F84" w:rsidP="007E6D4C">
            <w:pPr>
              <w:jc w:val="center"/>
              <w:rPr>
                <w:rFonts w:asciiTheme="minorHAnsi" w:hAnsiTheme="minorHAnsi"/>
              </w:rPr>
            </w:pPr>
            <w:r w:rsidRPr="00C15AC9">
              <w:rPr>
                <w:rFonts w:asciiTheme="minorHAnsi" w:hAnsiTheme="minorHAnsi"/>
              </w:rPr>
              <w:t>REXR</w:t>
            </w:r>
          </w:p>
        </w:tc>
        <w:tc>
          <w:tcPr>
            <w:tcW w:w="1260" w:type="dxa"/>
          </w:tcPr>
          <w:p w:rsidR="00F33F84" w:rsidRPr="00C15AC9" w:rsidRDefault="00F33F84" w:rsidP="007E6D4C">
            <w:pPr>
              <w:jc w:val="center"/>
              <w:rPr>
                <w:rFonts w:asciiTheme="minorHAnsi" w:hAnsiTheme="minorHAnsi"/>
              </w:rPr>
            </w:pPr>
            <w:r w:rsidRPr="00C15AC9">
              <w:rPr>
                <w:rFonts w:asciiTheme="minorHAnsi" w:hAnsiTheme="minorHAnsi"/>
              </w:rPr>
              <w:t>-7.257</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-3.641</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-2.955</w:t>
            </w:r>
          </w:p>
        </w:tc>
        <w:tc>
          <w:tcPr>
            <w:tcW w:w="1344" w:type="dxa"/>
          </w:tcPr>
          <w:p w:rsidR="00F33F84" w:rsidRPr="00C15AC9" w:rsidRDefault="00F33F84" w:rsidP="007E6D4C">
            <w:pPr>
              <w:jc w:val="center"/>
              <w:rPr>
                <w:rFonts w:asciiTheme="minorHAnsi" w:hAnsiTheme="minorHAnsi"/>
              </w:rPr>
            </w:pPr>
            <w:r w:rsidRPr="00C15AC9">
              <w:rPr>
                <w:rFonts w:asciiTheme="minorHAnsi" w:hAnsiTheme="minorHAnsi"/>
              </w:rPr>
              <w:t>-2.611</w:t>
            </w:r>
          </w:p>
        </w:tc>
        <w:tc>
          <w:tcPr>
            <w:tcW w:w="1536" w:type="dxa"/>
          </w:tcPr>
          <w:p w:rsidR="00F33F84" w:rsidRPr="00C15AC9" w:rsidRDefault="00F33F84" w:rsidP="007E6D4C">
            <w:pPr>
              <w:jc w:val="center"/>
              <w:rPr>
                <w:rFonts w:asciiTheme="minorHAnsi" w:hAnsiTheme="minorHAnsi"/>
              </w:rPr>
            </w:pPr>
            <w:r w:rsidRPr="00C15AC9">
              <w:rPr>
                <w:rFonts w:asciiTheme="minorHAnsi" w:hAnsiTheme="minorHAnsi"/>
              </w:rPr>
              <w:t>1</w:t>
            </w:r>
            <w:r w:rsidRPr="00C15AC9">
              <w:rPr>
                <w:rFonts w:asciiTheme="minorHAnsi" w:hAnsiTheme="minorHAnsi"/>
                <w:vertAlign w:val="superscript"/>
              </w:rPr>
              <w:t xml:space="preserve">st </w:t>
            </w:r>
            <w:r w:rsidRPr="00C15AC9">
              <w:rPr>
                <w:rFonts w:asciiTheme="minorHAnsi" w:hAnsiTheme="minorHAnsi"/>
              </w:rPr>
              <w:t xml:space="preserve"> Difference</w:t>
            </w:r>
          </w:p>
        </w:tc>
        <w:tc>
          <w:tcPr>
            <w:tcW w:w="1530" w:type="dxa"/>
          </w:tcPr>
          <w:p w:rsidR="00F33F84" w:rsidRPr="00C15AC9" w:rsidRDefault="00F33F84" w:rsidP="007E6D4C">
            <w:pPr>
              <w:jc w:val="center"/>
              <w:rPr>
                <w:rFonts w:asciiTheme="minorHAnsi" w:hAnsiTheme="minorHAnsi"/>
              </w:rPr>
            </w:pPr>
            <w:r w:rsidRPr="00C15AC9">
              <w:rPr>
                <w:rFonts w:asciiTheme="minorHAnsi" w:hAnsiTheme="minorHAnsi"/>
              </w:rPr>
              <w:t>Stationary</w:t>
            </w:r>
          </w:p>
        </w:tc>
      </w:tr>
      <w:tr w:rsidR="00F33F84" w:rsidRPr="00005D20" w:rsidTr="007E6D4C">
        <w:trPr>
          <w:trHeight w:val="368"/>
          <w:jc w:val="center"/>
        </w:trPr>
        <w:tc>
          <w:tcPr>
            <w:tcW w:w="1215" w:type="dxa"/>
          </w:tcPr>
          <w:p w:rsidR="00F33F84" w:rsidRPr="00C15AC9" w:rsidRDefault="00F33F84" w:rsidP="007E6D4C">
            <w:pPr>
              <w:jc w:val="center"/>
              <w:rPr>
                <w:rFonts w:asciiTheme="minorHAnsi" w:hAnsiTheme="minorHAnsi"/>
              </w:rPr>
            </w:pPr>
            <w:r w:rsidRPr="00C15AC9">
              <w:rPr>
                <w:rFonts w:asciiTheme="minorHAnsi" w:hAnsiTheme="minorHAnsi"/>
              </w:rPr>
              <w:t>OPR</w:t>
            </w:r>
          </w:p>
        </w:tc>
        <w:tc>
          <w:tcPr>
            <w:tcW w:w="1260" w:type="dxa"/>
          </w:tcPr>
          <w:p w:rsidR="00F33F84" w:rsidRPr="00C15AC9" w:rsidRDefault="00F33F84" w:rsidP="007E6D4C">
            <w:pPr>
              <w:jc w:val="center"/>
              <w:rPr>
                <w:rFonts w:asciiTheme="minorHAnsi" w:hAnsiTheme="minorHAnsi"/>
              </w:rPr>
            </w:pPr>
            <w:r w:rsidRPr="00C15AC9">
              <w:rPr>
                <w:rFonts w:asciiTheme="minorHAnsi" w:hAnsiTheme="minorHAnsi"/>
              </w:rPr>
              <w:t>-9.418</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-3.641</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-2.955</w:t>
            </w:r>
          </w:p>
        </w:tc>
        <w:tc>
          <w:tcPr>
            <w:tcW w:w="1344" w:type="dxa"/>
          </w:tcPr>
          <w:p w:rsidR="00F33F84" w:rsidRPr="00C15AC9" w:rsidRDefault="00F33F84" w:rsidP="007E6D4C">
            <w:pPr>
              <w:jc w:val="center"/>
              <w:rPr>
                <w:rFonts w:asciiTheme="minorHAnsi" w:hAnsiTheme="minorHAnsi"/>
              </w:rPr>
            </w:pPr>
            <w:r w:rsidRPr="00C15AC9">
              <w:rPr>
                <w:rFonts w:asciiTheme="minorHAnsi" w:hAnsiTheme="minorHAnsi"/>
              </w:rPr>
              <w:t>-2.611</w:t>
            </w:r>
          </w:p>
        </w:tc>
        <w:tc>
          <w:tcPr>
            <w:tcW w:w="1536" w:type="dxa"/>
          </w:tcPr>
          <w:p w:rsidR="00F33F84" w:rsidRPr="00C15AC9" w:rsidRDefault="00F33F84" w:rsidP="007E6D4C">
            <w:pPr>
              <w:jc w:val="center"/>
              <w:rPr>
                <w:rFonts w:asciiTheme="minorHAnsi" w:hAnsiTheme="minorHAnsi"/>
              </w:rPr>
            </w:pPr>
            <w:r w:rsidRPr="00C15AC9">
              <w:rPr>
                <w:rFonts w:asciiTheme="minorHAnsi" w:hAnsiTheme="minorHAnsi"/>
              </w:rPr>
              <w:t>1</w:t>
            </w:r>
            <w:r w:rsidRPr="00C15AC9">
              <w:rPr>
                <w:rFonts w:asciiTheme="minorHAnsi" w:hAnsiTheme="minorHAnsi"/>
                <w:vertAlign w:val="superscript"/>
              </w:rPr>
              <w:t xml:space="preserve">st </w:t>
            </w:r>
            <w:r w:rsidRPr="00C15AC9">
              <w:rPr>
                <w:rFonts w:asciiTheme="minorHAnsi" w:hAnsiTheme="minorHAnsi"/>
              </w:rPr>
              <w:t xml:space="preserve"> Difference</w:t>
            </w:r>
          </w:p>
        </w:tc>
        <w:tc>
          <w:tcPr>
            <w:tcW w:w="1530" w:type="dxa"/>
          </w:tcPr>
          <w:p w:rsidR="00F33F84" w:rsidRPr="00C15AC9" w:rsidRDefault="00F33F84" w:rsidP="007E6D4C">
            <w:pPr>
              <w:jc w:val="center"/>
              <w:rPr>
                <w:rFonts w:asciiTheme="minorHAnsi" w:hAnsiTheme="minorHAnsi"/>
              </w:rPr>
            </w:pPr>
            <w:r w:rsidRPr="00C15AC9">
              <w:rPr>
                <w:rFonts w:asciiTheme="minorHAnsi" w:hAnsiTheme="minorHAnsi"/>
              </w:rPr>
              <w:t>Stationary</w:t>
            </w:r>
          </w:p>
        </w:tc>
      </w:tr>
      <w:tr w:rsidR="00F33F84" w:rsidRPr="00005D20" w:rsidTr="007E6D4C">
        <w:trPr>
          <w:trHeight w:val="269"/>
          <w:jc w:val="center"/>
        </w:trPr>
        <w:tc>
          <w:tcPr>
            <w:tcW w:w="1215" w:type="dxa"/>
          </w:tcPr>
          <w:p w:rsidR="00F33F84" w:rsidRPr="00C15AC9" w:rsidRDefault="00F33F84" w:rsidP="007E6D4C">
            <w:pPr>
              <w:jc w:val="center"/>
              <w:rPr>
                <w:rFonts w:asciiTheme="minorHAnsi" w:hAnsiTheme="minorHAnsi"/>
              </w:rPr>
            </w:pPr>
            <w:r w:rsidRPr="00C15AC9">
              <w:rPr>
                <w:rFonts w:asciiTheme="minorHAnsi" w:hAnsiTheme="minorHAnsi"/>
              </w:rPr>
              <w:t>FDI</w:t>
            </w:r>
          </w:p>
        </w:tc>
        <w:tc>
          <w:tcPr>
            <w:tcW w:w="1260" w:type="dxa"/>
          </w:tcPr>
          <w:p w:rsidR="00F33F84" w:rsidRPr="00C15AC9" w:rsidRDefault="00F33F84" w:rsidP="007E6D4C">
            <w:pPr>
              <w:jc w:val="center"/>
              <w:rPr>
                <w:rFonts w:asciiTheme="minorHAnsi" w:hAnsiTheme="minorHAnsi"/>
              </w:rPr>
            </w:pPr>
            <w:r w:rsidRPr="00C15AC9">
              <w:rPr>
                <w:rFonts w:asciiTheme="minorHAnsi" w:hAnsiTheme="minorHAnsi"/>
              </w:rPr>
              <w:t>-4.597</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-4.224</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-3.532</w:t>
            </w:r>
          </w:p>
        </w:tc>
        <w:tc>
          <w:tcPr>
            <w:tcW w:w="1344" w:type="dxa"/>
          </w:tcPr>
          <w:p w:rsidR="00F33F84" w:rsidRPr="00C15AC9" w:rsidRDefault="00F33F84" w:rsidP="007E6D4C">
            <w:pPr>
              <w:jc w:val="center"/>
              <w:rPr>
                <w:rFonts w:asciiTheme="minorHAnsi" w:hAnsiTheme="minorHAnsi"/>
              </w:rPr>
            </w:pPr>
            <w:r w:rsidRPr="00C15AC9">
              <w:rPr>
                <w:rFonts w:asciiTheme="minorHAnsi" w:hAnsiTheme="minorHAnsi"/>
              </w:rPr>
              <w:t>-3.119</w:t>
            </w:r>
          </w:p>
        </w:tc>
        <w:tc>
          <w:tcPr>
            <w:tcW w:w="1536" w:type="dxa"/>
          </w:tcPr>
          <w:p w:rsidR="00F33F84" w:rsidRPr="00C15AC9" w:rsidRDefault="00F33F84" w:rsidP="007E6D4C">
            <w:pPr>
              <w:jc w:val="center"/>
              <w:rPr>
                <w:rFonts w:asciiTheme="minorHAnsi" w:hAnsiTheme="minorHAnsi"/>
              </w:rPr>
            </w:pPr>
            <w:r w:rsidRPr="00C15AC9">
              <w:rPr>
                <w:rFonts w:asciiTheme="minorHAnsi" w:hAnsiTheme="minorHAnsi"/>
              </w:rPr>
              <w:t>Level Form</w:t>
            </w:r>
          </w:p>
        </w:tc>
        <w:tc>
          <w:tcPr>
            <w:tcW w:w="1530" w:type="dxa"/>
          </w:tcPr>
          <w:p w:rsidR="00F33F84" w:rsidRPr="00C15AC9" w:rsidRDefault="00F33F84" w:rsidP="007E6D4C">
            <w:pPr>
              <w:jc w:val="center"/>
              <w:rPr>
                <w:rFonts w:asciiTheme="minorHAnsi" w:hAnsiTheme="minorHAnsi"/>
              </w:rPr>
            </w:pPr>
            <w:r w:rsidRPr="00C15AC9">
              <w:rPr>
                <w:rFonts w:asciiTheme="minorHAnsi" w:hAnsiTheme="minorHAnsi"/>
              </w:rPr>
              <w:t>Stationary</w:t>
            </w:r>
          </w:p>
        </w:tc>
      </w:tr>
      <w:tr w:rsidR="00F33F84" w:rsidRPr="00005D20" w:rsidTr="007E6D4C">
        <w:trPr>
          <w:trHeight w:val="440"/>
          <w:jc w:val="center"/>
        </w:trPr>
        <w:tc>
          <w:tcPr>
            <w:tcW w:w="1215" w:type="dxa"/>
          </w:tcPr>
          <w:p w:rsidR="00F33F84" w:rsidRPr="00C15AC9" w:rsidRDefault="00F33F84" w:rsidP="007E6D4C">
            <w:pPr>
              <w:jc w:val="center"/>
              <w:rPr>
                <w:rFonts w:asciiTheme="minorHAnsi" w:hAnsiTheme="minorHAnsi"/>
              </w:rPr>
            </w:pPr>
            <w:r w:rsidRPr="00C15AC9">
              <w:rPr>
                <w:rFonts w:asciiTheme="minorHAnsi" w:hAnsiTheme="minorHAnsi"/>
              </w:rPr>
              <w:t>INF</w:t>
            </w:r>
          </w:p>
        </w:tc>
        <w:tc>
          <w:tcPr>
            <w:tcW w:w="1260" w:type="dxa"/>
          </w:tcPr>
          <w:p w:rsidR="00F33F84" w:rsidRPr="00C15AC9" w:rsidRDefault="00F33F84" w:rsidP="007E6D4C">
            <w:pPr>
              <w:jc w:val="center"/>
              <w:rPr>
                <w:rFonts w:asciiTheme="minorHAnsi" w:hAnsiTheme="minorHAnsi"/>
              </w:rPr>
            </w:pPr>
            <w:r w:rsidRPr="00C15AC9">
              <w:rPr>
                <w:rFonts w:asciiTheme="minorHAnsi" w:hAnsiTheme="minorHAnsi"/>
              </w:rPr>
              <w:t>-3.235</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-3.634</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-2.952</w:t>
            </w:r>
          </w:p>
        </w:tc>
        <w:tc>
          <w:tcPr>
            <w:tcW w:w="1344" w:type="dxa"/>
          </w:tcPr>
          <w:p w:rsidR="00F33F84" w:rsidRPr="00C15AC9" w:rsidRDefault="00F33F84" w:rsidP="007E6D4C">
            <w:pPr>
              <w:jc w:val="center"/>
              <w:rPr>
                <w:rFonts w:asciiTheme="minorHAnsi" w:hAnsiTheme="minorHAnsi"/>
              </w:rPr>
            </w:pPr>
            <w:r w:rsidRPr="00C15AC9">
              <w:rPr>
                <w:rFonts w:asciiTheme="minorHAnsi" w:hAnsiTheme="minorHAnsi"/>
              </w:rPr>
              <w:t>-2.6I0</w:t>
            </w:r>
          </w:p>
        </w:tc>
        <w:tc>
          <w:tcPr>
            <w:tcW w:w="1536" w:type="dxa"/>
          </w:tcPr>
          <w:p w:rsidR="00F33F84" w:rsidRPr="00C15AC9" w:rsidRDefault="00F33F84" w:rsidP="007E6D4C">
            <w:pPr>
              <w:jc w:val="center"/>
              <w:rPr>
                <w:rFonts w:asciiTheme="minorHAnsi" w:hAnsiTheme="minorHAnsi"/>
              </w:rPr>
            </w:pPr>
            <w:r w:rsidRPr="00C15AC9">
              <w:rPr>
                <w:rFonts w:asciiTheme="minorHAnsi" w:hAnsiTheme="minorHAnsi"/>
              </w:rPr>
              <w:t>Level Form</w:t>
            </w:r>
          </w:p>
        </w:tc>
        <w:tc>
          <w:tcPr>
            <w:tcW w:w="1530" w:type="dxa"/>
          </w:tcPr>
          <w:p w:rsidR="00F33F84" w:rsidRPr="00C15AC9" w:rsidRDefault="00F33F84" w:rsidP="007E6D4C">
            <w:pPr>
              <w:jc w:val="center"/>
              <w:rPr>
                <w:rFonts w:asciiTheme="minorHAnsi" w:hAnsiTheme="minorHAnsi"/>
              </w:rPr>
            </w:pPr>
            <w:r w:rsidRPr="00C15AC9">
              <w:rPr>
                <w:rFonts w:asciiTheme="minorHAnsi" w:hAnsiTheme="minorHAnsi"/>
              </w:rPr>
              <w:t>Stationary</w:t>
            </w:r>
          </w:p>
        </w:tc>
      </w:tr>
      <w:tr w:rsidR="00F33F84" w:rsidRPr="00005D20" w:rsidTr="007E6D4C">
        <w:trPr>
          <w:trHeight w:val="350"/>
          <w:jc w:val="center"/>
        </w:trPr>
        <w:tc>
          <w:tcPr>
            <w:tcW w:w="1215" w:type="dxa"/>
          </w:tcPr>
          <w:p w:rsidR="00F33F84" w:rsidRPr="00C15AC9" w:rsidRDefault="00F33F84" w:rsidP="007E6D4C">
            <w:pPr>
              <w:jc w:val="center"/>
              <w:rPr>
                <w:rFonts w:asciiTheme="minorHAnsi" w:hAnsiTheme="minorHAnsi"/>
              </w:rPr>
            </w:pPr>
            <w:r w:rsidRPr="00C15AC9">
              <w:rPr>
                <w:rFonts w:asciiTheme="minorHAnsi" w:hAnsiTheme="minorHAnsi"/>
              </w:rPr>
              <w:t>INTR</w:t>
            </w:r>
          </w:p>
        </w:tc>
        <w:tc>
          <w:tcPr>
            <w:tcW w:w="1260" w:type="dxa"/>
          </w:tcPr>
          <w:p w:rsidR="00F33F84" w:rsidRPr="00C15AC9" w:rsidRDefault="00F33F84" w:rsidP="007E6D4C">
            <w:pPr>
              <w:jc w:val="center"/>
              <w:rPr>
                <w:rFonts w:asciiTheme="minorHAnsi" w:hAnsiTheme="minorHAnsi"/>
              </w:rPr>
            </w:pPr>
            <w:r w:rsidRPr="00C15AC9">
              <w:rPr>
                <w:rFonts w:asciiTheme="minorHAnsi" w:hAnsiTheme="minorHAnsi"/>
              </w:rPr>
              <w:t>-7.167</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-3.641</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-2.955</w:t>
            </w:r>
          </w:p>
        </w:tc>
        <w:tc>
          <w:tcPr>
            <w:tcW w:w="1344" w:type="dxa"/>
          </w:tcPr>
          <w:p w:rsidR="00F33F84" w:rsidRPr="00C15AC9" w:rsidRDefault="00F33F84" w:rsidP="007E6D4C">
            <w:pPr>
              <w:jc w:val="center"/>
              <w:rPr>
                <w:rFonts w:asciiTheme="minorHAnsi" w:hAnsiTheme="minorHAnsi"/>
              </w:rPr>
            </w:pPr>
            <w:r w:rsidRPr="00C15AC9">
              <w:rPr>
                <w:rFonts w:asciiTheme="minorHAnsi" w:hAnsiTheme="minorHAnsi"/>
              </w:rPr>
              <w:t>-2.611</w:t>
            </w:r>
          </w:p>
        </w:tc>
        <w:tc>
          <w:tcPr>
            <w:tcW w:w="1536" w:type="dxa"/>
          </w:tcPr>
          <w:p w:rsidR="00F33F84" w:rsidRPr="00C15AC9" w:rsidRDefault="00F33F84" w:rsidP="007E6D4C">
            <w:pPr>
              <w:jc w:val="center"/>
              <w:rPr>
                <w:rFonts w:asciiTheme="minorHAnsi" w:hAnsiTheme="minorHAnsi"/>
              </w:rPr>
            </w:pPr>
            <w:r w:rsidRPr="00C15AC9">
              <w:rPr>
                <w:rFonts w:asciiTheme="minorHAnsi" w:hAnsiTheme="minorHAnsi"/>
              </w:rPr>
              <w:t>1</w:t>
            </w:r>
            <w:r w:rsidRPr="00C15AC9">
              <w:rPr>
                <w:rFonts w:asciiTheme="minorHAnsi" w:hAnsiTheme="minorHAnsi"/>
                <w:vertAlign w:val="superscript"/>
              </w:rPr>
              <w:t xml:space="preserve">st </w:t>
            </w:r>
            <w:r w:rsidRPr="00C15AC9">
              <w:rPr>
                <w:rFonts w:asciiTheme="minorHAnsi" w:hAnsiTheme="minorHAnsi"/>
              </w:rPr>
              <w:t xml:space="preserve"> Difference</w:t>
            </w:r>
          </w:p>
        </w:tc>
        <w:tc>
          <w:tcPr>
            <w:tcW w:w="1530" w:type="dxa"/>
          </w:tcPr>
          <w:p w:rsidR="00F33F84" w:rsidRPr="00C15AC9" w:rsidRDefault="00F33F84" w:rsidP="007E6D4C">
            <w:pPr>
              <w:jc w:val="center"/>
              <w:rPr>
                <w:rFonts w:asciiTheme="minorHAnsi" w:hAnsiTheme="minorHAnsi"/>
              </w:rPr>
            </w:pPr>
            <w:r w:rsidRPr="00C15AC9">
              <w:rPr>
                <w:rFonts w:asciiTheme="minorHAnsi" w:hAnsiTheme="minorHAnsi"/>
              </w:rPr>
              <w:t>Stationary</w:t>
            </w:r>
          </w:p>
        </w:tc>
      </w:tr>
      <w:tr w:rsidR="00F33F84" w:rsidRPr="00005D20" w:rsidTr="007E6D4C">
        <w:trPr>
          <w:trHeight w:val="350"/>
          <w:jc w:val="center"/>
        </w:trPr>
        <w:tc>
          <w:tcPr>
            <w:tcW w:w="1215" w:type="dxa"/>
          </w:tcPr>
          <w:p w:rsidR="00F33F84" w:rsidRPr="00C15AC9" w:rsidRDefault="00F33F84" w:rsidP="007E6D4C">
            <w:pPr>
              <w:jc w:val="center"/>
              <w:rPr>
                <w:rFonts w:asciiTheme="minorHAnsi" w:hAnsiTheme="minorHAnsi"/>
              </w:rPr>
            </w:pPr>
            <w:r w:rsidRPr="00C15AC9">
              <w:rPr>
                <w:rFonts w:asciiTheme="minorHAnsi" w:hAnsiTheme="minorHAnsi"/>
              </w:rPr>
              <w:t>EXDT</w:t>
            </w:r>
          </w:p>
        </w:tc>
        <w:tc>
          <w:tcPr>
            <w:tcW w:w="1260" w:type="dxa"/>
          </w:tcPr>
          <w:p w:rsidR="00F33F84" w:rsidRPr="00C15AC9" w:rsidRDefault="00F33F84" w:rsidP="007E6D4C">
            <w:pPr>
              <w:jc w:val="center"/>
              <w:rPr>
                <w:rFonts w:asciiTheme="minorHAnsi" w:hAnsiTheme="minorHAnsi"/>
              </w:rPr>
            </w:pPr>
            <w:r w:rsidRPr="00C15AC9">
              <w:rPr>
                <w:rFonts w:asciiTheme="minorHAnsi" w:hAnsiTheme="minorHAnsi"/>
              </w:rPr>
              <w:t>-4.109</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-3.641</w:t>
            </w:r>
          </w:p>
        </w:tc>
        <w:tc>
          <w:tcPr>
            <w:tcW w:w="1350" w:type="dxa"/>
          </w:tcPr>
          <w:p w:rsidR="00F33F84" w:rsidRPr="00C15AC9" w:rsidRDefault="00F33F84" w:rsidP="007E6D4C">
            <w:pPr>
              <w:jc w:val="center"/>
              <w:rPr>
                <w:rFonts w:asciiTheme="minorHAnsi" w:hAnsiTheme="minorHAnsi"/>
              </w:rPr>
            </w:pPr>
            <w:r w:rsidRPr="00C15AC9">
              <w:rPr>
                <w:rFonts w:asciiTheme="minorHAnsi" w:hAnsiTheme="minorHAnsi"/>
              </w:rPr>
              <w:t>-2.955</w:t>
            </w:r>
          </w:p>
        </w:tc>
        <w:tc>
          <w:tcPr>
            <w:tcW w:w="1344" w:type="dxa"/>
          </w:tcPr>
          <w:p w:rsidR="00F33F84" w:rsidRPr="00C15AC9" w:rsidRDefault="00F33F84" w:rsidP="007E6D4C">
            <w:pPr>
              <w:jc w:val="center"/>
              <w:rPr>
                <w:rFonts w:asciiTheme="minorHAnsi" w:hAnsiTheme="minorHAnsi"/>
              </w:rPr>
            </w:pPr>
            <w:r w:rsidRPr="00C15AC9">
              <w:rPr>
                <w:rFonts w:asciiTheme="minorHAnsi" w:hAnsiTheme="minorHAnsi"/>
              </w:rPr>
              <w:t>-2.611</w:t>
            </w:r>
          </w:p>
        </w:tc>
        <w:tc>
          <w:tcPr>
            <w:tcW w:w="1536" w:type="dxa"/>
          </w:tcPr>
          <w:p w:rsidR="00F33F84" w:rsidRPr="00C15AC9" w:rsidRDefault="00F33F84" w:rsidP="007E6D4C">
            <w:pPr>
              <w:jc w:val="center"/>
              <w:rPr>
                <w:rFonts w:asciiTheme="minorHAnsi" w:hAnsiTheme="minorHAnsi"/>
              </w:rPr>
            </w:pPr>
            <w:r w:rsidRPr="00C15AC9">
              <w:rPr>
                <w:rFonts w:asciiTheme="minorHAnsi" w:hAnsiTheme="minorHAnsi"/>
              </w:rPr>
              <w:t>1</w:t>
            </w:r>
            <w:r w:rsidRPr="00C15AC9">
              <w:rPr>
                <w:rFonts w:asciiTheme="minorHAnsi" w:hAnsiTheme="minorHAnsi"/>
                <w:vertAlign w:val="superscript"/>
              </w:rPr>
              <w:t xml:space="preserve">st </w:t>
            </w:r>
            <w:r w:rsidRPr="00C15AC9">
              <w:rPr>
                <w:rFonts w:asciiTheme="minorHAnsi" w:hAnsiTheme="minorHAnsi"/>
              </w:rPr>
              <w:t xml:space="preserve"> Difference</w:t>
            </w:r>
          </w:p>
        </w:tc>
        <w:tc>
          <w:tcPr>
            <w:tcW w:w="1530" w:type="dxa"/>
          </w:tcPr>
          <w:p w:rsidR="00F33F84" w:rsidRPr="00C15AC9" w:rsidRDefault="00F33F84" w:rsidP="007E6D4C">
            <w:pPr>
              <w:jc w:val="center"/>
              <w:rPr>
                <w:rFonts w:asciiTheme="minorHAnsi" w:hAnsiTheme="minorHAnsi"/>
              </w:rPr>
            </w:pPr>
            <w:r w:rsidRPr="00C15AC9">
              <w:rPr>
                <w:rFonts w:asciiTheme="minorHAnsi" w:hAnsiTheme="minorHAnsi"/>
              </w:rPr>
              <w:t>Stationary</w:t>
            </w:r>
          </w:p>
        </w:tc>
      </w:tr>
    </w:tbl>
    <w:p w:rsidR="002E42A9" w:rsidRPr="002E42A9" w:rsidRDefault="002E42A9" w:rsidP="007E6D4C">
      <w:pPr>
        <w:spacing w:after="0" w:line="240" w:lineRule="auto"/>
        <w:jc w:val="both"/>
        <w:rPr>
          <w:rFonts w:ascii="Times New Roman" w:hAnsi="Times New Roman" w:cs="Times New Roman"/>
          <w:i/>
        </w:rPr>
      </w:pPr>
      <w:r w:rsidRPr="002E42A9">
        <w:rPr>
          <w:rFonts w:ascii="Times New Roman" w:hAnsi="Times New Roman" w:cs="Times New Roman"/>
          <w:i/>
        </w:rPr>
        <w:t xml:space="preserve">NB: The null hypothesis of non stationary is rejected </w:t>
      </w:r>
    </w:p>
    <w:p w:rsidR="002E42A9" w:rsidRDefault="002E42A9" w:rsidP="007E6D4C">
      <w:pPr>
        <w:spacing w:after="0" w:line="240" w:lineRule="auto"/>
        <w:jc w:val="both"/>
        <w:rPr>
          <w:rFonts w:ascii="Times New Roman" w:hAnsi="Times New Roman" w:cs="Times New Roman"/>
          <w:b/>
          <w:sz w:val="24"/>
          <w:szCs w:val="24"/>
        </w:rPr>
      </w:pPr>
    </w:p>
    <w:p w:rsidR="00F33F84" w:rsidRDefault="008F1E21" w:rsidP="00E10E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F33F84">
        <w:rPr>
          <w:rFonts w:ascii="Times New Roman" w:hAnsi="Times New Roman" w:cs="Times New Roman"/>
          <w:b/>
          <w:sz w:val="24"/>
          <w:szCs w:val="24"/>
        </w:rPr>
        <w:t>Cointegration Test</w:t>
      </w:r>
      <w:r w:rsidR="00E10E17">
        <w:rPr>
          <w:rFonts w:ascii="Times New Roman" w:hAnsi="Times New Roman" w:cs="Times New Roman"/>
          <w:b/>
          <w:sz w:val="24"/>
          <w:szCs w:val="24"/>
        </w:rPr>
        <w:t>:</w:t>
      </w:r>
    </w:p>
    <w:p w:rsidR="00E10E17" w:rsidRPr="00E10E17" w:rsidRDefault="00E10E17" w:rsidP="00E10E17">
      <w:pPr>
        <w:spacing w:after="0" w:line="240" w:lineRule="auto"/>
        <w:jc w:val="both"/>
        <w:rPr>
          <w:rFonts w:ascii="Times New Roman" w:hAnsi="Times New Roman" w:cs="Times New Roman"/>
          <w:b/>
          <w:sz w:val="10"/>
          <w:szCs w:val="24"/>
        </w:rPr>
      </w:pPr>
    </w:p>
    <w:p w:rsidR="00E10E17" w:rsidRDefault="00140E7A" w:rsidP="00E10E17">
      <w:pPr>
        <w:spacing w:after="0" w:line="240" w:lineRule="auto"/>
        <w:jc w:val="both"/>
        <w:rPr>
          <w:rFonts w:ascii="Times New Roman" w:hAnsi="Times New Roman" w:cs="Times New Roman"/>
          <w:sz w:val="24"/>
          <w:szCs w:val="24"/>
        </w:rPr>
      </w:pPr>
      <w:r w:rsidRPr="00B339AD">
        <w:rPr>
          <w:rFonts w:ascii="Times New Roman" w:hAnsi="Times New Roman" w:cs="Times New Roman"/>
          <w:sz w:val="24"/>
          <w:szCs w:val="24"/>
        </w:rPr>
        <w:t>Since results from table 4.1 above shows</w:t>
      </w:r>
      <w:r w:rsidR="00E10E17" w:rsidRPr="00B339AD">
        <w:rPr>
          <w:rFonts w:ascii="Times New Roman" w:hAnsi="Times New Roman" w:cs="Times New Roman"/>
          <w:sz w:val="24"/>
          <w:szCs w:val="24"/>
        </w:rPr>
        <w:t xml:space="preserve"> that almost all the variables are stationary at first difference</w:t>
      </w:r>
      <w:r w:rsidRPr="00B339AD">
        <w:rPr>
          <w:rFonts w:ascii="Times New Roman" w:hAnsi="Times New Roman" w:cs="Times New Roman"/>
          <w:sz w:val="24"/>
          <w:szCs w:val="24"/>
        </w:rPr>
        <w:t xml:space="preserve"> - that is almost all the variables are </w:t>
      </w:r>
      <w:r w:rsidR="00E10E17" w:rsidRPr="00B339AD">
        <w:rPr>
          <w:rFonts w:ascii="Times New Roman" w:hAnsi="Times New Roman" w:cs="Times New Roman"/>
          <w:sz w:val="24"/>
          <w:szCs w:val="24"/>
        </w:rPr>
        <w:t>integrated of the same order</w:t>
      </w:r>
      <w:r w:rsidRPr="00B339AD">
        <w:rPr>
          <w:rFonts w:ascii="Times New Roman" w:hAnsi="Times New Roman" w:cs="Times New Roman"/>
          <w:sz w:val="24"/>
          <w:szCs w:val="24"/>
        </w:rPr>
        <w:t>. Hence</w:t>
      </w:r>
      <w:r>
        <w:rPr>
          <w:rFonts w:ascii="Times New Roman" w:hAnsi="Times New Roman" w:cs="Times New Roman"/>
          <w:sz w:val="24"/>
          <w:szCs w:val="24"/>
        </w:rPr>
        <w:t>,</w:t>
      </w:r>
      <w:r w:rsidR="00E10E17">
        <w:rPr>
          <w:rFonts w:ascii="Times New Roman" w:hAnsi="Times New Roman" w:cs="Times New Roman"/>
          <w:sz w:val="24"/>
          <w:szCs w:val="24"/>
        </w:rPr>
        <w:t xml:space="preserve"> we suspect the problem of cointegration, which suggest that the variables could move together in the long run. To confirm if actually </w:t>
      </w:r>
      <w:r w:rsidR="002E42A9">
        <w:rPr>
          <w:rFonts w:ascii="Times New Roman" w:hAnsi="Times New Roman" w:cs="Times New Roman"/>
          <w:sz w:val="24"/>
          <w:szCs w:val="24"/>
        </w:rPr>
        <w:t>the variables drift together in the long-run</w:t>
      </w:r>
      <w:r w:rsidR="00E10E17" w:rsidRPr="00E10E17">
        <w:rPr>
          <w:rFonts w:ascii="Times New Roman" w:hAnsi="Times New Roman" w:cs="Times New Roman"/>
          <w:sz w:val="24"/>
          <w:szCs w:val="24"/>
        </w:rPr>
        <w:t xml:space="preserve">, </w:t>
      </w:r>
      <w:r w:rsidR="002E42A9">
        <w:rPr>
          <w:rFonts w:ascii="Times New Roman" w:hAnsi="Times New Roman" w:cs="Times New Roman"/>
          <w:sz w:val="24"/>
          <w:szCs w:val="24"/>
        </w:rPr>
        <w:t xml:space="preserve">we subjected the residual to cointegration tests </w:t>
      </w:r>
      <w:r w:rsidR="00097080">
        <w:rPr>
          <w:rFonts w:ascii="Times New Roman" w:hAnsi="Times New Roman" w:cs="Times New Roman"/>
          <w:sz w:val="24"/>
          <w:szCs w:val="24"/>
        </w:rPr>
        <w:t xml:space="preserve">using </w:t>
      </w:r>
      <w:r w:rsidR="00097080" w:rsidRPr="00005D20">
        <w:rPr>
          <w:rFonts w:ascii="Times New Roman" w:eastAsiaTheme="minorEastAsia" w:hAnsi="Times New Roman" w:cs="Times New Roman"/>
          <w:sz w:val="24"/>
          <w:szCs w:val="24"/>
        </w:rPr>
        <w:t xml:space="preserve">the Augmented Dickey-Fuller (ADF) </w:t>
      </w:r>
      <w:r w:rsidR="002E42A9">
        <w:rPr>
          <w:rFonts w:ascii="Times New Roman" w:hAnsi="Times New Roman" w:cs="Times New Roman"/>
          <w:sz w:val="24"/>
          <w:szCs w:val="24"/>
        </w:rPr>
        <w:t>as presented in table 4.2 below</w:t>
      </w:r>
      <w:r w:rsidR="00340E44">
        <w:rPr>
          <w:rFonts w:ascii="Times New Roman" w:hAnsi="Times New Roman" w:cs="Times New Roman"/>
          <w:sz w:val="24"/>
          <w:szCs w:val="24"/>
        </w:rPr>
        <w:t xml:space="preserve"> which is based on</w:t>
      </w:r>
      <w:r w:rsidR="00097080">
        <w:rPr>
          <w:rFonts w:ascii="Times New Roman" w:hAnsi="Times New Roman" w:cs="Times New Roman"/>
          <w:sz w:val="24"/>
          <w:szCs w:val="24"/>
        </w:rPr>
        <w:t xml:space="preserve"> the following assumptions.</w:t>
      </w:r>
    </w:p>
    <w:p w:rsidR="00097080" w:rsidRPr="00097080" w:rsidRDefault="00097080" w:rsidP="00097080">
      <w:pPr>
        <w:spacing w:after="0" w:line="240" w:lineRule="auto"/>
        <w:jc w:val="both"/>
        <w:rPr>
          <w:rFonts w:ascii="Times New Roman" w:hAnsi="Times New Roman" w:cs="Times New Roman"/>
          <w:sz w:val="12"/>
          <w:szCs w:val="24"/>
        </w:rPr>
      </w:pPr>
    </w:p>
    <w:p w:rsidR="00097080" w:rsidRPr="00005D20" w:rsidRDefault="00097080" w:rsidP="00097080">
      <w:pPr>
        <w:spacing w:line="240" w:lineRule="auto"/>
        <w:jc w:val="both"/>
        <w:rPr>
          <w:rFonts w:ascii="Times New Roman" w:eastAsiaTheme="minorEastAsia" w:hAnsi="Times New Roman" w:cs="Times New Roman"/>
          <w:sz w:val="24"/>
          <w:szCs w:val="24"/>
        </w:rPr>
      </w:pPr>
      <w:r w:rsidRPr="00005D20">
        <w:rPr>
          <w:rFonts w:ascii="Times New Roman" w:eastAsiaTheme="minorEastAsia" w:hAnsi="Times New Roman" w:cs="Times New Roman"/>
          <w:sz w:val="24"/>
          <w:szCs w:val="24"/>
        </w:rPr>
        <w:t>Ho: α=0</w:t>
      </w:r>
      <w:r w:rsidR="00420B91">
        <w:rPr>
          <w:rFonts w:ascii="Times New Roman" w:eastAsiaTheme="minorEastAsia" w:hAnsi="Times New Roman" w:cs="Times New Roman"/>
          <w:sz w:val="24"/>
          <w:szCs w:val="24"/>
        </w:rPr>
        <w:t xml:space="preserve"> </w:t>
      </w:r>
      <w:r w:rsidRPr="00005D20">
        <w:rPr>
          <w:rFonts w:ascii="Times New Roman" w:eastAsiaTheme="minorEastAsia" w:hAnsi="Times New Roman" w:cs="Times New Roman"/>
          <w:sz w:val="24"/>
          <w:szCs w:val="24"/>
        </w:rPr>
        <w:t>(no Cointegration)</w:t>
      </w:r>
    </w:p>
    <w:p w:rsidR="00097080" w:rsidRPr="00005D20" w:rsidRDefault="00097080" w:rsidP="00097080">
      <w:pPr>
        <w:spacing w:line="240" w:lineRule="auto"/>
        <w:jc w:val="both"/>
        <w:rPr>
          <w:rFonts w:ascii="Times New Roman" w:eastAsiaTheme="minorEastAsia" w:hAnsi="Times New Roman" w:cs="Times New Roman"/>
          <w:sz w:val="24"/>
          <w:szCs w:val="24"/>
        </w:rPr>
      </w:pPr>
      <w:r w:rsidRPr="00005D20">
        <w:rPr>
          <w:rFonts w:ascii="Times New Roman" w:eastAsiaTheme="minorEastAsia" w:hAnsi="Times New Roman" w:cs="Times New Roman"/>
          <w:sz w:val="24"/>
          <w:szCs w:val="24"/>
        </w:rPr>
        <w:t>H</w:t>
      </w:r>
      <w:r w:rsidR="00420B91">
        <w:rPr>
          <w:rFonts w:ascii="Times New Roman" w:eastAsiaTheme="minorEastAsia" w:hAnsi="Times New Roman" w:cs="Times New Roman"/>
          <w:sz w:val="24"/>
          <w:szCs w:val="24"/>
          <w:vertAlign w:val="subscript"/>
        </w:rPr>
        <w:t>1</w:t>
      </w:r>
      <w:r w:rsidRPr="00005D20">
        <w:rPr>
          <w:rFonts w:ascii="Times New Roman" w:eastAsiaTheme="minorEastAsia" w:hAnsi="Times New Roman" w:cs="Times New Roman"/>
          <w:sz w:val="24"/>
          <w:szCs w:val="24"/>
        </w:rPr>
        <w:t>: α≠</w:t>
      </w:r>
      <w:r w:rsidR="00420B91">
        <w:rPr>
          <w:rFonts w:ascii="Times New Roman" w:eastAsiaTheme="minorEastAsia" w:hAnsi="Times New Roman" w:cs="Times New Roman"/>
          <w:sz w:val="24"/>
          <w:szCs w:val="24"/>
        </w:rPr>
        <w:t>0</w:t>
      </w:r>
      <w:r w:rsidRPr="00005D20">
        <w:rPr>
          <w:rFonts w:ascii="Times New Roman" w:eastAsiaTheme="minorEastAsia" w:hAnsi="Times New Roman" w:cs="Times New Roman"/>
          <w:sz w:val="24"/>
          <w:szCs w:val="24"/>
        </w:rPr>
        <w:t xml:space="preserve"> (Cointegration)</w:t>
      </w:r>
    </w:p>
    <w:p w:rsidR="00097080" w:rsidRDefault="00097080" w:rsidP="00097080">
      <w:pPr>
        <w:spacing w:line="240" w:lineRule="auto"/>
        <w:jc w:val="both"/>
        <w:rPr>
          <w:rFonts w:ascii="Times New Roman" w:eastAsiaTheme="minorEastAsia" w:hAnsi="Times New Roman" w:cs="Times New Roman"/>
          <w:sz w:val="24"/>
          <w:szCs w:val="24"/>
        </w:rPr>
      </w:pPr>
      <w:r w:rsidRPr="00005D20">
        <w:rPr>
          <w:rFonts w:ascii="Times New Roman" w:eastAsiaTheme="minorEastAsia" w:hAnsi="Times New Roman" w:cs="Times New Roman"/>
          <w:b/>
          <w:sz w:val="24"/>
          <w:szCs w:val="24"/>
        </w:rPr>
        <w:t>Decision rule:</w:t>
      </w:r>
      <w:r w:rsidRPr="00005D20">
        <w:rPr>
          <w:rFonts w:ascii="Times New Roman" w:eastAsiaTheme="minorEastAsia" w:hAnsi="Times New Roman" w:cs="Times New Roman"/>
          <w:sz w:val="24"/>
          <w:szCs w:val="24"/>
        </w:rPr>
        <w:t xml:space="preserve"> </w:t>
      </w:r>
    </w:p>
    <w:p w:rsidR="00097080" w:rsidRDefault="00097080" w:rsidP="00097080">
      <w:pPr>
        <w:spacing w:after="0" w:line="240" w:lineRule="auto"/>
        <w:jc w:val="both"/>
        <w:rPr>
          <w:rFonts w:ascii="Times New Roman" w:eastAsiaTheme="minorEastAsia" w:hAnsi="Times New Roman" w:cs="Times New Roman"/>
          <w:b/>
          <w:sz w:val="24"/>
          <w:szCs w:val="24"/>
        </w:rPr>
      </w:pPr>
      <w:r w:rsidRPr="00005D20">
        <w:rPr>
          <w:rFonts w:ascii="Times New Roman" w:eastAsiaTheme="minorEastAsia" w:hAnsi="Times New Roman" w:cs="Times New Roman"/>
          <w:sz w:val="24"/>
          <w:szCs w:val="24"/>
        </w:rPr>
        <w:t>Reject Ho if the absolute value of the ADF test statistics is greater than the absolute critical value at the chosen level of significance for the generated series; otherwise, do not reject Ho. The result is shown in the table 4.2 below</w:t>
      </w:r>
      <w:r w:rsidRPr="00005D20">
        <w:rPr>
          <w:rFonts w:ascii="Times New Roman" w:eastAsiaTheme="minorEastAsia" w:hAnsi="Times New Roman" w:cs="Times New Roman"/>
          <w:b/>
          <w:sz w:val="24"/>
          <w:szCs w:val="24"/>
        </w:rPr>
        <w:t xml:space="preserve">. </w:t>
      </w:r>
    </w:p>
    <w:p w:rsidR="00097080" w:rsidRPr="00005D20" w:rsidRDefault="00097080" w:rsidP="00097080">
      <w:pPr>
        <w:spacing w:after="0" w:line="240" w:lineRule="auto"/>
        <w:jc w:val="both"/>
        <w:rPr>
          <w:rFonts w:ascii="Times New Roman" w:eastAsiaTheme="minorEastAsia" w:hAnsi="Times New Roman" w:cs="Times New Roman"/>
          <w:b/>
          <w:sz w:val="24"/>
          <w:szCs w:val="24"/>
        </w:rPr>
      </w:pPr>
    </w:p>
    <w:p w:rsidR="002E42A9" w:rsidRDefault="002E42A9" w:rsidP="000970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 Cointegration Results</w:t>
      </w:r>
    </w:p>
    <w:p w:rsidR="002E42A9" w:rsidRPr="002E42A9" w:rsidRDefault="002E42A9" w:rsidP="002E42A9">
      <w:pPr>
        <w:spacing w:after="0" w:line="240" w:lineRule="auto"/>
        <w:jc w:val="both"/>
        <w:rPr>
          <w:rFonts w:ascii="Times New Roman" w:hAnsi="Times New Roman" w:cs="Times New Roman"/>
          <w:b/>
          <w:sz w:val="16"/>
          <w:szCs w:val="24"/>
        </w:rPr>
      </w:pPr>
    </w:p>
    <w:tbl>
      <w:tblPr>
        <w:tblStyle w:val="TableGrid1"/>
        <w:tblW w:w="9630" w:type="dxa"/>
        <w:tblInd w:w="108" w:type="dxa"/>
        <w:tblLook w:val="04A0"/>
      </w:tblPr>
      <w:tblGrid>
        <w:gridCol w:w="2265"/>
        <w:gridCol w:w="1941"/>
        <w:gridCol w:w="2004"/>
        <w:gridCol w:w="1530"/>
        <w:gridCol w:w="1890"/>
      </w:tblGrid>
      <w:tr w:rsidR="00F33F84" w:rsidRPr="00005D20" w:rsidTr="008F1E21">
        <w:trPr>
          <w:trHeight w:val="313"/>
        </w:trPr>
        <w:tc>
          <w:tcPr>
            <w:tcW w:w="2265" w:type="dxa"/>
            <w:vMerge w:val="restart"/>
          </w:tcPr>
          <w:p w:rsidR="00F33F84" w:rsidRPr="008F1E21" w:rsidRDefault="00F33F84" w:rsidP="008F1E21">
            <w:pPr>
              <w:jc w:val="center"/>
              <w:rPr>
                <w:rFonts w:eastAsiaTheme="minorEastAsia" w:cs="Times New Roman"/>
                <w:b/>
              </w:rPr>
            </w:pPr>
            <w:r w:rsidRPr="008F1E21">
              <w:rPr>
                <w:rFonts w:eastAsiaTheme="minorEastAsia" w:cs="Times New Roman"/>
                <w:b/>
              </w:rPr>
              <w:t>Variable</w:t>
            </w:r>
          </w:p>
        </w:tc>
        <w:tc>
          <w:tcPr>
            <w:tcW w:w="1941" w:type="dxa"/>
            <w:vMerge w:val="restart"/>
          </w:tcPr>
          <w:p w:rsidR="00F33F84" w:rsidRPr="008F1E21" w:rsidRDefault="00F33F84" w:rsidP="008F1E21">
            <w:pPr>
              <w:jc w:val="center"/>
              <w:rPr>
                <w:rFonts w:eastAsiaTheme="minorEastAsia" w:cs="Times New Roman"/>
                <w:b/>
              </w:rPr>
            </w:pPr>
            <w:r w:rsidRPr="008F1E21">
              <w:rPr>
                <w:rFonts w:eastAsiaTheme="minorEastAsia" w:cs="Times New Roman"/>
                <w:b/>
              </w:rPr>
              <w:t>ADF statistics</w:t>
            </w:r>
          </w:p>
        </w:tc>
        <w:tc>
          <w:tcPr>
            <w:tcW w:w="5424" w:type="dxa"/>
            <w:gridSpan w:val="3"/>
          </w:tcPr>
          <w:p w:rsidR="00F33F84" w:rsidRPr="008F1E21" w:rsidRDefault="00F33F84" w:rsidP="008F1E21">
            <w:pPr>
              <w:jc w:val="center"/>
              <w:rPr>
                <w:rFonts w:eastAsiaTheme="minorEastAsia" w:cs="Times New Roman"/>
                <w:b/>
              </w:rPr>
            </w:pPr>
            <w:r w:rsidRPr="008F1E21">
              <w:rPr>
                <w:rFonts w:eastAsiaTheme="minorEastAsia" w:cs="Times New Roman"/>
                <w:b/>
              </w:rPr>
              <w:t>Critical values</w:t>
            </w:r>
          </w:p>
        </w:tc>
      </w:tr>
      <w:tr w:rsidR="00F33F84" w:rsidRPr="00005D20" w:rsidTr="008F1E21">
        <w:trPr>
          <w:trHeight w:val="343"/>
        </w:trPr>
        <w:tc>
          <w:tcPr>
            <w:tcW w:w="2265" w:type="dxa"/>
            <w:vMerge/>
          </w:tcPr>
          <w:p w:rsidR="00F33F84" w:rsidRPr="008F1E21" w:rsidRDefault="00F33F84" w:rsidP="008F1E21">
            <w:pPr>
              <w:jc w:val="center"/>
              <w:rPr>
                <w:rFonts w:eastAsiaTheme="minorEastAsia" w:cs="Times New Roman"/>
                <w:b/>
              </w:rPr>
            </w:pPr>
          </w:p>
        </w:tc>
        <w:tc>
          <w:tcPr>
            <w:tcW w:w="1941" w:type="dxa"/>
            <w:vMerge/>
          </w:tcPr>
          <w:p w:rsidR="00F33F84" w:rsidRPr="008F1E21" w:rsidRDefault="00F33F84" w:rsidP="008F1E21">
            <w:pPr>
              <w:jc w:val="center"/>
              <w:rPr>
                <w:rFonts w:eastAsiaTheme="minorEastAsia" w:cs="Times New Roman"/>
                <w:b/>
              </w:rPr>
            </w:pPr>
          </w:p>
        </w:tc>
        <w:tc>
          <w:tcPr>
            <w:tcW w:w="2004" w:type="dxa"/>
          </w:tcPr>
          <w:p w:rsidR="00F33F84" w:rsidRPr="008F1E21" w:rsidRDefault="00F33F84" w:rsidP="008F1E21">
            <w:pPr>
              <w:jc w:val="center"/>
              <w:rPr>
                <w:rFonts w:eastAsiaTheme="minorEastAsia" w:cs="Times New Roman"/>
                <w:b/>
              </w:rPr>
            </w:pPr>
            <w:r w:rsidRPr="008F1E21">
              <w:rPr>
                <w:rFonts w:eastAsiaTheme="minorEastAsia" w:cs="Times New Roman"/>
                <w:b/>
              </w:rPr>
              <w:t>1%</w:t>
            </w:r>
          </w:p>
        </w:tc>
        <w:tc>
          <w:tcPr>
            <w:tcW w:w="1530" w:type="dxa"/>
          </w:tcPr>
          <w:p w:rsidR="00F33F84" w:rsidRPr="008F1E21" w:rsidRDefault="00F33F84" w:rsidP="008F1E21">
            <w:pPr>
              <w:jc w:val="center"/>
              <w:rPr>
                <w:rFonts w:eastAsiaTheme="minorEastAsia" w:cs="Times New Roman"/>
                <w:b/>
              </w:rPr>
            </w:pPr>
            <w:r w:rsidRPr="008F1E21">
              <w:rPr>
                <w:rFonts w:eastAsiaTheme="minorEastAsia" w:cs="Times New Roman"/>
                <w:b/>
              </w:rPr>
              <w:t>5%</w:t>
            </w:r>
          </w:p>
        </w:tc>
        <w:tc>
          <w:tcPr>
            <w:tcW w:w="1890" w:type="dxa"/>
          </w:tcPr>
          <w:p w:rsidR="00F33F84" w:rsidRPr="008F1E21" w:rsidRDefault="00F33F84" w:rsidP="008F1E21">
            <w:pPr>
              <w:jc w:val="center"/>
              <w:rPr>
                <w:rFonts w:eastAsiaTheme="minorEastAsia" w:cs="Times New Roman"/>
                <w:b/>
              </w:rPr>
            </w:pPr>
            <w:r w:rsidRPr="008F1E21">
              <w:rPr>
                <w:rFonts w:eastAsiaTheme="minorEastAsia" w:cs="Times New Roman"/>
                <w:b/>
              </w:rPr>
              <w:t>10%</w:t>
            </w:r>
          </w:p>
        </w:tc>
      </w:tr>
      <w:tr w:rsidR="00F33F84" w:rsidRPr="00005D20" w:rsidTr="008F1E21">
        <w:trPr>
          <w:trHeight w:val="377"/>
        </w:trPr>
        <w:tc>
          <w:tcPr>
            <w:tcW w:w="2265" w:type="dxa"/>
          </w:tcPr>
          <w:p w:rsidR="00F33F84" w:rsidRPr="008F1E21" w:rsidRDefault="00F33F84" w:rsidP="008F1E21">
            <w:pPr>
              <w:jc w:val="center"/>
              <w:rPr>
                <w:rFonts w:eastAsiaTheme="minorEastAsia" w:cs="Times New Roman"/>
              </w:rPr>
            </w:pPr>
            <w:r w:rsidRPr="008F1E21">
              <w:rPr>
                <w:rFonts w:eastAsiaTheme="minorEastAsia" w:cs="Times New Roman"/>
              </w:rPr>
              <w:t>Residual</w:t>
            </w:r>
          </w:p>
        </w:tc>
        <w:tc>
          <w:tcPr>
            <w:tcW w:w="1941" w:type="dxa"/>
          </w:tcPr>
          <w:p w:rsidR="00F33F84" w:rsidRPr="008F1E21" w:rsidRDefault="00F33F84" w:rsidP="008F1E21">
            <w:pPr>
              <w:jc w:val="center"/>
              <w:rPr>
                <w:rFonts w:cs="Times New Roman"/>
              </w:rPr>
            </w:pPr>
            <w:r w:rsidRPr="008F1E21">
              <w:rPr>
                <w:rFonts w:cs="Times New Roman"/>
              </w:rPr>
              <w:t>0.104</w:t>
            </w:r>
          </w:p>
        </w:tc>
        <w:tc>
          <w:tcPr>
            <w:tcW w:w="2004" w:type="dxa"/>
          </w:tcPr>
          <w:p w:rsidR="00F33F84" w:rsidRPr="008F1E21" w:rsidRDefault="00F33F84" w:rsidP="008F1E21">
            <w:pPr>
              <w:jc w:val="center"/>
              <w:rPr>
                <w:rFonts w:cs="Times New Roman"/>
              </w:rPr>
            </w:pPr>
            <w:r w:rsidRPr="008F1E21">
              <w:rPr>
                <w:rFonts w:cs="Times New Roman"/>
              </w:rPr>
              <w:t>-3.634</w:t>
            </w:r>
          </w:p>
        </w:tc>
        <w:tc>
          <w:tcPr>
            <w:tcW w:w="1530" w:type="dxa"/>
          </w:tcPr>
          <w:p w:rsidR="00F33F84" w:rsidRPr="008F1E21" w:rsidRDefault="00F33F84" w:rsidP="008F1E21">
            <w:pPr>
              <w:jc w:val="center"/>
              <w:rPr>
                <w:rFonts w:cs="Times New Roman"/>
              </w:rPr>
            </w:pPr>
            <w:r w:rsidRPr="008F1E21">
              <w:rPr>
                <w:rFonts w:cs="Times New Roman"/>
              </w:rPr>
              <w:t>-2.952</w:t>
            </w:r>
          </w:p>
        </w:tc>
        <w:tc>
          <w:tcPr>
            <w:tcW w:w="1890" w:type="dxa"/>
          </w:tcPr>
          <w:p w:rsidR="00F33F84" w:rsidRPr="008F1E21" w:rsidRDefault="00F33F84" w:rsidP="008F1E21">
            <w:pPr>
              <w:jc w:val="center"/>
              <w:rPr>
                <w:rFonts w:cs="Times New Roman"/>
              </w:rPr>
            </w:pPr>
            <w:r w:rsidRPr="008F1E21">
              <w:rPr>
                <w:rFonts w:cs="Times New Roman"/>
              </w:rPr>
              <w:t>-2.610</w:t>
            </w:r>
          </w:p>
        </w:tc>
      </w:tr>
    </w:tbl>
    <w:p w:rsidR="008F1E21" w:rsidRDefault="008F1E21" w:rsidP="008F1E21">
      <w:pPr>
        <w:spacing w:after="0" w:line="240" w:lineRule="auto"/>
        <w:jc w:val="both"/>
        <w:rPr>
          <w:rFonts w:ascii="Times New Roman" w:hAnsi="Times New Roman" w:cs="Times New Roman"/>
          <w:sz w:val="24"/>
          <w:szCs w:val="24"/>
        </w:rPr>
      </w:pPr>
    </w:p>
    <w:p w:rsidR="00CA45DE" w:rsidRDefault="00F33F84" w:rsidP="009A4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 results</w:t>
      </w:r>
      <w:r w:rsidRPr="00005D20">
        <w:rPr>
          <w:rFonts w:ascii="Times New Roman" w:hAnsi="Times New Roman" w:cs="Times New Roman"/>
          <w:sz w:val="24"/>
          <w:szCs w:val="24"/>
        </w:rPr>
        <w:t xml:space="preserve"> given</w:t>
      </w:r>
      <w:r>
        <w:rPr>
          <w:rFonts w:ascii="Times New Roman" w:hAnsi="Times New Roman" w:cs="Times New Roman"/>
          <w:sz w:val="24"/>
          <w:szCs w:val="24"/>
        </w:rPr>
        <w:t xml:space="preserve"> in Table 4.2, it can be observed </w:t>
      </w:r>
      <w:r w:rsidRPr="00005D20">
        <w:rPr>
          <w:rFonts w:ascii="Times New Roman" w:hAnsi="Times New Roman" w:cs="Times New Roman"/>
          <w:sz w:val="24"/>
          <w:szCs w:val="24"/>
        </w:rPr>
        <w:t xml:space="preserve">that the t-stat is less than the critical value at 5% </w:t>
      </w:r>
      <w:r>
        <w:rPr>
          <w:rFonts w:ascii="Times New Roman" w:hAnsi="Times New Roman" w:cs="Times New Roman"/>
          <w:sz w:val="24"/>
          <w:szCs w:val="24"/>
        </w:rPr>
        <w:t>level of significance.</w:t>
      </w:r>
      <w:r w:rsidRPr="00005D20">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005D20">
        <w:rPr>
          <w:rFonts w:ascii="Times New Roman" w:hAnsi="Times New Roman" w:cs="Times New Roman"/>
          <w:sz w:val="24"/>
          <w:szCs w:val="24"/>
        </w:rPr>
        <w:t xml:space="preserve">this </w:t>
      </w:r>
      <w:r>
        <w:rPr>
          <w:rFonts w:ascii="Times New Roman" w:hAnsi="Times New Roman" w:cs="Times New Roman"/>
          <w:sz w:val="24"/>
          <w:szCs w:val="24"/>
        </w:rPr>
        <w:t>implies</w:t>
      </w:r>
      <w:r w:rsidRPr="00005D20">
        <w:rPr>
          <w:rFonts w:ascii="Times New Roman" w:hAnsi="Times New Roman" w:cs="Times New Roman"/>
          <w:sz w:val="24"/>
          <w:szCs w:val="24"/>
        </w:rPr>
        <w:t xml:space="preserve"> that there is no cointegration between OPR and REXR</w:t>
      </w:r>
      <w:r>
        <w:rPr>
          <w:rFonts w:ascii="Times New Roman" w:hAnsi="Times New Roman" w:cs="Times New Roman"/>
          <w:sz w:val="24"/>
          <w:szCs w:val="24"/>
        </w:rPr>
        <w:t xml:space="preserve"> and economic growth in Nigeria’s case</w:t>
      </w:r>
      <w:r w:rsidR="00340E44">
        <w:rPr>
          <w:rFonts w:ascii="Times New Roman" w:hAnsi="Times New Roman" w:cs="Times New Roman"/>
          <w:sz w:val="24"/>
          <w:szCs w:val="24"/>
        </w:rPr>
        <w:t>, which suggest that the variables do not drift together in the long run.</w:t>
      </w:r>
      <w:r w:rsidR="00970366">
        <w:rPr>
          <w:rFonts w:ascii="Times New Roman" w:hAnsi="Times New Roman" w:cs="Times New Roman"/>
          <w:sz w:val="24"/>
          <w:szCs w:val="24"/>
        </w:rPr>
        <w:t xml:space="preserve"> </w:t>
      </w:r>
      <w:r w:rsidR="00340E44">
        <w:rPr>
          <w:rFonts w:ascii="Times New Roman" w:hAnsi="Times New Roman" w:cs="Times New Roman"/>
          <w:sz w:val="24"/>
          <w:szCs w:val="24"/>
        </w:rPr>
        <w:t>Therefore</w:t>
      </w:r>
      <w:r w:rsidR="00970366">
        <w:rPr>
          <w:rFonts w:ascii="Times New Roman" w:hAnsi="Times New Roman" w:cs="Times New Roman"/>
          <w:sz w:val="24"/>
          <w:szCs w:val="24"/>
        </w:rPr>
        <w:t xml:space="preserve">, </w:t>
      </w:r>
      <w:r w:rsidR="00340E44">
        <w:rPr>
          <w:rFonts w:ascii="Times New Roman" w:hAnsi="Times New Roman" w:cs="Times New Roman"/>
          <w:sz w:val="24"/>
          <w:szCs w:val="24"/>
        </w:rPr>
        <w:t>we accept the null hypothesis of no cointegration. From the result of cointegration tests, we inferred that there is no long-</w:t>
      </w:r>
      <w:r w:rsidR="00340E44" w:rsidRPr="00C606DB">
        <w:rPr>
          <w:rFonts w:ascii="Times New Roman" w:hAnsi="Times New Roman" w:cs="Times New Roman"/>
          <w:sz w:val="24"/>
          <w:szCs w:val="24"/>
        </w:rPr>
        <w:t>run relationship between oil price oscillation, exchange rate dynamics and Economic performance</w:t>
      </w:r>
      <w:r w:rsidR="00340E44">
        <w:rPr>
          <w:rFonts w:ascii="Times New Roman" w:hAnsi="Times New Roman" w:cs="Times New Roman"/>
          <w:sz w:val="24"/>
          <w:szCs w:val="24"/>
        </w:rPr>
        <w:t>.</w:t>
      </w:r>
      <w:r w:rsidR="008F1E21">
        <w:rPr>
          <w:rFonts w:ascii="Times New Roman" w:hAnsi="Times New Roman" w:cs="Times New Roman"/>
          <w:sz w:val="24"/>
          <w:szCs w:val="24"/>
        </w:rPr>
        <w:t xml:space="preserve"> </w:t>
      </w:r>
      <w:r w:rsidR="002E42A9">
        <w:rPr>
          <w:rFonts w:ascii="Times New Roman" w:hAnsi="Times New Roman" w:cs="Times New Roman"/>
          <w:sz w:val="24"/>
          <w:szCs w:val="24"/>
        </w:rPr>
        <w:t xml:space="preserve">To </w:t>
      </w:r>
      <w:r w:rsidR="00340E44">
        <w:rPr>
          <w:rFonts w:ascii="Times New Roman" w:hAnsi="Times New Roman" w:cs="Times New Roman"/>
          <w:sz w:val="24"/>
          <w:szCs w:val="24"/>
        </w:rPr>
        <w:t>further the inquiry on examining</w:t>
      </w:r>
      <w:r w:rsidR="002E42A9">
        <w:rPr>
          <w:rFonts w:ascii="Times New Roman" w:hAnsi="Times New Roman" w:cs="Times New Roman"/>
          <w:sz w:val="24"/>
          <w:szCs w:val="24"/>
        </w:rPr>
        <w:t xml:space="preserve"> if </w:t>
      </w:r>
      <w:r w:rsidR="002E42A9" w:rsidRPr="002E42A9">
        <w:rPr>
          <w:rFonts w:ascii="Times New Roman" w:hAnsi="Times New Roman" w:cs="Times New Roman"/>
          <w:sz w:val="24"/>
          <w:szCs w:val="24"/>
        </w:rPr>
        <w:t xml:space="preserve">oil price fluctuation has no significant influence on real exchange rate, </w:t>
      </w:r>
      <w:r w:rsidR="002E42A9">
        <w:rPr>
          <w:rFonts w:ascii="Times New Roman" w:hAnsi="Times New Roman" w:cs="Times New Roman"/>
          <w:sz w:val="24"/>
          <w:szCs w:val="24"/>
        </w:rPr>
        <w:t xml:space="preserve">the </w:t>
      </w:r>
      <w:r w:rsidR="002E42A9" w:rsidRPr="002E42A9">
        <w:rPr>
          <w:rFonts w:ascii="Times New Roman" w:hAnsi="Times New Roman" w:cs="Times New Roman"/>
          <w:sz w:val="24"/>
          <w:szCs w:val="24"/>
        </w:rPr>
        <w:t>EGARCH model</w:t>
      </w:r>
      <w:r w:rsidR="002E42A9">
        <w:rPr>
          <w:rFonts w:ascii="Times New Roman" w:hAnsi="Times New Roman" w:cs="Times New Roman"/>
          <w:sz w:val="24"/>
          <w:szCs w:val="24"/>
        </w:rPr>
        <w:t xml:space="preserve"> </w:t>
      </w:r>
      <w:r w:rsidR="003A5642">
        <w:rPr>
          <w:rFonts w:ascii="Times New Roman" w:hAnsi="Times New Roman" w:cs="Times New Roman"/>
          <w:sz w:val="24"/>
          <w:szCs w:val="24"/>
        </w:rPr>
        <w:t>was</w:t>
      </w:r>
      <w:r w:rsidR="002E42A9">
        <w:rPr>
          <w:rFonts w:ascii="Times New Roman" w:hAnsi="Times New Roman" w:cs="Times New Roman"/>
          <w:sz w:val="24"/>
          <w:szCs w:val="24"/>
        </w:rPr>
        <w:t xml:space="preserve"> estimated</w:t>
      </w:r>
      <w:r w:rsidR="00CA45DE">
        <w:rPr>
          <w:rFonts w:ascii="Times New Roman" w:hAnsi="Times New Roman" w:cs="Times New Roman"/>
          <w:sz w:val="24"/>
          <w:szCs w:val="24"/>
        </w:rPr>
        <w:t xml:space="preserve"> as indicated </w:t>
      </w:r>
      <w:r w:rsidR="002E42A9">
        <w:rPr>
          <w:rFonts w:ascii="Times New Roman" w:hAnsi="Times New Roman" w:cs="Times New Roman"/>
          <w:sz w:val="24"/>
          <w:szCs w:val="24"/>
        </w:rPr>
        <w:t>in table 4.</w:t>
      </w:r>
      <w:r w:rsidR="00CE3137">
        <w:rPr>
          <w:rFonts w:ascii="Times New Roman" w:hAnsi="Times New Roman" w:cs="Times New Roman"/>
          <w:sz w:val="24"/>
          <w:szCs w:val="24"/>
        </w:rPr>
        <w:t>6</w:t>
      </w:r>
      <w:r w:rsidR="002E42A9">
        <w:rPr>
          <w:rFonts w:ascii="Times New Roman" w:hAnsi="Times New Roman" w:cs="Times New Roman"/>
          <w:sz w:val="24"/>
          <w:szCs w:val="24"/>
        </w:rPr>
        <w:t xml:space="preserve"> belo</w:t>
      </w:r>
      <w:r w:rsidR="00CA45DE">
        <w:rPr>
          <w:rFonts w:ascii="Times New Roman" w:hAnsi="Times New Roman" w:cs="Times New Roman"/>
          <w:sz w:val="24"/>
          <w:szCs w:val="24"/>
        </w:rPr>
        <w:t>w.</w:t>
      </w:r>
      <w:r w:rsidR="00AB798F">
        <w:rPr>
          <w:rFonts w:ascii="Times New Roman" w:hAnsi="Times New Roman" w:cs="Times New Roman"/>
          <w:sz w:val="24"/>
          <w:szCs w:val="24"/>
        </w:rPr>
        <w:t xml:space="preserve"> But before that, we establish</w:t>
      </w:r>
      <w:r w:rsidR="00B506D1">
        <w:rPr>
          <w:rFonts w:ascii="Times New Roman" w:hAnsi="Times New Roman" w:cs="Times New Roman"/>
          <w:sz w:val="24"/>
          <w:szCs w:val="24"/>
        </w:rPr>
        <w:t>ed</w:t>
      </w:r>
      <w:r w:rsidR="00AB798F">
        <w:rPr>
          <w:rFonts w:ascii="Times New Roman" w:hAnsi="Times New Roman" w:cs="Times New Roman"/>
          <w:sz w:val="24"/>
          <w:szCs w:val="24"/>
        </w:rPr>
        <w:t xml:space="preserve"> the </w:t>
      </w:r>
      <w:r w:rsidR="00B506D1">
        <w:rPr>
          <w:rFonts w:ascii="Times New Roman" w:hAnsi="Times New Roman" w:cs="Times New Roman"/>
          <w:sz w:val="24"/>
          <w:szCs w:val="24"/>
        </w:rPr>
        <w:t>influence</w:t>
      </w:r>
      <w:r w:rsidR="00AB798F">
        <w:rPr>
          <w:rFonts w:ascii="Times New Roman" w:hAnsi="Times New Roman" w:cs="Times New Roman"/>
          <w:sz w:val="24"/>
          <w:szCs w:val="24"/>
        </w:rPr>
        <w:t xml:space="preserve"> of oil price oscillation, </w:t>
      </w:r>
      <w:r w:rsidR="00AB798F">
        <w:rPr>
          <w:rFonts w:ascii="Times New Roman" w:hAnsi="Times New Roman" w:cs="Times New Roman"/>
          <w:sz w:val="24"/>
          <w:szCs w:val="24"/>
        </w:rPr>
        <w:lastRenderedPageBreak/>
        <w:t xml:space="preserve">exchange rate dynamic </w:t>
      </w:r>
      <w:r w:rsidR="00B506D1">
        <w:rPr>
          <w:rFonts w:ascii="Times New Roman" w:hAnsi="Times New Roman" w:cs="Times New Roman"/>
          <w:sz w:val="24"/>
          <w:szCs w:val="24"/>
        </w:rPr>
        <w:t>on</w:t>
      </w:r>
      <w:r w:rsidR="00AB798F">
        <w:rPr>
          <w:rFonts w:ascii="Times New Roman" w:hAnsi="Times New Roman" w:cs="Times New Roman"/>
          <w:sz w:val="24"/>
          <w:szCs w:val="24"/>
        </w:rPr>
        <w:t xml:space="preserve"> economic performance.</w:t>
      </w:r>
      <w:r w:rsidR="00B506D1">
        <w:rPr>
          <w:rFonts w:ascii="Times New Roman" w:hAnsi="Times New Roman" w:cs="Times New Roman"/>
          <w:sz w:val="24"/>
          <w:szCs w:val="24"/>
        </w:rPr>
        <w:t xml:space="preserve"> In doing this, to correct the problem of </w:t>
      </w:r>
      <w:r w:rsidR="00B506D1" w:rsidRPr="00005D20">
        <w:rPr>
          <w:rFonts w:ascii="Times New Roman" w:hAnsi="Times New Roman" w:cs="Times New Roman"/>
          <w:sz w:val="24"/>
          <w:szCs w:val="24"/>
        </w:rPr>
        <w:t>heteroscedasticity and autocorrelation</w:t>
      </w:r>
      <w:r w:rsidR="00B506D1">
        <w:rPr>
          <w:rFonts w:ascii="Times New Roman" w:hAnsi="Times New Roman" w:cs="Times New Roman"/>
          <w:sz w:val="24"/>
          <w:szCs w:val="24"/>
        </w:rPr>
        <w:t xml:space="preserve"> which is inherent in high frequency data, we use Newey-</w:t>
      </w:r>
      <w:r w:rsidR="00B506D1" w:rsidRPr="00005D20">
        <w:rPr>
          <w:rFonts w:ascii="Times New Roman" w:hAnsi="Times New Roman" w:cs="Times New Roman"/>
          <w:sz w:val="24"/>
          <w:szCs w:val="24"/>
        </w:rPr>
        <w:t>west standard errors</w:t>
      </w:r>
      <w:r w:rsidR="00B506D1">
        <w:rPr>
          <w:rFonts w:ascii="Times New Roman" w:hAnsi="Times New Roman" w:cs="Times New Roman"/>
          <w:sz w:val="24"/>
          <w:szCs w:val="24"/>
        </w:rPr>
        <w:t xml:space="preserve"> in the regression.  The results is presented below</w:t>
      </w:r>
    </w:p>
    <w:p w:rsidR="00BD55AC" w:rsidRDefault="00BD55AC" w:rsidP="009A48E2">
      <w:pPr>
        <w:spacing w:after="0" w:line="240" w:lineRule="auto"/>
        <w:jc w:val="both"/>
        <w:rPr>
          <w:rFonts w:ascii="Times New Roman" w:hAnsi="Times New Roman" w:cs="Times New Roman"/>
          <w:sz w:val="24"/>
          <w:szCs w:val="24"/>
        </w:rPr>
      </w:pPr>
    </w:p>
    <w:p w:rsidR="00AB798F" w:rsidRPr="00C00F7D" w:rsidRDefault="00CE3137" w:rsidP="00AB798F">
      <w:pPr>
        <w:spacing w:line="240" w:lineRule="auto"/>
        <w:jc w:val="both"/>
        <w:rPr>
          <w:rFonts w:ascii="Times New Roman" w:hAnsi="Times New Roman" w:cs="Times New Roman"/>
          <w:b/>
          <w:sz w:val="24"/>
          <w:szCs w:val="24"/>
        </w:rPr>
      </w:pPr>
      <w:r w:rsidRPr="00C00F7D">
        <w:rPr>
          <w:rFonts w:ascii="Times New Roman" w:hAnsi="Times New Roman" w:cs="Times New Roman"/>
          <w:b/>
          <w:sz w:val="24"/>
          <w:szCs w:val="24"/>
        </w:rPr>
        <w:t xml:space="preserve">Table 4.3: </w:t>
      </w:r>
      <w:r w:rsidR="00AB798F" w:rsidRPr="00C00F7D">
        <w:rPr>
          <w:rFonts w:ascii="Times New Roman" w:hAnsi="Times New Roman" w:cs="Times New Roman"/>
          <w:b/>
          <w:sz w:val="24"/>
          <w:szCs w:val="24"/>
        </w:rPr>
        <w:t>Pr</w:t>
      </w:r>
      <w:r w:rsidR="00B506D1" w:rsidRPr="00C00F7D">
        <w:rPr>
          <w:rFonts w:ascii="Times New Roman" w:hAnsi="Times New Roman" w:cs="Times New Roman"/>
          <w:b/>
          <w:sz w:val="24"/>
          <w:szCs w:val="24"/>
        </w:rPr>
        <w:t>esentation of Regression Result:</w:t>
      </w:r>
    </w:p>
    <w:p w:rsidR="00AB798F" w:rsidRPr="00C00F7D" w:rsidRDefault="00AB798F" w:rsidP="00AB798F">
      <w:pPr>
        <w:spacing w:line="240" w:lineRule="auto"/>
        <w:jc w:val="both"/>
        <w:rPr>
          <w:rFonts w:ascii="Times New Roman" w:hAnsi="Times New Roman" w:cs="Times New Roman"/>
          <w:sz w:val="24"/>
          <w:szCs w:val="24"/>
        </w:rPr>
      </w:pPr>
      <w:r w:rsidRPr="00C00F7D">
        <w:rPr>
          <w:rFonts w:ascii="Times New Roman" w:hAnsi="Times New Roman" w:cs="Times New Roman"/>
          <w:sz w:val="24"/>
          <w:szCs w:val="24"/>
        </w:rPr>
        <w:t>Dependent Variable: RGDP</w:t>
      </w:r>
    </w:p>
    <w:tbl>
      <w:tblPr>
        <w:tblStyle w:val="TableGrid"/>
        <w:tblW w:w="0" w:type="auto"/>
        <w:tblInd w:w="108" w:type="dxa"/>
        <w:tblLook w:val="04A0"/>
      </w:tblPr>
      <w:tblGrid>
        <w:gridCol w:w="1878"/>
        <w:gridCol w:w="2005"/>
        <w:gridCol w:w="1992"/>
        <w:gridCol w:w="1986"/>
        <w:gridCol w:w="1859"/>
      </w:tblGrid>
      <w:tr w:rsidR="00AB798F" w:rsidRPr="00C00F7D" w:rsidTr="00B506D1">
        <w:tc>
          <w:tcPr>
            <w:tcW w:w="1878" w:type="dxa"/>
          </w:tcPr>
          <w:p w:rsidR="00AB798F" w:rsidRPr="00C00F7D" w:rsidRDefault="00AB798F" w:rsidP="00B506D1">
            <w:pPr>
              <w:jc w:val="center"/>
              <w:rPr>
                <w:rFonts w:asciiTheme="minorHAnsi" w:hAnsiTheme="minorHAnsi"/>
                <w:sz w:val="24"/>
                <w:szCs w:val="24"/>
              </w:rPr>
            </w:pPr>
            <w:r w:rsidRPr="00C00F7D">
              <w:rPr>
                <w:rFonts w:asciiTheme="minorHAnsi" w:hAnsiTheme="minorHAnsi"/>
                <w:sz w:val="24"/>
                <w:szCs w:val="24"/>
              </w:rPr>
              <w:t>Variable</w:t>
            </w:r>
          </w:p>
        </w:tc>
        <w:tc>
          <w:tcPr>
            <w:tcW w:w="2005" w:type="dxa"/>
          </w:tcPr>
          <w:p w:rsidR="00AB798F" w:rsidRPr="00C00F7D" w:rsidRDefault="00AB798F" w:rsidP="00B506D1">
            <w:pPr>
              <w:jc w:val="center"/>
              <w:rPr>
                <w:rFonts w:asciiTheme="minorHAnsi" w:hAnsiTheme="minorHAnsi"/>
                <w:sz w:val="24"/>
                <w:szCs w:val="24"/>
              </w:rPr>
            </w:pPr>
            <w:r w:rsidRPr="00C00F7D">
              <w:rPr>
                <w:rFonts w:asciiTheme="minorHAnsi" w:hAnsiTheme="minorHAnsi"/>
                <w:sz w:val="24"/>
                <w:szCs w:val="24"/>
              </w:rPr>
              <w:t>Coefficient</w:t>
            </w:r>
          </w:p>
        </w:tc>
        <w:tc>
          <w:tcPr>
            <w:tcW w:w="1992" w:type="dxa"/>
          </w:tcPr>
          <w:p w:rsidR="00AB798F" w:rsidRPr="00C00F7D" w:rsidRDefault="00AB798F" w:rsidP="00B506D1">
            <w:pPr>
              <w:jc w:val="center"/>
              <w:rPr>
                <w:rFonts w:asciiTheme="minorHAnsi" w:hAnsiTheme="minorHAnsi"/>
                <w:sz w:val="24"/>
                <w:szCs w:val="24"/>
              </w:rPr>
            </w:pPr>
            <w:r w:rsidRPr="00C00F7D">
              <w:rPr>
                <w:rFonts w:asciiTheme="minorHAnsi" w:hAnsiTheme="minorHAnsi"/>
                <w:sz w:val="24"/>
                <w:szCs w:val="24"/>
              </w:rPr>
              <w:t>Std-error</w:t>
            </w:r>
          </w:p>
        </w:tc>
        <w:tc>
          <w:tcPr>
            <w:tcW w:w="1986" w:type="dxa"/>
          </w:tcPr>
          <w:p w:rsidR="00AB798F" w:rsidRPr="00C00F7D" w:rsidRDefault="00AB798F" w:rsidP="00B506D1">
            <w:pPr>
              <w:jc w:val="center"/>
              <w:rPr>
                <w:rFonts w:asciiTheme="minorHAnsi" w:hAnsiTheme="minorHAnsi"/>
                <w:sz w:val="24"/>
                <w:szCs w:val="24"/>
              </w:rPr>
            </w:pPr>
            <w:r w:rsidRPr="00C00F7D">
              <w:rPr>
                <w:rFonts w:asciiTheme="minorHAnsi" w:hAnsiTheme="minorHAnsi"/>
                <w:sz w:val="24"/>
                <w:szCs w:val="24"/>
              </w:rPr>
              <w:t>t-statistics</w:t>
            </w:r>
          </w:p>
        </w:tc>
        <w:tc>
          <w:tcPr>
            <w:tcW w:w="1859" w:type="dxa"/>
          </w:tcPr>
          <w:p w:rsidR="00AB798F" w:rsidRPr="00C00F7D" w:rsidRDefault="00AB798F" w:rsidP="00B506D1">
            <w:pPr>
              <w:jc w:val="center"/>
              <w:rPr>
                <w:rFonts w:asciiTheme="minorHAnsi" w:hAnsiTheme="minorHAnsi"/>
                <w:sz w:val="24"/>
                <w:szCs w:val="24"/>
              </w:rPr>
            </w:pPr>
            <w:r w:rsidRPr="00C00F7D">
              <w:rPr>
                <w:rFonts w:asciiTheme="minorHAnsi" w:hAnsiTheme="minorHAnsi"/>
                <w:sz w:val="24"/>
                <w:szCs w:val="24"/>
              </w:rPr>
              <w:t>p-value</w:t>
            </w:r>
          </w:p>
        </w:tc>
      </w:tr>
      <w:tr w:rsidR="00AB798F" w:rsidRPr="00C00F7D" w:rsidTr="00B506D1">
        <w:trPr>
          <w:trHeight w:val="285"/>
        </w:trPr>
        <w:tc>
          <w:tcPr>
            <w:tcW w:w="1878" w:type="dxa"/>
          </w:tcPr>
          <w:p w:rsidR="00AB798F" w:rsidRPr="00C00F7D" w:rsidRDefault="00AB798F" w:rsidP="00B506D1">
            <w:pPr>
              <w:jc w:val="center"/>
              <w:rPr>
                <w:rFonts w:asciiTheme="minorHAnsi" w:hAnsiTheme="minorHAnsi"/>
              </w:rPr>
            </w:pPr>
            <w:r w:rsidRPr="00C00F7D">
              <w:rPr>
                <w:rFonts w:asciiTheme="minorHAnsi" w:hAnsiTheme="minorHAnsi"/>
              </w:rPr>
              <w:t>C</w:t>
            </w:r>
          </w:p>
        </w:tc>
        <w:tc>
          <w:tcPr>
            <w:tcW w:w="2005" w:type="dxa"/>
          </w:tcPr>
          <w:p w:rsidR="00AB798F" w:rsidRPr="00C00F7D" w:rsidRDefault="00AB798F" w:rsidP="00B506D1">
            <w:pPr>
              <w:jc w:val="center"/>
              <w:rPr>
                <w:rFonts w:asciiTheme="minorHAnsi" w:hAnsiTheme="minorHAnsi"/>
              </w:rPr>
            </w:pPr>
            <w:r w:rsidRPr="00C00F7D">
              <w:rPr>
                <w:rFonts w:asciiTheme="minorHAnsi" w:hAnsiTheme="minorHAnsi"/>
              </w:rPr>
              <w:t>-58444.98</w:t>
            </w:r>
          </w:p>
        </w:tc>
        <w:tc>
          <w:tcPr>
            <w:tcW w:w="1992" w:type="dxa"/>
          </w:tcPr>
          <w:p w:rsidR="00AB798F" w:rsidRPr="00C00F7D" w:rsidRDefault="00AB798F" w:rsidP="00B506D1">
            <w:pPr>
              <w:jc w:val="center"/>
              <w:rPr>
                <w:rFonts w:asciiTheme="minorHAnsi" w:hAnsiTheme="minorHAnsi"/>
              </w:rPr>
            </w:pPr>
            <w:r w:rsidRPr="00C00F7D">
              <w:rPr>
                <w:rFonts w:asciiTheme="minorHAnsi" w:hAnsiTheme="minorHAnsi"/>
              </w:rPr>
              <w:t>25104.99</w:t>
            </w:r>
          </w:p>
        </w:tc>
        <w:tc>
          <w:tcPr>
            <w:tcW w:w="1986" w:type="dxa"/>
          </w:tcPr>
          <w:p w:rsidR="00AB798F" w:rsidRPr="00C00F7D" w:rsidRDefault="00AB798F" w:rsidP="00B506D1">
            <w:pPr>
              <w:jc w:val="center"/>
              <w:rPr>
                <w:rFonts w:asciiTheme="minorHAnsi" w:hAnsiTheme="minorHAnsi"/>
              </w:rPr>
            </w:pPr>
            <w:r w:rsidRPr="00C00F7D">
              <w:rPr>
                <w:rFonts w:asciiTheme="minorHAnsi" w:hAnsiTheme="minorHAnsi"/>
              </w:rPr>
              <w:t>-2.33</w:t>
            </w:r>
          </w:p>
        </w:tc>
        <w:tc>
          <w:tcPr>
            <w:tcW w:w="1859" w:type="dxa"/>
          </w:tcPr>
          <w:p w:rsidR="00AB798F" w:rsidRPr="00C00F7D" w:rsidRDefault="00AB798F" w:rsidP="00B506D1">
            <w:pPr>
              <w:jc w:val="center"/>
              <w:rPr>
                <w:rFonts w:asciiTheme="minorHAnsi" w:hAnsiTheme="minorHAnsi"/>
              </w:rPr>
            </w:pPr>
            <w:r w:rsidRPr="00C00F7D">
              <w:rPr>
                <w:rFonts w:asciiTheme="minorHAnsi" w:hAnsiTheme="minorHAnsi"/>
              </w:rPr>
              <w:t>0.026</w:t>
            </w:r>
          </w:p>
        </w:tc>
      </w:tr>
      <w:tr w:rsidR="00AB798F" w:rsidRPr="00C00F7D" w:rsidTr="00B506D1">
        <w:tc>
          <w:tcPr>
            <w:tcW w:w="1878" w:type="dxa"/>
          </w:tcPr>
          <w:p w:rsidR="00AB798F" w:rsidRPr="00C00F7D" w:rsidRDefault="00AB798F" w:rsidP="00B506D1">
            <w:pPr>
              <w:jc w:val="center"/>
              <w:rPr>
                <w:rFonts w:asciiTheme="minorHAnsi" w:hAnsiTheme="minorHAnsi"/>
              </w:rPr>
            </w:pPr>
            <w:r w:rsidRPr="00C00F7D">
              <w:rPr>
                <w:rFonts w:asciiTheme="minorHAnsi" w:hAnsiTheme="minorHAnsi"/>
              </w:rPr>
              <w:t>REXR</w:t>
            </w:r>
          </w:p>
        </w:tc>
        <w:tc>
          <w:tcPr>
            <w:tcW w:w="2005" w:type="dxa"/>
          </w:tcPr>
          <w:p w:rsidR="00AB798F" w:rsidRPr="00C00F7D" w:rsidRDefault="00AB798F" w:rsidP="00B506D1">
            <w:pPr>
              <w:jc w:val="center"/>
              <w:rPr>
                <w:rFonts w:asciiTheme="minorHAnsi" w:hAnsiTheme="minorHAnsi"/>
              </w:rPr>
            </w:pPr>
            <w:r w:rsidRPr="00C00F7D">
              <w:rPr>
                <w:rFonts w:asciiTheme="minorHAnsi" w:hAnsiTheme="minorHAnsi"/>
              </w:rPr>
              <w:t>3126.434</w:t>
            </w:r>
          </w:p>
        </w:tc>
        <w:tc>
          <w:tcPr>
            <w:tcW w:w="1992" w:type="dxa"/>
          </w:tcPr>
          <w:p w:rsidR="00AB798F" w:rsidRPr="00C00F7D" w:rsidRDefault="00AB798F" w:rsidP="00B506D1">
            <w:pPr>
              <w:jc w:val="center"/>
              <w:rPr>
                <w:rFonts w:asciiTheme="minorHAnsi" w:hAnsiTheme="minorHAnsi"/>
              </w:rPr>
            </w:pPr>
            <w:r w:rsidRPr="00C00F7D">
              <w:rPr>
                <w:rFonts w:asciiTheme="minorHAnsi" w:hAnsiTheme="minorHAnsi"/>
              </w:rPr>
              <w:t>817.1166</w:t>
            </w:r>
          </w:p>
        </w:tc>
        <w:tc>
          <w:tcPr>
            <w:tcW w:w="1986" w:type="dxa"/>
          </w:tcPr>
          <w:p w:rsidR="00AB798F" w:rsidRPr="00C00F7D" w:rsidRDefault="00AB798F" w:rsidP="00B506D1">
            <w:pPr>
              <w:jc w:val="center"/>
              <w:rPr>
                <w:rFonts w:asciiTheme="minorHAnsi" w:hAnsiTheme="minorHAnsi"/>
              </w:rPr>
            </w:pPr>
            <w:r w:rsidRPr="00C00F7D">
              <w:rPr>
                <w:rFonts w:asciiTheme="minorHAnsi" w:hAnsiTheme="minorHAnsi"/>
              </w:rPr>
              <w:t>3.83</w:t>
            </w:r>
          </w:p>
        </w:tc>
        <w:tc>
          <w:tcPr>
            <w:tcW w:w="1859" w:type="dxa"/>
          </w:tcPr>
          <w:p w:rsidR="00AB798F" w:rsidRPr="00C00F7D" w:rsidRDefault="00AB798F" w:rsidP="00B506D1">
            <w:pPr>
              <w:jc w:val="center"/>
              <w:rPr>
                <w:rFonts w:asciiTheme="minorHAnsi" w:hAnsiTheme="minorHAnsi"/>
              </w:rPr>
            </w:pPr>
            <w:r w:rsidRPr="00C00F7D">
              <w:rPr>
                <w:rFonts w:asciiTheme="minorHAnsi" w:hAnsiTheme="minorHAnsi"/>
              </w:rPr>
              <w:t>0.000</w:t>
            </w:r>
          </w:p>
        </w:tc>
      </w:tr>
      <w:tr w:rsidR="00AB798F" w:rsidRPr="00C00F7D" w:rsidTr="00B506D1">
        <w:tc>
          <w:tcPr>
            <w:tcW w:w="1878" w:type="dxa"/>
          </w:tcPr>
          <w:p w:rsidR="00AB798F" w:rsidRPr="00C00F7D" w:rsidRDefault="00AB798F" w:rsidP="00B506D1">
            <w:pPr>
              <w:jc w:val="center"/>
              <w:rPr>
                <w:rFonts w:asciiTheme="minorHAnsi" w:hAnsiTheme="minorHAnsi"/>
              </w:rPr>
            </w:pPr>
            <w:r w:rsidRPr="00C00F7D">
              <w:rPr>
                <w:rFonts w:asciiTheme="minorHAnsi" w:hAnsiTheme="minorHAnsi"/>
              </w:rPr>
              <w:t>OPR</w:t>
            </w:r>
          </w:p>
        </w:tc>
        <w:tc>
          <w:tcPr>
            <w:tcW w:w="2005" w:type="dxa"/>
          </w:tcPr>
          <w:p w:rsidR="00AB798F" w:rsidRPr="00C00F7D" w:rsidRDefault="00AB798F" w:rsidP="00B506D1">
            <w:pPr>
              <w:jc w:val="center"/>
              <w:rPr>
                <w:rFonts w:asciiTheme="minorHAnsi" w:hAnsiTheme="minorHAnsi"/>
              </w:rPr>
            </w:pPr>
            <w:r w:rsidRPr="00C00F7D">
              <w:rPr>
                <w:rFonts w:asciiTheme="minorHAnsi" w:hAnsiTheme="minorHAnsi"/>
              </w:rPr>
              <w:t>4519.071</w:t>
            </w:r>
          </w:p>
        </w:tc>
        <w:tc>
          <w:tcPr>
            <w:tcW w:w="1992" w:type="dxa"/>
          </w:tcPr>
          <w:p w:rsidR="00AB798F" w:rsidRPr="00C00F7D" w:rsidRDefault="00AB798F" w:rsidP="00B506D1">
            <w:pPr>
              <w:jc w:val="center"/>
              <w:rPr>
                <w:rFonts w:asciiTheme="minorHAnsi" w:hAnsiTheme="minorHAnsi"/>
              </w:rPr>
            </w:pPr>
            <w:r w:rsidRPr="00C00F7D">
              <w:rPr>
                <w:rFonts w:asciiTheme="minorHAnsi" w:hAnsiTheme="minorHAnsi"/>
              </w:rPr>
              <w:t>1188.509</w:t>
            </w:r>
          </w:p>
        </w:tc>
        <w:tc>
          <w:tcPr>
            <w:tcW w:w="1986" w:type="dxa"/>
          </w:tcPr>
          <w:p w:rsidR="00AB798F" w:rsidRPr="00C00F7D" w:rsidRDefault="00AB798F" w:rsidP="00B506D1">
            <w:pPr>
              <w:jc w:val="center"/>
              <w:rPr>
                <w:rFonts w:asciiTheme="minorHAnsi" w:hAnsiTheme="minorHAnsi"/>
              </w:rPr>
            </w:pPr>
            <w:r w:rsidRPr="00C00F7D">
              <w:rPr>
                <w:rFonts w:asciiTheme="minorHAnsi" w:hAnsiTheme="minorHAnsi"/>
              </w:rPr>
              <w:t>3.80</w:t>
            </w:r>
          </w:p>
        </w:tc>
        <w:tc>
          <w:tcPr>
            <w:tcW w:w="1859" w:type="dxa"/>
          </w:tcPr>
          <w:p w:rsidR="00AB798F" w:rsidRPr="00C00F7D" w:rsidRDefault="00AB798F" w:rsidP="00B506D1">
            <w:pPr>
              <w:jc w:val="center"/>
              <w:rPr>
                <w:rFonts w:asciiTheme="minorHAnsi" w:hAnsiTheme="minorHAnsi"/>
              </w:rPr>
            </w:pPr>
            <w:r w:rsidRPr="00C00F7D">
              <w:rPr>
                <w:rFonts w:asciiTheme="minorHAnsi" w:hAnsiTheme="minorHAnsi"/>
              </w:rPr>
              <w:t>0.001</w:t>
            </w:r>
          </w:p>
        </w:tc>
      </w:tr>
      <w:tr w:rsidR="00AB798F" w:rsidRPr="00C00F7D" w:rsidTr="00B506D1">
        <w:tc>
          <w:tcPr>
            <w:tcW w:w="1878" w:type="dxa"/>
          </w:tcPr>
          <w:p w:rsidR="00AB798F" w:rsidRPr="00C00F7D" w:rsidRDefault="00AB798F" w:rsidP="00B506D1">
            <w:pPr>
              <w:jc w:val="center"/>
              <w:rPr>
                <w:rFonts w:asciiTheme="minorHAnsi" w:hAnsiTheme="minorHAnsi"/>
              </w:rPr>
            </w:pPr>
            <w:r w:rsidRPr="00C00F7D">
              <w:rPr>
                <w:rFonts w:asciiTheme="minorHAnsi" w:hAnsiTheme="minorHAnsi"/>
              </w:rPr>
              <w:t>FDI</w:t>
            </w:r>
          </w:p>
        </w:tc>
        <w:tc>
          <w:tcPr>
            <w:tcW w:w="2005" w:type="dxa"/>
          </w:tcPr>
          <w:p w:rsidR="00AB798F" w:rsidRPr="00C00F7D" w:rsidRDefault="00AB798F" w:rsidP="00B506D1">
            <w:pPr>
              <w:jc w:val="center"/>
              <w:rPr>
                <w:rFonts w:asciiTheme="minorHAnsi" w:hAnsiTheme="minorHAnsi"/>
              </w:rPr>
            </w:pPr>
            <w:r w:rsidRPr="00C00F7D">
              <w:rPr>
                <w:rFonts w:asciiTheme="minorHAnsi" w:hAnsiTheme="minorHAnsi"/>
              </w:rPr>
              <w:t>-.0509426</w:t>
            </w:r>
          </w:p>
        </w:tc>
        <w:tc>
          <w:tcPr>
            <w:tcW w:w="1992" w:type="dxa"/>
          </w:tcPr>
          <w:p w:rsidR="00AB798F" w:rsidRPr="00C00F7D" w:rsidRDefault="00AB798F" w:rsidP="00B506D1">
            <w:pPr>
              <w:jc w:val="center"/>
              <w:rPr>
                <w:rFonts w:asciiTheme="minorHAnsi" w:hAnsiTheme="minorHAnsi"/>
              </w:rPr>
            </w:pPr>
            <w:r w:rsidRPr="00C00F7D">
              <w:rPr>
                <w:rFonts w:asciiTheme="minorHAnsi" w:hAnsiTheme="minorHAnsi"/>
              </w:rPr>
              <w:t>.0532302</w:t>
            </w:r>
          </w:p>
        </w:tc>
        <w:tc>
          <w:tcPr>
            <w:tcW w:w="1986" w:type="dxa"/>
          </w:tcPr>
          <w:p w:rsidR="00AB798F" w:rsidRPr="00C00F7D" w:rsidRDefault="00AB798F" w:rsidP="00B506D1">
            <w:pPr>
              <w:jc w:val="center"/>
              <w:rPr>
                <w:rFonts w:asciiTheme="minorHAnsi" w:hAnsiTheme="minorHAnsi"/>
              </w:rPr>
            </w:pPr>
            <w:r w:rsidRPr="00C00F7D">
              <w:rPr>
                <w:rFonts w:asciiTheme="minorHAnsi" w:hAnsiTheme="minorHAnsi"/>
              </w:rPr>
              <w:t>-0.96</w:t>
            </w:r>
          </w:p>
        </w:tc>
        <w:tc>
          <w:tcPr>
            <w:tcW w:w="1859" w:type="dxa"/>
          </w:tcPr>
          <w:p w:rsidR="00AB798F" w:rsidRPr="00C00F7D" w:rsidRDefault="00AB798F" w:rsidP="00B506D1">
            <w:pPr>
              <w:jc w:val="center"/>
              <w:rPr>
                <w:rFonts w:asciiTheme="minorHAnsi" w:hAnsiTheme="minorHAnsi"/>
              </w:rPr>
            </w:pPr>
            <w:r w:rsidRPr="00C00F7D">
              <w:rPr>
                <w:rFonts w:asciiTheme="minorHAnsi" w:hAnsiTheme="minorHAnsi"/>
              </w:rPr>
              <w:t>0.345</w:t>
            </w:r>
          </w:p>
        </w:tc>
      </w:tr>
      <w:tr w:rsidR="00AB798F" w:rsidRPr="00C00F7D" w:rsidTr="00B506D1">
        <w:tc>
          <w:tcPr>
            <w:tcW w:w="1878" w:type="dxa"/>
          </w:tcPr>
          <w:p w:rsidR="00AB798F" w:rsidRPr="00C00F7D" w:rsidRDefault="00AB798F" w:rsidP="00B506D1">
            <w:pPr>
              <w:jc w:val="center"/>
              <w:rPr>
                <w:rFonts w:asciiTheme="minorHAnsi" w:hAnsiTheme="minorHAnsi"/>
              </w:rPr>
            </w:pPr>
            <w:r w:rsidRPr="00C00F7D">
              <w:rPr>
                <w:rFonts w:asciiTheme="minorHAnsi" w:hAnsiTheme="minorHAnsi"/>
              </w:rPr>
              <w:t>INF</w:t>
            </w:r>
          </w:p>
        </w:tc>
        <w:tc>
          <w:tcPr>
            <w:tcW w:w="2005" w:type="dxa"/>
          </w:tcPr>
          <w:p w:rsidR="00AB798F" w:rsidRPr="00C00F7D" w:rsidRDefault="00AB798F" w:rsidP="00B506D1">
            <w:pPr>
              <w:jc w:val="center"/>
              <w:rPr>
                <w:rFonts w:asciiTheme="minorHAnsi" w:hAnsiTheme="minorHAnsi"/>
              </w:rPr>
            </w:pPr>
            <w:r w:rsidRPr="00C00F7D">
              <w:rPr>
                <w:rFonts w:asciiTheme="minorHAnsi" w:hAnsiTheme="minorHAnsi"/>
              </w:rPr>
              <w:t>-180.466</w:t>
            </w:r>
          </w:p>
        </w:tc>
        <w:tc>
          <w:tcPr>
            <w:tcW w:w="1992" w:type="dxa"/>
          </w:tcPr>
          <w:p w:rsidR="00AB798F" w:rsidRPr="00C00F7D" w:rsidRDefault="00AB798F" w:rsidP="00B506D1">
            <w:pPr>
              <w:jc w:val="center"/>
              <w:rPr>
                <w:rFonts w:asciiTheme="minorHAnsi" w:hAnsiTheme="minorHAnsi"/>
              </w:rPr>
            </w:pPr>
            <w:r w:rsidRPr="00C00F7D">
              <w:rPr>
                <w:rFonts w:asciiTheme="minorHAnsi" w:hAnsiTheme="minorHAnsi"/>
              </w:rPr>
              <w:t>926.3843</w:t>
            </w:r>
          </w:p>
        </w:tc>
        <w:tc>
          <w:tcPr>
            <w:tcW w:w="1986" w:type="dxa"/>
          </w:tcPr>
          <w:p w:rsidR="00AB798F" w:rsidRPr="00C00F7D" w:rsidRDefault="00AB798F" w:rsidP="00B506D1">
            <w:pPr>
              <w:jc w:val="center"/>
              <w:rPr>
                <w:rFonts w:asciiTheme="minorHAnsi" w:hAnsiTheme="minorHAnsi"/>
              </w:rPr>
            </w:pPr>
            <w:r w:rsidRPr="00C00F7D">
              <w:rPr>
                <w:rFonts w:asciiTheme="minorHAnsi" w:hAnsiTheme="minorHAnsi"/>
              </w:rPr>
              <w:t>-0.19</w:t>
            </w:r>
          </w:p>
        </w:tc>
        <w:tc>
          <w:tcPr>
            <w:tcW w:w="1859" w:type="dxa"/>
          </w:tcPr>
          <w:p w:rsidR="00AB798F" w:rsidRPr="00C00F7D" w:rsidRDefault="00AB798F" w:rsidP="00B506D1">
            <w:pPr>
              <w:jc w:val="center"/>
              <w:rPr>
                <w:rFonts w:asciiTheme="minorHAnsi" w:hAnsiTheme="minorHAnsi"/>
              </w:rPr>
            </w:pPr>
            <w:r w:rsidRPr="00C00F7D">
              <w:rPr>
                <w:rFonts w:asciiTheme="minorHAnsi" w:hAnsiTheme="minorHAnsi"/>
              </w:rPr>
              <w:t>0.847</w:t>
            </w:r>
          </w:p>
        </w:tc>
      </w:tr>
      <w:tr w:rsidR="00AB798F" w:rsidRPr="00C00F7D" w:rsidTr="00B506D1">
        <w:tc>
          <w:tcPr>
            <w:tcW w:w="1878" w:type="dxa"/>
          </w:tcPr>
          <w:p w:rsidR="00AB798F" w:rsidRPr="00C00F7D" w:rsidRDefault="00AB798F" w:rsidP="00B506D1">
            <w:pPr>
              <w:jc w:val="center"/>
              <w:rPr>
                <w:rFonts w:asciiTheme="minorHAnsi" w:hAnsiTheme="minorHAnsi"/>
              </w:rPr>
            </w:pPr>
            <w:r w:rsidRPr="00C00F7D">
              <w:rPr>
                <w:rFonts w:asciiTheme="minorHAnsi" w:hAnsiTheme="minorHAnsi"/>
              </w:rPr>
              <w:t>INTR</w:t>
            </w:r>
          </w:p>
        </w:tc>
        <w:tc>
          <w:tcPr>
            <w:tcW w:w="2005" w:type="dxa"/>
          </w:tcPr>
          <w:p w:rsidR="00AB798F" w:rsidRPr="00C00F7D" w:rsidRDefault="00AB798F" w:rsidP="00B506D1">
            <w:pPr>
              <w:jc w:val="center"/>
              <w:rPr>
                <w:rFonts w:asciiTheme="minorHAnsi" w:hAnsiTheme="minorHAnsi"/>
              </w:rPr>
            </w:pPr>
            <w:r w:rsidRPr="00C00F7D">
              <w:rPr>
                <w:rFonts w:asciiTheme="minorHAnsi" w:hAnsiTheme="minorHAnsi"/>
              </w:rPr>
              <w:t>8019.702</w:t>
            </w:r>
          </w:p>
        </w:tc>
        <w:tc>
          <w:tcPr>
            <w:tcW w:w="1992" w:type="dxa"/>
          </w:tcPr>
          <w:p w:rsidR="00AB798F" w:rsidRPr="00C00F7D" w:rsidRDefault="00AB798F" w:rsidP="00B506D1">
            <w:pPr>
              <w:jc w:val="center"/>
              <w:rPr>
                <w:rFonts w:asciiTheme="minorHAnsi" w:hAnsiTheme="minorHAnsi"/>
              </w:rPr>
            </w:pPr>
            <w:r w:rsidRPr="00C00F7D">
              <w:rPr>
                <w:rFonts w:asciiTheme="minorHAnsi" w:hAnsiTheme="minorHAnsi"/>
              </w:rPr>
              <w:t>1670.269</w:t>
            </w:r>
          </w:p>
        </w:tc>
        <w:tc>
          <w:tcPr>
            <w:tcW w:w="1986" w:type="dxa"/>
          </w:tcPr>
          <w:p w:rsidR="00AB798F" w:rsidRPr="00C00F7D" w:rsidRDefault="00AB798F" w:rsidP="00B506D1">
            <w:pPr>
              <w:jc w:val="center"/>
              <w:rPr>
                <w:rFonts w:asciiTheme="minorHAnsi" w:hAnsiTheme="minorHAnsi"/>
              </w:rPr>
            </w:pPr>
            <w:r w:rsidRPr="00C00F7D">
              <w:rPr>
                <w:rFonts w:asciiTheme="minorHAnsi" w:hAnsiTheme="minorHAnsi"/>
              </w:rPr>
              <w:t>4.80</w:t>
            </w:r>
          </w:p>
        </w:tc>
        <w:tc>
          <w:tcPr>
            <w:tcW w:w="1859" w:type="dxa"/>
          </w:tcPr>
          <w:p w:rsidR="00AB798F" w:rsidRPr="00C00F7D" w:rsidRDefault="00AB798F" w:rsidP="00B506D1">
            <w:pPr>
              <w:jc w:val="center"/>
              <w:rPr>
                <w:rFonts w:asciiTheme="minorHAnsi" w:hAnsiTheme="minorHAnsi"/>
              </w:rPr>
            </w:pPr>
            <w:r w:rsidRPr="00C00F7D">
              <w:rPr>
                <w:rFonts w:asciiTheme="minorHAnsi" w:hAnsiTheme="minorHAnsi"/>
              </w:rPr>
              <w:t>0.000</w:t>
            </w:r>
          </w:p>
        </w:tc>
      </w:tr>
      <w:tr w:rsidR="00AB798F" w:rsidRPr="00C00F7D" w:rsidTr="00B506D1">
        <w:tc>
          <w:tcPr>
            <w:tcW w:w="1878" w:type="dxa"/>
          </w:tcPr>
          <w:p w:rsidR="00AB798F" w:rsidRPr="00C00F7D" w:rsidRDefault="00AB798F" w:rsidP="00B506D1">
            <w:pPr>
              <w:jc w:val="center"/>
              <w:rPr>
                <w:rFonts w:asciiTheme="minorHAnsi" w:hAnsiTheme="minorHAnsi"/>
              </w:rPr>
            </w:pPr>
            <w:r w:rsidRPr="00C00F7D">
              <w:rPr>
                <w:rFonts w:asciiTheme="minorHAnsi" w:hAnsiTheme="minorHAnsi"/>
              </w:rPr>
              <w:t>EXDT</w:t>
            </w:r>
          </w:p>
        </w:tc>
        <w:tc>
          <w:tcPr>
            <w:tcW w:w="2005" w:type="dxa"/>
          </w:tcPr>
          <w:p w:rsidR="00AB798F" w:rsidRPr="00C00F7D" w:rsidRDefault="00AB798F" w:rsidP="00B506D1">
            <w:pPr>
              <w:jc w:val="center"/>
              <w:rPr>
                <w:rFonts w:asciiTheme="minorHAnsi" w:hAnsiTheme="minorHAnsi"/>
              </w:rPr>
            </w:pPr>
            <w:r w:rsidRPr="00C00F7D">
              <w:rPr>
                <w:rFonts w:asciiTheme="minorHAnsi" w:hAnsiTheme="minorHAnsi"/>
              </w:rPr>
              <w:t>-.0442773</w:t>
            </w:r>
          </w:p>
        </w:tc>
        <w:tc>
          <w:tcPr>
            <w:tcW w:w="1992" w:type="dxa"/>
          </w:tcPr>
          <w:p w:rsidR="00AB798F" w:rsidRPr="00C00F7D" w:rsidRDefault="00AB798F" w:rsidP="00B506D1">
            <w:pPr>
              <w:jc w:val="center"/>
              <w:rPr>
                <w:rFonts w:asciiTheme="minorHAnsi" w:hAnsiTheme="minorHAnsi"/>
              </w:rPr>
            </w:pPr>
            <w:r w:rsidRPr="00C00F7D">
              <w:rPr>
                <w:rFonts w:asciiTheme="minorHAnsi" w:hAnsiTheme="minorHAnsi"/>
              </w:rPr>
              <w:t>.0207587</w:t>
            </w:r>
          </w:p>
        </w:tc>
        <w:tc>
          <w:tcPr>
            <w:tcW w:w="1986" w:type="dxa"/>
          </w:tcPr>
          <w:p w:rsidR="00AB798F" w:rsidRPr="00C00F7D" w:rsidRDefault="00AB798F" w:rsidP="00B506D1">
            <w:pPr>
              <w:jc w:val="center"/>
              <w:rPr>
                <w:rFonts w:asciiTheme="minorHAnsi" w:hAnsiTheme="minorHAnsi"/>
              </w:rPr>
            </w:pPr>
            <w:r w:rsidRPr="00C00F7D">
              <w:rPr>
                <w:rFonts w:asciiTheme="minorHAnsi" w:hAnsiTheme="minorHAnsi"/>
              </w:rPr>
              <w:t>-2.13</w:t>
            </w:r>
          </w:p>
        </w:tc>
        <w:tc>
          <w:tcPr>
            <w:tcW w:w="1859" w:type="dxa"/>
          </w:tcPr>
          <w:p w:rsidR="00AB798F" w:rsidRPr="00C00F7D" w:rsidRDefault="00AB798F" w:rsidP="00B506D1">
            <w:pPr>
              <w:jc w:val="center"/>
              <w:rPr>
                <w:rFonts w:asciiTheme="minorHAnsi" w:hAnsiTheme="minorHAnsi"/>
              </w:rPr>
            </w:pPr>
            <w:r w:rsidRPr="00C00F7D">
              <w:rPr>
                <w:rFonts w:asciiTheme="minorHAnsi" w:hAnsiTheme="minorHAnsi"/>
              </w:rPr>
              <w:t>0.040</w:t>
            </w:r>
          </w:p>
        </w:tc>
      </w:tr>
    </w:tbl>
    <w:p w:rsidR="00AB798F" w:rsidRPr="00C00F7D" w:rsidRDefault="00AB798F" w:rsidP="006430A7">
      <w:pPr>
        <w:spacing w:after="0" w:line="240" w:lineRule="auto"/>
        <w:jc w:val="both"/>
        <w:rPr>
          <w:rFonts w:ascii="Times New Roman" w:eastAsiaTheme="minorEastAsia" w:hAnsi="Times New Roman" w:cs="Times New Roman"/>
          <w:b/>
          <w:sz w:val="24"/>
          <w:szCs w:val="24"/>
        </w:rPr>
      </w:pPr>
      <w:r w:rsidRPr="00C00F7D">
        <w:rPr>
          <w:rFonts w:ascii="Times New Roman" w:eastAsiaTheme="minorEastAsia" w:hAnsi="Times New Roman" w:cs="Times New Roman"/>
          <w:b/>
          <w:sz w:val="24"/>
          <w:szCs w:val="24"/>
        </w:rPr>
        <w:t>R-squared= 0.9087</w:t>
      </w:r>
      <w:r w:rsidR="00B506D1" w:rsidRPr="00C00F7D">
        <w:rPr>
          <w:rFonts w:ascii="Times New Roman" w:eastAsiaTheme="minorEastAsia" w:hAnsi="Times New Roman" w:cs="Times New Roman"/>
          <w:b/>
          <w:sz w:val="24"/>
          <w:szCs w:val="24"/>
        </w:rPr>
        <w:t xml:space="preserve"> and D</w:t>
      </w:r>
      <w:r w:rsidRPr="00C00F7D">
        <w:rPr>
          <w:rFonts w:ascii="Times New Roman" w:eastAsiaTheme="minorEastAsia" w:hAnsi="Times New Roman" w:cs="Times New Roman"/>
          <w:b/>
          <w:sz w:val="24"/>
          <w:szCs w:val="24"/>
        </w:rPr>
        <w:t xml:space="preserve">W= </w:t>
      </w:r>
      <w:r w:rsidR="00C00F7D" w:rsidRPr="00C00F7D">
        <w:rPr>
          <w:rFonts w:ascii="Times New Roman" w:eastAsiaTheme="minorEastAsia" w:hAnsi="Times New Roman" w:cs="Times New Roman"/>
          <w:b/>
          <w:sz w:val="24"/>
          <w:szCs w:val="24"/>
        </w:rPr>
        <w:t>1</w:t>
      </w:r>
      <w:r w:rsidRPr="00C00F7D">
        <w:rPr>
          <w:rFonts w:ascii="Times New Roman" w:hAnsi="Times New Roman" w:cs="Times New Roman"/>
          <w:b/>
          <w:sz w:val="24"/>
          <w:szCs w:val="24"/>
        </w:rPr>
        <w:t>.7684129</w:t>
      </w:r>
    </w:p>
    <w:p w:rsidR="006430A7" w:rsidRDefault="006430A7" w:rsidP="007D66DC">
      <w:pPr>
        <w:spacing w:after="0" w:line="240" w:lineRule="auto"/>
        <w:jc w:val="both"/>
        <w:rPr>
          <w:rFonts w:ascii="Times New Roman" w:eastAsiaTheme="minorEastAsia" w:hAnsi="Times New Roman" w:cs="Times New Roman"/>
          <w:sz w:val="24"/>
          <w:szCs w:val="24"/>
        </w:rPr>
      </w:pPr>
    </w:p>
    <w:p w:rsidR="002D5557" w:rsidRPr="006B5892" w:rsidRDefault="002D5557" w:rsidP="00B339AD">
      <w:pPr>
        <w:spacing w:after="0" w:line="240" w:lineRule="auto"/>
        <w:jc w:val="both"/>
        <w:rPr>
          <w:rFonts w:ascii="Times New Roman" w:eastAsiaTheme="minorEastAsia" w:hAnsi="Times New Roman" w:cs="Times New Roman"/>
          <w:sz w:val="24"/>
          <w:szCs w:val="24"/>
        </w:rPr>
      </w:pPr>
      <w:r w:rsidRPr="006B5892">
        <w:rPr>
          <w:rFonts w:ascii="Times New Roman" w:eastAsiaTheme="minorEastAsia" w:hAnsi="Times New Roman" w:cs="Times New Roman"/>
          <w:sz w:val="24"/>
          <w:szCs w:val="24"/>
        </w:rPr>
        <w:t xml:space="preserve">From the results, about 90% of variations in the explanatory variables could explain the variations in the dependent variable. In addition, the expected apriori expectations of most of the variables were not met. This may be </w:t>
      </w:r>
      <w:r w:rsidR="00262F57" w:rsidRPr="006B5892">
        <w:rPr>
          <w:rFonts w:ascii="Times New Roman" w:eastAsiaTheme="minorEastAsia" w:hAnsi="Times New Roman" w:cs="Times New Roman"/>
          <w:sz w:val="24"/>
          <w:szCs w:val="24"/>
        </w:rPr>
        <w:t>due to</w:t>
      </w:r>
      <w:r w:rsidRPr="006B5892">
        <w:rPr>
          <w:rFonts w:ascii="Times New Roman" w:eastAsiaTheme="minorEastAsia" w:hAnsi="Times New Roman" w:cs="Times New Roman"/>
          <w:sz w:val="24"/>
          <w:szCs w:val="24"/>
        </w:rPr>
        <w:t xml:space="preserve"> the nature of data generated. Be that as it may, we observed a positive and significant relationship between real exchange rate and real gross domestic product. The relationship between oil price and real GDP according to the result is positive and significant. </w:t>
      </w:r>
      <w:r w:rsidR="00296A1C" w:rsidRPr="006B5892">
        <w:rPr>
          <w:rFonts w:ascii="Times New Roman" w:eastAsiaTheme="minorEastAsia" w:hAnsi="Times New Roman" w:cs="Times New Roman"/>
          <w:sz w:val="24"/>
          <w:szCs w:val="24"/>
        </w:rPr>
        <w:t xml:space="preserve">This result is consistent with the works of </w:t>
      </w:r>
      <w:r w:rsidR="00296A1C" w:rsidRPr="006B5892">
        <w:rPr>
          <w:rFonts w:ascii="Times New Roman" w:hAnsi="Times New Roman" w:cs="Times New Roman"/>
          <w:sz w:val="24"/>
          <w:szCs w:val="24"/>
        </w:rPr>
        <w:t>Trung and Vinh (2011)</w:t>
      </w:r>
      <w:r w:rsidR="007139C2" w:rsidRPr="006B5892">
        <w:rPr>
          <w:rFonts w:ascii="Times New Roman" w:hAnsi="Times New Roman" w:cs="Times New Roman"/>
          <w:sz w:val="24"/>
          <w:szCs w:val="24"/>
        </w:rPr>
        <w:t>, Plante (2008)</w:t>
      </w:r>
      <w:r w:rsidR="003B3EB1" w:rsidRPr="006B5892">
        <w:rPr>
          <w:rFonts w:ascii="Times New Roman" w:hAnsi="Times New Roman" w:cs="Times New Roman"/>
          <w:sz w:val="24"/>
          <w:szCs w:val="24"/>
        </w:rPr>
        <w:t xml:space="preserve">, </w:t>
      </w:r>
      <w:r w:rsidR="00296A1C" w:rsidRPr="006B5892">
        <w:rPr>
          <w:rFonts w:ascii="Times New Roman" w:hAnsi="Times New Roman" w:cs="Times New Roman"/>
          <w:sz w:val="24"/>
          <w:szCs w:val="24"/>
        </w:rPr>
        <w:t>Jin (2008)</w:t>
      </w:r>
      <w:r w:rsidR="003B3EB1" w:rsidRPr="006B5892">
        <w:rPr>
          <w:rFonts w:ascii="Times New Roman" w:hAnsi="Times New Roman" w:cs="Times New Roman"/>
          <w:sz w:val="24"/>
          <w:szCs w:val="24"/>
        </w:rPr>
        <w:t xml:space="preserve"> and Olanipekuo (2010) on</w:t>
      </w:r>
      <w:r w:rsidR="00296A1C" w:rsidRPr="006B5892">
        <w:rPr>
          <w:rFonts w:ascii="Times New Roman" w:hAnsi="Times New Roman" w:cs="Times New Roman"/>
          <w:sz w:val="24"/>
          <w:szCs w:val="24"/>
        </w:rPr>
        <w:t xml:space="preserve"> a study on oil price</w:t>
      </w:r>
      <w:r w:rsidR="003B3EB1" w:rsidRPr="006B5892">
        <w:rPr>
          <w:rFonts w:ascii="Times New Roman" w:hAnsi="Times New Roman" w:cs="Times New Roman"/>
          <w:sz w:val="24"/>
          <w:szCs w:val="24"/>
        </w:rPr>
        <w:t>, exchange rate</w:t>
      </w:r>
      <w:r w:rsidR="00296A1C" w:rsidRPr="006B5892">
        <w:rPr>
          <w:rFonts w:ascii="Times New Roman" w:hAnsi="Times New Roman" w:cs="Times New Roman"/>
          <w:sz w:val="24"/>
          <w:szCs w:val="24"/>
        </w:rPr>
        <w:t xml:space="preserve"> and </w:t>
      </w:r>
      <w:r w:rsidR="007139C2" w:rsidRPr="006B5892">
        <w:rPr>
          <w:rFonts w:ascii="Times New Roman" w:hAnsi="Times New Roman" w:cs="Times New Roman"/>
          <w:sz w:val="24"/>
          <w:szCs w:val="24"/>
        </w:rPr>
        <w:t>economic activities</w:t>
      </w:r>
      <w:r w:rsidR="00296A1C" w:rsidRPr="006B5892">
        <w:rPr>
          <w:rFonts w:ascii="Times New Roman" w:hAnsi="Times New Roman" w:cs="Times New Roman"/>
          <w:sz w:val="24"/>
          <w:szCs w:val="24"/>
        </w:rPr>
        <w:t xml:space="preserve">. </w:t>
      </w:r>
      <w:r w:rsidR="007139C2" w:rsidRPr="006B5892">
        <w:rPr>
          <w:rFonts w:ascii="Times New Roman" w:eastAsiaTheme="minorEastAsia" w:hAnsi="Times New Roman" w:cs="Times New Roman"/>
          <w:sz w:val="24"/>
          <w:szCs w:val="24"/>
        </w:rPr>
        <w:t xml:space="preserve">According to </w:t>
      </w:r>
      <w:r w:rsidR="007139C2" w:rsidRPr="006B5892">
        <w:rPr>
          <w:rFonts w:ascii="Times New Roman" w:hAnsi="Times New Roman" w:cs="Times New Roman"/>
          <w:sz w:val="24"/>
          <w:szCs w:val="24"/>
        </w:rPr>
        <w:t>Trung and Vinh (2011) t</w:t>
      </w:r>
      <w:r w:rsidR="00262F57" w:rsidRPr="006B5892">
        <w:rPr>
          <w:rFonts w:ascii="Times New Roman" w:eastAsiaTheme="minorEastAsia" w:hAnsi="Times New Roman" w:cs="Times New Roman"/>
          <w:sz w:val="24"/>
          <w:szCs w:val="24"/>
        </w:rPr>
        <w:t xml:space="preserve">his is </w:t>
      </w:r>
      <w:r w:rsidR="007139C2" w:rsidRPr="006B5892">
        <w:rPr>
          <w:rFonts w:ascii="Times New Roman" w:eastAsiaTheme="minorEastAsia" w:hAnsi="Times New Roman" w:cs="Times New Roman"/>
          <w:sz w:val="24"/>
          <w:szCs w:val="24"/>
        </w:rPr>
        <w:t>mostly experienced</w:t>
      </w:r>
      <w:r w:rsidR="00262F57" w:rsidRPr="006B5892">
        <w:rPr>
          <w:rFonts w:ascii="Times New Roman" w:eastAsiaTheme="minorEastAsia" w:hAnsi="Times New Roman" w:cs="Times New Roman"/>
          <w:sz w:val="24"/>
          <w:szCs w:val="24"/>
        </w:rPr>
        <w:t xml:space="preserve"> in most of </w:t>
      </w:r>
      <w:r w:rsidR="007139C2" w:rsidRPr="006B5892">
        <w:rPr>
          <w:rFonts w:ascii="Times New Roman" w:eastAsiaTheme="minorEastAsia" w:hAnsi="Times New Roman" w:cs="Times New Roman"/>
          <w:sz w:val="24"/>
          <w:szCs w:val="24"/>
        </w:rPr>
        <w:t xml:space="preserve">middle/less income and </w:t>
      </w:r>
      <w:r w:rsidR="00262F57" w:rsidRPr="006B5892">
        <w:rPr>
          <w:rFonts w:ascii="Times New Roman" w:eastAsiaTheme="minorEastAsia" w:hAnsi="Times New Roman" w:cs="Times New Roman"/>
          <w:sz w:val="24"/>
          <w:szCs w:val="24"/>
        </w:rPr>
        <w:t>oil exporting countries</w:t>
      </w:r>
      <w:r w:rsidR="007139C2" w:rsidRPr="006B5892">
        <w:rPr>
          <w:rFonts w:ascii="Times New Roman" w:eastAsiaTheme="minorEastAsia" w:hAnsi="Times New Roman" w:cs="Times New Roman"/>
          <w:sz w:val="24"/>
          <w:szCs w:val="24"/>
        </w:rPr>
        <w:t xml:space="preserve">, while </w:t>
      </w:r>
      <w:r w:rsidR="003B3EB1" w:rsidRPr="006B5892">
        <w:rPr>
          <w:rFonts w:ascii="Times New Roman" w:hAnsi="Times New Roman" w:cs="Times New Roman"/>
          <w:sz w:val="24"/>
          <w:szCs w:val="24"/>
        </w:rPr>
        <w:t>Jin (2008)</w:t>
      </w:r>
      <w:r w:rsidR="007139C2" w:rsidRPr="006B5892">
        <w:rPr>
          <w:rFonts w:ascii="Times New Roman" w:hAnsi="Times New Roman" w:cs="Times New Roman"/>
          <w:sz w:val="24"/>
          <w:szCs w:val="24"/>
        </w:rPr>
        <w:t xml:space="preserve"> shows that the oscillation in oil prices affect the economic performance through the supply side, pointing that oil price increase  result to an increase in production costs that can cause fall in firms’ lower output</w:t>
      </w:r>
      <w:r w:rsidR="00262F57" w:rsidRPr="006B5892">
        <w:rPr>
          <w:rFonts w:ascii="Times New Roman" w:eastAsiaTheme="minorEastAsia" w:hAnsi="Times New Roman" w:cs="Times New Roman"/>
          <w:sz w:val="24"/>
          <w:szCs w:val="24"/>
        </w:rPr>
        <w:t xml:space="preserve">. </w:t>
      </w:r>
      <w:r w:rsidR="003B3EB1" w:rsidRPr="006B5892">
        <w:rPr>
          <w:rFonts w:ascii="Times New Roman" w:eastAsiaTheme="minorEastAsia" w:hAnsi="Times New Roman" w:cs="Times New Roman"/>
          <w:sz w:val="24"/>
          <w:szCs w:val="24"/>
        </w:rPr>
        <w:t xml:space="preserve">Also, the study’s findings supported the work of </w:t>
      </w:r>
      <w:r w:rsidR="003B3EB1" w:rsidRPr="006B5892">
        <w:rPr>
          <w:rFonts w:ascii="Times New Roman" w:hAnsi="Times New Roman" w:cs="Times New Roman"/>
          <w:sz w:val="24"/>
          <w:szCs w:val="24"/>
        </w:rPr>
        <w:t xml:space="preserve">Olanipekuo (2010) </w:t>
      </w:r>
      <w:r w:rsidR="003F2424" w:rsidRPr="006B5892">
        <w:rPr>
          <w:rFonts w:ascii="Times New Roman" w:hAnsi="Times New Roman" w:cs="Times New Roman"/>
          <w:sz w:val="24"/>
          <w:szCs w:val="24"/>
        </w:rPr>
        <w:t>in a study on the</w:t>
      </w:r>
      <w:r w:rsidR="003B3EB1" w:rsidRPr="006B5892">
        <w:rPr>
          <w:rFonts w:ascii="Times New Roman" w:hAnsi="Times New Roman" w:cs="Times New Roman"/>
          <w:sz w:val="24"/>
          <w:szCs w:val="24"/>
        </w:rPr>
        <w:t xml:space="preserve"> influence of exchange rate volatility on economic activities in Nigeria.</w:t>
      </w:r>
      <w:r w:rsidR="003F2424" w:rsidRPr="006B5892">
        <w:rPr>
          <w:rFonts w:ascii="Times New Roman" w:hAnsi="Times New Roman" w:cs="Times New Roman"/>
          <w:sz w:val="24"/>
          <w:szCs w:val="24"/>
        </w:rPr>
        <w:t xml:space="preserve"> Therefore, giving the results, we conclude that increase in oil price and exchange rate promotes economic performance in Nigeria. </w:t>
      </w:r>
      <w:r w:rsidR="00262F57" w:rsidRPr="006B5892">
        <w:rPr>
          <w:rFonts w:ascii="Times New Roman" w:eastAsiaTheme="minorEastAsia" w:hAnsi="Times New Roman" w:cs="Times New Roman"/>
          <w:sz w:val="24"/>
          <w:szCs w:val="24"/>
        </w:rPr>
        <w:t>Hence, increase in crude oil prices may lead to increase in government revenue and the level of investment in the economy</w:t>
      </w:r>
      <w:r w:rsidR="00EC6CA3" w:rsidRPr="006B5892">
        <w:rPr>
          <w:rFonts w:ascii="Times New Roman" w:eastAsiaTheme="minorEastAsia" w:hAnsi="Times New Roman" w:cs="Times New Roman"/>
          <w:sz w:val="24"/>
          <w:szCs w:val="24"/>
        </w:rPr>
        <w:t xml:space="preserve">. </w:t>
      </w:r>
      <w:r w:rsidR="00C83067" w:rsidRPr="006B5892">
        <w:rPr>
          <w:rFonts w:ascii="Times New Roman" w:eastAsiaTheme="minorEastAsia" w:hAnsi="Times New Roman" w:cs="Times New Roman"/>
          <w:sz w:val="24"/>
          <w:szCs w:val="24"/>
        </w:rPr>
        <w:t xml:space="preserve">But the increase in exchange rate which may have resulted from an increase in demand for money or speculation for further depreciation in Nigerian currency, is expected to cause a decrease in economic activates, instead we observed an increase. This </w:t>
      </w:r>
      <w:r w:rsidR="008776C8" w:rsidRPr="006B5892">
        <w:rPr>
          <w:rFonts w:ascii="Times New Roman" w:eastAsiaTheme="minorEastAsia" w:hAnsi="Times New Roman" w:cs="Times New Roman"/>
          <w:sz w:val="24"/>
          <w:szCs w:val="24"/>
        </w:rPr>
        <w:t xml:space="preserve">may likely be as a result of shadow economic activities which may is be accounted for. </w:t>
      </w:r>
      <w:r w:rsidR="00262F57" w:rsidRPr="006B5892">
        <w:rPr>
          <w:rFonts w:ascii="Times New Roman" w:eastAsiaTheme="minorEastAsia" w:hAnsi="Times New Roman" w:cs="Times New Roman"/>
          <w:sz w:val="24"/>
          <w:szCs w:val="24"/>
        </w:rPr>
        <w:t>Other control variable such as inflation (INF) and foreign direct investment (FDI) were found to be insignificant and negatively associated to real GDP, while interest rate and external debt (</w:t>
      </w:r>
      <w:r w:rsidR="00506A1B" w:rsidRPr="006B5892">
        <w:rPr>
          <w:rFonts w:ascii="Times New Roman" w:eastAsiaTheme="minorEastAsia" w:hAnsi="Times New Roman" w:cs="Times New Roman"/>
          <w:sz w:val="24"/>
          <w:szCs w:val="24"/>
        </w:rPr>
        <w:t xml:space="preserve">EXDT </w:t>
      </w:r>
      <w:r w:rsidR="00262F57" w:rsidRPr="006B5892">
        <w:rPr>
          <w:rFonts w:ascii="Times New Roman" w:eastAsiaTheme="minorEastAsia" w:hAnsi="Times New Roman" w:cs="Times New Roman"/>
          <w:sz w:val="24"/>
          <w:szCs w:val="24"/>
        </w:rPr>
        <w:t>impact positively and negatively to real GDP</w:t>
      </w:r>
      <w:r w:rsidR="00C00F7D" w:rsidRPr="006B5892">
        <w:rPr>
          <w:rFonts w:ascii="Times New Roman" w:eastAsiaTheme="minorEastAsia" w:hAnsi="Times New Roman" w:cs="Times New Roman"/>
          <w:sz w:val="24"/>
          <w:szCs w:val="24"/>
        </w:rPr>
        <w:t xml:space="preserve"> respectively</w:t>
      </w:r>
      <w:r w:rsidR="00262F57" w:rsidRPr="006B5892">
        <w:rPr>
          <w:rFonts w:ascii="Times New Roman" w:eastAsiaTheme="minorEastAsia" w:hAnsi="Times New Roman" w:cs="Times New Roman"/>
          <w:sz w:val="24"/>
          <w:szCs w:val="24"/>
        </w:rPr>
        <w:t xml:space="preserve">. </w:t>
      </w:r>
    </w:p>
    <w:p w:rsidR="008776C8" w:rsidRPr="00C00F7D" w:rsidRDefault="008776C8" w:rsidP="008776C8">
      <w:pPr>
        <w:spacing w:after="0" w:line="240" w:lineRule="auto"/>
        <w:jc w:val="both"/>
        <w:rPr>
          <w:rFonts w:ascii="Times New Roman" w:eastAsiaTheme="minorEastAsia" w:hAnsi="Times New Roman" w:cs="Times New Roman"/>
          <w:sz w:val="24"/>
          <w:szCs w:val="24"/>
        </w:rPr>
      </w:pPr>
    </w:p>
    <w:p w:rsidR="00CA45DE" w:rsidRDefault="00CA45DE" w:rsidP="008776C8">
      <w:pPr>
        <w:spacing w:after="0" w:line="240" w:lineRule="auto"/>
        <w:jc w:val="both"/>
        <w:rPr>
          <w:rFonts w:ascii="Times New Roman" w:hAnsi="Times New Roman" w:cs="Times New Roman"/>
          <w:b/>
          <w:sz w:val="24"/>
          <w:szCs w:val="24"/>
        </w:rPr>
      </w:pPr>
      <w:r w:rsidRPr="00CA45DE">
        <w:rPr>
          <w:rFonts w:ascii="Times New Roman" w:hAnsi="Times New Roman" w:cs="Times New Roman"/>
          <w:b/>
          <w:bCs/>
          <w:sz w:val="24"/>
          <w:szCs w:val="24"/>
        </w:rPr>
        <w:t>4.3.</w:t>
      </w:r>
      <w:r w:rsidRPr="00CA45DE">
        <w:rPr>
          <w:rFonts w:ascii="Times New Roman" w:hAnsi="Times New Roman" w:cs="Times New Roman"/>
          <w:b/>
          <w:bCs/>
          <w:sz w:val="24"/>
          <w:szCs w:val="24"/>
        </w:rPr>
        <w:tab/>
        <w:t>Autoregressive Conditional Heteroskedasticity</w:t>
      </w:r>
      <w:r w:rsidRPr="00CA45DE">
        <w:rPr>
          <w:rFonts w:ascii="Times New Roman" w:hAnsi="Times New Roman" w:cs="Times New Roman"/>
          <w:b/>
          <w:sz w:val="24"/>
          <w:szCs w:val="24"/>
        </w:rPr>
        <w:t xml:space="preserve"> (ARCH):</w:t>
      </w:r>
    </w:p>
    <w:p w:rsidR="00CA45DE" w:rsidRPr="00CA45DE" w:rsidRDefault="00CA45DE" w:rsidP="008776C8">
      <w:pPr>
        <w:spacing w:after="0" w:line="240" w:lineRule="auto"/>
        <w:jc w:val="both"/>
        <w:rPr>
          <w:rFonts w:ascii="Times New Roman" w:hAnsi="Times New Roman" w:cs="Times New Roman"/>
          <w:b/>
          <w:sz w:val="10"/>
          <w:szCs w:val="24"/>
        </w:rPr>
      </w:pPr>
    </w:p>
    <w:p w:rsidR="009A48E2" w:rsidRPr="00F14D1C" w:rsidRDefault="00CA45DE" w:rsidP="008776C8">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Before EGARCH estimation, we first </w:t>
      </w:r>
      <w:r w:rsidR="009A48E2" w:rsidRPr="009A48E2">
        <w:rPr>
          <w:rFonts w:ascii="Times New Roman" w:hAnsi="Times New Roman" w:cs="Times New Roman"/>
          <w:sz w:val="24"/>
          <w:szCs w:val="24"/>
        </w:rPr>
        <w:t xml:space="preserve">estimated the </w:t>
      </w:r>
      <w:r w:rsidR="009A48E2" w:rsidRPr="009A48E2">
        <w:rPr>
          <w:rFonts w:ascii="Times New Roman" w:hAnsi="Times New Roman" w:cs="Times New Roman"/>
          <w:bCs/>
          <w:sz w:val="24"/>
          <w:szCs w:val="24"/>
        </w:rPr>
        <w:t>Autoregressive conditional heteroskedasticity</w:t>
      </w:r>
      <w:r w:rsidR="009A48E2" w:rsidRPr="009A48E2">
        <w:rPr>
          <w:rFonts w:ascii="Times New Roman" w:hAnsi="Times New Roman" w:cs="Times New Roman"/>
          <w:sz w:val="24"/>
          <w:szCs w:val="24"/>
        </w:rPr>
        <w:t xml:space="preserve"> (ARCH) </w:t>
      </w:r>
      <w:r w:rsidRPr="009A48E2">
        <w:rPr>
          <w:rFonts w:ascii="Times New Roman" w:eastAsia="Times New Roman" w:hAnsi="Times New Roman" w:cs="Times New Roman"/>
          <w:sz w:val="24"/>
          <w:szCs w:val="24"/>
        </w:rPr>
        <w:t>model which assumes</w:t>
      </w:r>
      <w:r w:rsidR="009A48E2" w:rsidRPr="009A48E2">
        <w:rPr>
          <w:rFonts w:ascii="Times New Roman" w:eastAsia="Times New Roman" w:hAnsi="Times New Roman" w:cs="Times New Roman"/>
          <w:sz w:val="24"/>
          <w:szCs w:val="24"/>
        </w:rPr>
        <w:t xml:space="preserve"> that the variance of current error term is associated to the size of the preceding error terms</w:t>
      </w:r>
      <w:r>
        <w:rPr>
          <w:rFonts w:ascii="Times New Roman" w:eastAsia="Times New Roman" w:hAnsi="Times New Roman" w:cs="Times New Roman"/>
          <w:sz w:val="24"/>
          <w:szCs w:val="24"/>
        </w:rPr>
        <w:t xml:space="preserve"> (see </w:t>
      </w:r>
      <w:r w:rsidRPr="00C00F7D">
        <w:rPr>
          <w:rFonts w:ascii="Times New Roman" w:eastAsia="Times New Roman" w:hAnsi="Times New Roman" w:cs="Times New Roman"/>
          <w:sz w:val="24"/>
          <w:szCs w:val="24"/>
        </w:rPr>
        <w:t xml:space="preserve">table </w:t>
      </w:r>
      <w:r w:rsidR="00CE3137" w:rsidRPr="00C00F7D">
        <w:rPr>
          <w:rFonts w:ascii="Times New Roman" w:eastAsia="Times New Roman" w:hAnsi="Times New Roman" w:cs="Times New Roman"/>
          <w:sz w:val="24"/>
          <w:szCs w:val="24"/>
        </w:rPr>
        <w:t>4.4</w:t>
      </w:r>
      <w:r>
        <w:rPr>
          <w:rFonts w:ascii="Times New Roman" w:eastAsia="Times New Roman" w:hAnsi="Times New Roman" w:cs="Times New Roman"/>
          <w:sz w:val="24"/>
          <w:szCs w:val="24"/>
        </w:rPr>
        <w:t xml:space="preserve"> below)</w:t>
      </w:r>
      <w:r w:rsidR="005140A4">
        <w:rPr>
          <w:rFonts w:ascii="Times New Roman" w:eastAsia="Times New Roman" w:hAnsi="Times New Roman" w:cs="Times New Roman"/>
          <w:sz w:val="24"/>
          <w:szCs w:val="24"/>
        </w:rPr>
        <w:t xml:space="preserve">. In some situation, it </w:t>
      </w:r>
      <w:r w:rsidR="005140A4" w:rsidRPr="009A48E2">
        <w:rPr>
          <w:rFonts w:ascii="Times New Roman" w:eastAsia="Times New Roman" w:hAnsi="Times New Roman" w:cs="Times New Roman"/>
          <w:sz w:val="24"/>
          <w:szCs w:val="24"/>
        </w:rPr>
        <w:t>gives</w:t>
      </w:r>
      <w:r w:rsidR="009A48E2" w:rsidRPr="009A48E2">
        <w:rPr>
          <w:rFonts w:ascii="Times New Roman" w:eastAsia="Times New Roman" w:hAnsi="Times New Roman" w:cs="Times New Roman"/>
          <w:sz w:val="24"/>
          <w:szCs w:val="24"/>
        </w:rPr>
        <w:t xml:space="preserve"> rise to volatility clustering</w:t>
      </w:r>
      <w:r w:rsidR="009A48E2" w:rsidRPr="005140A4">
        <w:rPr>
          <w:rFonts w:ascii="Times New Roman" w:eastAsia="Times New Roman" w:hAnsi="Times New Roman" w:cs="Times New Roman"/>
          <w:sz w:val="24"/>
          <w:szCs w:val="24"/>
        </w:rPr>
        <w:t xml:space="preserve">. </w:t>
      </w:r>
      <w:r w:rsidR="005140A4">
        <w:rPr>
          <w:rFonts w:ascii="Times New Roman" w:eastAsia="Times New Roman" w:hAnsi="Times New Roman" w:cs="Times New Roman"/>
          <w:sz w:val="24"/>
          <w:szCs w:val="24"/>
        </w:rPr>
        <w:t xml:space="preserve">Therefore, </w:t>
      </w:r>
      <w:r w:rsidR="009A48E2" w:rsidRPr="005140A4">
        <w:rPr>
          <w:rFonts w:ascii="Times New Roman" w:eastAsia="Times New Roman" w:hAnsi="Times New Roman" w:cs="Times New Roman"/>
          <w:sz w:val="24"/>
          <w:szCs w:val="24"/>
        </w:rPr>
        <w:t xml:space="preserve">ARCH test shows the condition in which </w:t>
      </w:r>
      <w:r w:rsidR="009A48E2" w:rsidRPr="005140A4">
        <w:rPr>
          <w:rFonts w:ascii="Times New Roman" w:hAnsi="Times New Roman" w:cs="Times New Roman"/>
          <w:sz w:val="24"/>
          <w:szCs w:val="24"/>
        </w:rPr>
        <w:t>one or more data points in a sequence is a function of the actual sizes of the previous time periods' error terms. Thus, in most cases the variance is associated to the squares of the preceding innovations.</w:t>
      </w:r>
    </w:p>
    <w:p w:rsidR="00F33F84" w:rsidRPr="00970366" w:rsidRDefault="00F33F84" w:rsidP="008F1E21">
      <w:pPr>
        <w:spacing w:after="0" w:line="240" w:lineRule="auto"/>
        <w:jc w:val="both"/>
        <w:rPr>
          <w:rFonts w:ascii="Times New Roman" w:hAnsi="Times New Roman" w:cs="Times New Roman"/>
          <w:sz w:val="24"/>
          <w:szCs w:val="24"/>
        </w:rPr>
      </w:pPr>
    </w:p>
    <w:p w:rsidR="00970366" w:rsidRPr="00005D20" w:rsidRDefault="00970366" w:rsidP="00970366">
      <w:pPr>
        <w:spacing w:line="240" w:lineRule="auto"/>
        <w:jc w:val="both"/>
        <w:rPr>
          <w:rFonts w:ascii="Times New Roman" w:hAnsi="Times New Roman" w:cs="Times New Roman"/>
          <w:b/>
          <w:sz w:val="24"/>
          <w:szCs w:val="24"/>
        </w:rPr>
      </w:pPr>
      <w:r w:rsidRPr="00C00F7D">
        <w:rPr>
          <w:rFonts w:ascii="Times New Roman" w:hAnsi="Times New Roman" w:cs="Times New Roman"/>
          <w:b/>
          <w:sz w:val="24"/>
          <w:szCs w:val="24"/>
        </w:rPr>
        <w:lastRenderedPageBreak/>
        <w:t xml:space="preserve">Table </w:t>
      </w:r>
      <w:r w:rsidR="00CE3137" w:rsidRPr="00C00F7D">
        <w:rPr>
          <w:rFonts w:ascii="Times New Roman" w:hAnsi="Times New Roman" w:cs="Times New Roman"/>
          <w:b/>
          <w:sz w:val="24"/>
          <w:szCs w:val="24"/>
        </w:rPr>
        <w:t>4.4</w:t>
      </w:r>
      <w:r w:rsidRPr="00C00F7D">
        <w:rPr>
          <w:rFonts w:ascii="Times New Roman" w:hAnsi="Times New Roman" w:cs="Times New Roman"/>
          <w:b/>
          <w:sz w:val="24"/>
          <w:szCs w:val="24"/>
        </w:rPr>
        <w:t xml:space="preserve"> Summary</w:t>
      </w:r>
      <w:r>
        <w:rPr>
          <w:rFonts w:ascii="Times New Roman" w:hAnsi="Times New Roman" w:cs="Times New Roman"/>
          <w:b/>
          <w:sz w:val="24"/>
          <w:szCs w:val="24"/>
        </w:rPr>
        <w:t xml:space="preserve"> of </w:t>
      </w:r>
      <w:r w:rsidRPr="00005D20">
        <w:rPr>
          <w:rFonts w:ascii="Times New Roman" w:hAnsi="Times New Roman" w:cs="Times New Roman"/>
          <w:b/>
          <w:sz w:val="24"/>
          <w:szCs w:val="24"/>
        </w:rPr>
        <w:t xml:space="preserve">ARCH </w:t>
      </w:r>
      <w:r w:rsidR="00CA45DE">
        <w:rPr>
          <w:rFonts w:ascii="Times New Roman" w:hAnsi="Times New Roman" w:cs="Times New Roman"/>
          <w:b/>
          <w:sz w:val="24"/>
          <w:szCs w:val="24"/>
        </w:rPr>
        <w:t>Results:</w:t>
      </w:r>
    </w:p>
    <w:tbl>
      <w:tblPr>
        <w:tblStyle w:val="TableGrid"/>
        <w:tblW w:w="0" w:type="auto"/>
        <w:tblInd w:w="108" w:type="dxa"/>
        <w:tblLook w:val="04A0"/>
      </w:tblPr>
      <w:tblGrid>
        <w:gridCol w:w="1883"/>
        <w:gridCol w:w="2007"/>
        <w:gridCol w:w="1991"/>
        <w:gridCol w:w="1965"/>
        <w:gridCol w:w="1874"/>
      </w:tblGrid>
      <w:tr w:rsidR="00970366" w:rsidRPr="00005D20" w:rsidTr="00CA45DE">
        <w:tc>
          <w:tcPr>
            <w:tcW w:w="1883" w:type="dxa"/>
          </w:tcPr>
          <w:p w:rsidR="00970366" w:rsidRPr="00CA45DE" w:rsidRDefault="00970366" w:rsidP="00CA45DE">
            <w:pPr>
              <w:jc w:val="center"/>
              <w:rPr>
                <w:rFonts w:asciiTheme="minorHAnsi" w:hAnsiTheme="minorHAnsi"/>
                <w:b/>
                <w:sz w:val="22"/>
                <w:szCs w:val="22"/>
              </w:rPr>
            </w:pPr>
            <w:r w:rsidRPr="00CA45DE">
              <w:rPr>
                <w:rFonts w:asciiTheme="minorHAnsi" w:hAnsiTheme="minorHAnsi"/>
                <w:b/>
                <w:sz w:val="22"/>
                <w:szCs w:val="22"/>
              </w:rPr>
              <w:t>OPR Variable</w:t>
            </w:r>
          </w:p>
        </w:tc>
        <w:tc>
          <w:tcPr>
            <w:tcW w:w="2007" w:type="dxa"/>
          </w:tcPr>
          <w:p w:rsidR="00970366" w:rsidRPr="00CA45DE" w:rsidRDefault="00970366" w:rsidP="00CA45DE">
            <w:pPr>
              <w:jc w:val="center"/>
              <w:rPr>
                <w:rFonts w:asciiTheme="minorHAnsi" w:hAnsiTheme="minorHAnsi"/>
                <w:b/>
                <w:sz w:val="22"/>
                <w:szCs w:val="22"/>
              </w:rPr>
            </w:pPr>
            <w:r w:rsidRPr="00CA45DE">
              <w:rPr>
                <w:rFonts w:asciiTheme="minorHAnsi" w:hAnsiTheme="minorHAnsi"/>
                <w:b/>
                <w:sz w:val="22"/>
                <w:szCs w:val="22"/>
              </w:rPr>
              <w:t>Coefficient</w:t>
            </w:r>
          </w:p>
        </w:tc>
        <w:tc>
          <w:tcPr>
            <w:tcW w:w="1991" w:type="dxa"/>
          </w:tcPr>
          <w:p w:rsidR="00970366" w:rsidRPr="00CA45DE" w:rsidRDefault="00970366" w:rsidP="00CA45DE">
            <w:pPr>
              <w:jc w:val="center"/>
              <w:rPr>
                <w:rFonts w:asciiTheme="minorHAnsi" w:hAnsiTheme="minorHAnsi"/>
                <w:b/>
                <w:sz w:val="22"/>
                <w:szCs w:val="22"/>
              </w:rPr>
            </w:pPr>
            <w:r w:rsidRPr="00CA45DE">
              <w:rPr>
                <w:rFonts w:asciiTheme="minorHAnsi" w:hAnsiTheme="minorHAnsi"/>
                <w:b/>
                <w:sz w:val="22"/>
                <w:szCs w:val="22"/>
              </w:rPr>
              <w:t>Std. err</w:t>
            </w:r>
          </w:p>
        </w:tc>
        <w:tc>
          <w:tcPr>
            <w:tcW w:w="1965" w:type="dxa"/>
          </w:tcPr>
          <w:p w:rsidR="00970366" w:rsidRPr="00CA45DE" w:rsidRDefault="00970366" w:rsidP="00CA45DE">
            <w:pPr>
              <w:jc w:val="center"/>
              <w:rPr>
                <w:rFonts w:asciiTheme="minorHAnsi" w:hAnsiTheme="minorHAnsi"/>
                <w:b/>
                <w:sz w:val="22"/>
                <w:szCs w:val="22"/>
              </w:rPr>
            </w:pPr>
            <w:r w:rsidRPr="00CA45DE">
              <w:rPr>
                <w:rFonts w:asciiTheme="minorHAnsi" w:hAnsiTheme="minorHAnsi"/>
                <w:b/>
                <w:sz w:val="22"/>
                <w:szCs w:val="22"/>
              </w:rPr>
              <w:t>z</w:t>
            </w:r>
          </w:p>
        </w:tc>
        <w:tc>
          <w:tcPr>
            <w:tcW w:w="1874" w:type="dxa"/>
          </w:tcPr>
          <w:p w:rsidR="00970366" w:rsidRPr="00CA45DE" w:rsidRDefault="00970366" w:rsidP="00CA45DE">
            <w:pPr>
              <w:jc w:val="center"/>
              <w:rPr>
                <w:rFonts w:asciiTheme="minorHAnsi" w:hAnsiTheme="minorHAnsi"/>
                <w:b/>
                <w:sz w:val="22"/>
                <w:szCs w:val="22"/>
              </w:rPr>
            </w:pPr>
            <w:r w:rsidRPr="00CA45DE">
              <w:rPr>
                <w:rFonts w:asciiTheme="minorHAnsi" w:hAnsiTheme="minorHAnsi"/>
                <w:b/>
                <w:sz w:val="22"/>
                <w:szCs w:val="22"/>
              </w:rPr>
              <w:t>P-value</w:t>
            </w:r>
          </w:p>
        </w:tc>
      </w:tr>
      <w:tr w:rsidR="00970366" w:rsidRPr="00005D20" w:rsidTr="00CA45DE">
        <w:tc>
          <w:tcPr>
            <w:tcW w:w="1883"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REXR</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C</w:t>
            </w:r>
          </w:p>
        </w:tc>
        <w:tc>
          <w:tcPr>
            <w:tcW w:w="2007"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0.475754</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16.71041</w:t>
            </w:r>
          </w:p>
        </w:tc>
        <w:tc>
          <w:tcPr>
            <w:tcW w:w="1991"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020.8849</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1.24406</w:t>
            </w:r>
          </w:p>
        </w:tc>
        <w:tc>
          <w:tcPr>
            <w:tcW w:w="1965"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2.28</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13.43</w:t>
            </w:r>
          </w:p>
        </w:tc>
        <w:tc>
          <w:tcPr>
            <w:tcW w:w="1874"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0.023</w:t>
            </w:r>
          </w:p>
          <w:p w:rsidR="00970366" w:rsidRPr="00366732" w:rsidRDefault="00366732" w:rsidP="00CA45DE">
            <w:pPr>
              <w:jc w:val="center"/>
              <w:rPr>
                <w:rFonts w:asciiTheme="minorHAnsi" w:hAnsiTheme="minorHAnsi"/>
                <w:sz w:val="22"/>
                <w:szCs w:val="22"/>
              </w:rPr>
            </w:pPr>
            <w:r>
              <w:rPr>
                <w:rFonts w:asciiTheme="minorHAnsi" w:hAnsiTheme="minorHAnsi"/>
                <w:sz w:val="22"/>
                <w:szCs w:val="22"/>
              </w:rPr>
              <w:t>0.000</w:t>
            </w:r>
          </w:p>
        </w:tc>
      </w:tr>
      <w:tr w:rsidR="00970366" w:rsidRPr="00005D20" w:rsidTr="00CA45DE">
        <w:trPr>
          <w:trHeight w:val="585"/>
        </w:trPr>
        <w:tc>
          <w:tcPr>
            <w:tcW w:w="1883"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ARCH</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C</w:t>
            </w:r>
          </w:p>
        </w:tc>
        <w:tc>
          <w:tcPr>
            <w:tcW w:w="2007"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1.154317</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14.92244</w:t>
            </w:r>
          </w:p>
        </w:tc>
        <w:tc>
          <w:tcPr>
            <w:tcW w:w="1991"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.4952137</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8.508498</w:t>
            </w:r>
          </w:p>
        </w:tc>
        <w:tc>
          <w:tcPr>
            <w:tcW w:w="1965"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2.33</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1.75</w:t>
            </w:r>
          </w:p>
        </w:tc>
        <w:tc>
          <w:tcPr>
            <w:tcW w:w="1874" w:type="dxa"/>
          </w:tcPr>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0.026</w:t>
            </w:r>
          </w:p>
          <w:p w:rsidR="00970366" w:rsidRPr="00CA45DE" w:rsidRDefault="00970366" w:rsidP="00CA45DE">
            <w:pPr>
              <w:jc w:val="center"/>
              <w:rPr>
                <w:rFonts w:asciiTheme="minorHAnsi" w:hAnsiTheme="minorHAnsi"/>
                <w:sz w:val="22"/>
                <w:szCs w:val="22"/>
              </w:rPr>
            </w:pPr>
            <w:r w:rsidRPr="00CA45DE">
              <w:rPr>
                <w:rFonts w:asciiTheme="minorHAnsi" w:hAnsiTheme="minorHAnsi"/>
                <w:sz w:val="22"/>
                <w:szCs w:val="22"/>
              </w:rPr>
              <w:t>0.079</w:t>
            </w:r>
          </w:p>
        </w:tc>
      </w:tr>
    </w:tbl>
    <w:p w:rsidR="00CA45DE" w:rsidRDefault="00CA45DE" w:rsidP="00CA45DE">
      <w:pPr>
        <w:spacing w:after="0" w:line="240" w:lineRule="auto"/>
        <w:jc w:val="both"/>
        <w:rPr>
          <w:rFonts w:ascii="Times New Roman" w:hAnsi="Times New Roman" w:cs="Times New Roman"/>
          <w:sz w:val="24"/>
          <w:szCs w:val="24"/>
        </w:rPr>
      </w:pPr>
    </w:p>
    <w:p w:rsidR="00970366" w:rsidRDefault="00970366" w:rsidP="00CA45DE">
      <w:pPr>
        <w:spacing w:after="0" w:line="240" w:lineRule="auto"/>
        <w:jc w:val="both"/>
        <w:rPr>
          <w:rFonts w:ascii="Times New Roman" w:hAnsi="Times New Roman" w:cs="Times New Roman"/>
          <w:sz w:val="24"/>
          <w:szCs w:val="24"/>
        </w:rPr>
      </w:pPr>
      <w:r w:rsidRPr="00005D20">
        <w:rPr>
          <w:rFonts w:ascii="Times New Roman" w:hAnsi="Times New Roman" w:cs="Times New Roman"/>
          <w:sz w:val="24"/>
          <w:szCs w:val="24"/>
        </w:rPr>
        <w:t xml:space="preserve">The </w:t>
      </w:r>
      <w:r w:rsidR="00CA45DE">
        <w:rPr>
          <w:rFonts w:ascii="Times New Roman" w:hAnsi="Times New Roman" w:cs="Times New Roman"/>
          <w:sz w:val="24"/>
          <w:szCs w:val="24"/>
        </w:rPr>
        <w:t xml:space="preserve">results of the </w:t>
      </w:r>
      <w:r w:rsidR="00CA45DE" w:rsidRPr="009A48E2">
        <w:rPr>
          <w:rFonts w:ascii="Times New Roman" w:hAnsi="Times New Roman" w:cs="Times New Roman"/>
          <w:bCs/>
          <w:sz w:val="24"/>
          <w:szCs w:val="24"/>
        </w:rPr>
        <w:t>Autoregressive conditional heteroskedasticity</w:t>
      </w:r>
      <w:r w:rsidR="00CA45DE" w:rsidRPr="00005D20">
        <w:rPr>
          <w:rFonts w:ascii="Times New Roman" w:hAnsi="Times New Roman" w:cs="Times New Roman"/>
          <w:sz w:val="24"/>
          <w:szCs w:val="24"/>
        </w:rPr>
        <w:t xml:space="preserve"> </w:t>
      </w:r>
      <w:r w:rsidR="00CA45DE">
        <w:rPr>
          <w:rFonts w:ascii="Times New Roman" w:hAnsi="Times New Roman" w:cs="Times New Roman"/>
          <w:sz w:val="24"/>
          <w:szCs w:val="24"/>
        </w:rPr>
        <w:t>(</w:t>
      </w:r>
      <w:r w:rsidR="00763BF5" w:rsidRPr="00005D20">
        <w:rPr>
          <w:rFonts w:ascii="Times New Roman" w:hAnsi="Times New Roman" w:cs="Times New Roman"/>
          <w:sz w:val="24"/>
          <w:szCs w:val="24"/>
        </w:rPr>
        <w:t>ARCH</w:t>
      </w:r>
      <w:r w:rsidR="00CA45DE">
        <w:rPr>
          <w:rFonts w:ascii="Times New Roman" w:hAnsi="Times New Roman" w:cs="Times New Roman"/>
          <w:sz w:val="24"/>
          <w:szCs w:val="24"/>
        </w:rPr>
        <w:t>)</w:t>
      </w:r>
      <w:r w:rsidRPr="00005D20">
        <w:rPr>
          <w:rFonts w:ascii="Times New Roman" w:hAnsi="Times New Roman" w:cs="Times New Roman"/>
          <w:sz w:val="24"/>
          <w:szCs w:val="24"/>
        </w:rPr>
        <w:t xml:space="preserve"> above shows the </w:t>
      </w:r>
      <w:r w:rsidR="00763BF5">
        <w:rPr>
          <w:rFonts w:ascii="Times New Roman" w:hAnsi="Times New Roman" w:cs="Times New Roman"/>
          <w:sz w:val="24"/>
          <w:szCs w:val="24"/>
        </w:rPr>
        <w:t xml:space="preserve">average </w:t>
      </w:r>
      <w:r w:rsidRPr="00005D20">
        <w:rPr>
          <w:rFonts w:ascii="Times New Roman" w:hAnsi="Times New Roman" w:cs="Times New Roman"/>
          <w:sz w:val="24"/>
          <w:szCs w:val="24"/>
        </w:rPr>
        <w:t xml:space="preserve">oil price </w:t>
      </w:r>
      <w:r w:rsidR="00763BF5">
        <w:rPr>
          <w:rFonts w:ascii="Times New Roman" w:hAnsi="Times New Roman" w:cs="Times New Roman"/>
          <w:sz w:val="24"/>
          <w:szCs w:val="24"/>
        </w:rPr>
        <w:t xml:space="preserve">(16.7) </w:t>
      </w:r>
      <w:r w:rsidR="00B339AD">
        <w:rPr>
          <w:rFonts w:ascii="Times New Roman" w:hAnsi="Times New Roman" w:cs="Times New Roman"/>
          <w:sz w:val="24"/>
          <w:szCs w:val="24"/>
        </w:rPr>
        <w:t xml:space="preserve">is </w:t>
      </w:r>
      <w:r w:rsidRPr="00005D20">
        <w:rPr>
          <w:rFonts w:ascii="Times New Roman" w:hAnsi="Times New Roman" w:cs="Times New Roman"/>
          <w:sz w:val="24"/>
          <w:szCs w:val="24"/>
        </w:rPr>
        <w:t xml:space="preserve">relative to </w:t>
      </w:r>
      <w:r w:rsidR="00763BF5">
        <w:rPr>
          <w:rFonts w:ascii="Times New Roman" w:hAnsi="Times New Roman" w:cs="Times New Roman"/>
          <w:sz w:val="24"/>
          <w:szCs w:val="24"/>
        </w:rPr>
        <w:t xml:space="preserve">current </w:t>
      </w:r>
      <w:r w:rsidRPr="00005D20">
        <w:rPr>
          <w:rFonts w:ascii="Times New Roman" w:hAnsi="Times New Roman" w:cs="Times New Roman"/>
          <w:sz w:val="24"/>
          <w:szCs w:val="24"/>
        </w:rPr>
        <w:t>oil price</w:t>
      </w:r>
      <w:r w:rsidR="00763BF5">
        <w:rPr>
          <w:rFonts w:ascii="Times New Roman" w:hAnsi="Times New Roman" w:cs="Times New Roman"/>
          <w:sz w:val="24"/>
          <w:szCs w:val="24"/>
        </w:rPr>
        <w:t xml:space="preserve">. This </w:t>
      </w:r>
      <w:r w:rsidR="00763BF5" w:rsidRPr="00005D20">
        <w:rPr>
          <w:rFonts w:ascii="Times New Roman" w:hAnsi="Times New Roman" w:cs="Times New Roman"/>
          <w:sz w:val="24"/>
          <w:szCs w:val="24"/>
        </w:rPr>
        <w:t>shows</w:t>
      </w:r>
      <w:r w:rsidRPr="00005D20">
        <w:rPr>
          <w:rFonts w:ascii="Times New Roman" w:hAnsi="Times New Roman" w:cs="Times New Roman"/>
          <w:sz w:val="24"/>
          <w:szCs w:val="24"/>
        </w:rPr>
        <w:t xml:space="preserve"> the extent of price rise in the oil commodity market. Also the ARCH terms </w:t>
      </w:r>
      <w:r w:rsidRPr="00763BF5">
        <w:rPr>
          <w:rFonts w:ascii="Times New Roman" w:hAnsi="Times New Roman" w:cs="Times New Roman"/>
          <w:i/>
          <w:sz w:val="24"/>
          <w:szCs w:val="24"/>
        </w:rPr>
        <w:t>t</w:t>
      </w:r>
      <w:r w:rsidRPr="00005D20">
        <w:rPr>
          <w:rFonts w:ascii="Times New Roman" w:hAnsi="Times New Roman" w:cs="Times New Roman"/>
          <w:sz w:val="24"/>
          <w:szCs w:val="24"/>
        </w:rPr>
        <w:t>-ratio is statistically significant (2.33)</w:t>
      </w:r>
      <w:r w:rsidR="00763BF5">
        <w:rPr>
          <w:rFonts w:ascii="Times New Roman" w:hAnsi="Times New Roman" w:cs="Times New Roman"/>
          <w:sz w:val="24"/>
          <w:szCs w:val="24"/>
        </w:rPr>
        <w:t>. It</w:t>
      </w:r>
      <w:r w:rsidRPr="00005D20">
        <w:rPr>
          <w:rFonts w:ascii="Times New Roman" w:hAnsi="Times New Roman" w:cs="Times New Roman"/>
          <w:sz w:val="24"/>
          <w:szCs w:val="24"/>
        </w:rPr>
        <w:t xml:space="preserve"> means that the variance is autoregressive conditional heteroscedastic in behavior. Hence, the oil price (</w:t>
      </w:r>
      <w:r w:rsidR="00506A1B" w:rsidRPr="00005D20">
        <w:rPr>
          <w:rFonts w:ascii="Times New Roman" w:hAnsi="Times New Roman" w:cs="Times New Roman"/>
          <w:sz w:val="24"/>
          <w:szCs w:val="24"/>
        </w:rPr>
        <w:t>OPR</w:t>
      </w:r>
      <w:r w:rsidRPr="00005D20">
        <w:rPr>
          <w:rFonts w:ascii="Times New Roman" w:hAnsi="Times New Roman" w:cs="Times New Roman"/>
          <w:sz w:val="24"/>
          <w:szCs w:val="24"/>
        </w:rPr>
        <w:t>) and real exchange rate (</w:t>
      </w:r>
      <w:r w:rsidR="00506A1B" w:rsidRPr="00005D20">
        <w:rPr>
          <w:rFonts w:ascii="Times New Roman" w:hAnsi="Times New Roman" w:cs="Times New Roman"/>
          <w:sz w:val="24"/>
          <w:szCs w:val="24"/>
        </w:rPr>
        <w:t>REXR</w:t>
      </w:r>
      <w:r w:rsidRPr="00005D20">
        <w:rPr>
          <w:rFonts w:ascii="Times New Roman" w:hAnsi="Times New Roman" w:cs="Times New Roman"/>
          <w:sz w:val="24"/>
          <w:szCs w:val="24"/>
        </w:rPr>
        <w:t>) exhibit a collective volatility of about 1.15% during this period which is relatively low.</w:t>
      </w:r>
      <w:r w:rsidR="00C35DE8">
        <w:rPr>
          <w:rFonts w:ascii="Times New Roman" w:hAnsi="Times New Roman" w:cs="Times New Roman"/>
          <w:sz w:val="24"/>
          <w:szCs w:val="24"/>
        </w:rPr>
        <w:t xml:space="preserve"> In addition, </w:t>
      </w:r>
      <w:r w:rsidR="00CE3137">
        <w:rPr>
          <w:rFonts w:ascii="Times New Roman" w:hAnsi="Times New Roman" w:cs="Times New Roman"/>
          <w:sz w:val="24"/>
          <w:szCs w:val="24"/>
        </w:rPr>
        <w:t>to</w:t>
      </w:r>
      <w:r w:rsidR="00C35DE8">
        <w:rPr>
          <w:rFonts w:ascii="Times New Roman" w:hAnsi="Times New Roman" w:cs="Times New Roman"/>
          <w:sz w:val="24"/>
          <w:szCs w:val="24"/>
        </w:rPr>
        <w:t xml:space="preserve"> check if there is ARCH effect in the series, we carry out the LM test for ARCH.</w:t>
      </w:r>
    </w:p>
    <w:p w:rsidR="00CA45DE" w:rsidRPr="00005D20" w:rsidRDefault="00CA45DE" w:rsidP="00C35DE8">
      <w:pPr>
        <w:spacing w:after="0" w:line="240" w:lineRule="auto"/>
        <w:jc w:val="both"/>
        <w:rPr>
          <w:rFonts w:ascii="Times New Roman" w:hAnsi="Times New Roman" w:cs="Times New Roman"/>
          <w:sz w:val="24"/>
          <w:szCs w:val="24"/>
        </w:rPr>
      </w:pPr>
    </w:p>
    <w:p w:rsidR="00970366" w:rsidRDefault="00970366" w:rsidP="00C35DE8">
      <w:pPr>
        <w:spacing w:after="0" w:line="240" w:lineRule="auto"/>
        <w:rPr>
          <w:rFonts w:ascii="Times New Roman" w:hAnsi="Times New Roman" w:cs="Times New Roman"/>
          <w:b/>
        </w:rPr>
      </w:pPr>
      <w:r w:rsidRPr="00C00F7D">
        <w:rPr>
          <w:rFonts w:ascii="Times New Roman" w:hAnsi="Times New Roman" w:cs="Times New Roman"/>
          <w:b/>
        </w:rPr>
        <w:t xml:space="preserve">Table </w:t>
      </w:r>
      <w:r w:rsidR="00CE3137" w:rsidRPr="00C00F7D">
        <w:rPr>
          <w:rFonts w:ascii="Times New Roman" w:hAnsi="Times New Roman" w:cs="Times New Roman"/>
          <w:b/>
        </w:rPr>
        <w:t>4.5</w:t>
      </w:r>
      <w:r w:rsidR="00C35DE8" w:rsidRPr="00C00F7D">
        <w:rPr>
          <w:rFonts w:ascii="Times New Roman" w:hAnsi="Times New Roman" w:cs="Times New Roman"/>
          <w:b/>
        </w:rPr>
        <w:t>:</w:t>
      </w:r>
      <w:r w:rsidRPr="00C00F7D">
        <w:rPr>
          <w:rFonts w:ascii="Times New Roman" w:hAnsi="Times New Roman" w:cs="Times New Roman"/>
          <w:b/>
        </w:rPr>
        <w:t xml:space="preserve"> Summary</w:t>
      </w:r>
      <w:r w:rsidRPr="00970366">
        <w:rPr>
          <w:rFonts w:ascii="Times New Roman" w:hAnsi="Times New Roman" w:cs="Times New Roman"/>
          <w:b/>
        </w:rPr>
        <w:t xml:space="preserve"> Results of the</w:t>
      </w:r>
      <w:r w:rsidRPr="00970366">
        <w:rPr>
          <w:rFonts w:ascii="Times New Roman" w:hAnsi="Times New Roman" w:cs="Times New Roman"/>
        </w:rPr>
        <w:t xml:space="preserve"> </w:t>
      </w:r>
      <w:r w:rsidRPr="00970366">
        <w:rPr>
          <w:rFonts w:ascii="Times New Roman" w:hAnsi="Times New Roman" w:cs="Times New Roman"/>
          <w:b/>
        </w:rPr>
        <w:t>LM test for ARCH</w:t>
      </w:r>
    </w:p>
    <w:p w:rsidR="00C35DE8" w:rsidRPr="00C35DE8" w:rsidRDefault="00C35DE8" w:rsidP="00C35DE8">
      <w:pPr>
        <w:spacing w:after="0" w:line="240" w:lineRule="auto"/>
        <w:rPr>
          <w:rFonts w:ascii="Times New Roman" w:hAnsi="Times New Roman" w:cs="Times New Roman"/>
          <w:b/>
          <w:sz w:val="12"/>
        </w:rPr>
      </w:pPr>
    </w:p>
    <w:tbl>
      <w:tblPr>
        <w:tblStyle w:val="TableGrid"/>
        <w:tblW w:w="9720" w:type="dxa"/>
        <w:tblInd w:w="108" w:type="dxa"/>
        <w:tblLook w:val="04A0"/>
      </w:tblPr>
      <w:tblGrid>
        <w:gridCol w:w="2293"/>
        <w:gridCol w:w="2401"/>
        <w:gridCol w:w="2401"/>
        <w:gridCol w:w="2625"/>
      </w:tblGrid>
      <w:tr w:rsidR="00970366" w:rsidRPr="00005D20" w:rsidTr="00C35DE8">
        <w:trPr>
          <w:trHeight w:val="292"/>
        </w:trPr>
        <w:tc>
          <w:tcPr>
            <w:tcW w:w="2293" w:type="dxa"/>
          </w:tcPr>
          <w:p w:rsidR="00970366" w:rsidRPr="00C35DE8" w:rsidRDefault="00970366" w:rsidP="00C35DE8">
            <w:pPr>
              <w:jc w:val="center"/>
              <w:rPr>
                <w:rFonts w:asciiTheme="minorHAnsi" w:hAnsiTheme="minorHAnsi"/>
                <w:b/>
                <w:sz w:val="24"/>
                <w:szCs w:val="24"/>
              </w:rPr>
            </w:pPr>
            <w:r w:rsidRPr="00C35DE8">
              <w:rPr>
                <w:rFonts w:asciiTheme="minorHAnsi" w:hAnsiTheme="minorHAnsi"/>
                <w:b/>
                <w:sz w:val="24"/>
                <w:szCs w:val="24"/>
              </w:rPr>
              <w:t>Lags (p)</w:t>
            </w:r>
          </w:p>
        </w:tc>
        <w:tc>
          <w:tcPr>
            <w:tcW w:w="2401" w:type="dxa"/>
          </w:tcPr>
          <w:p w:rsidR="00970366" w:rsidRPr="00C35DE8" w:rsidRDefault="00970366" w:rsidP="00C35DE8">
            <w:pPr>
              <w:jc w:val="center"/>
              <w:rPr>
                <w:rFonts w:asciiTheme="minorHAnsi" w:hAnsiTheme="minorHAnsi"/>
                <w:b/>
                <w:sz w:val="24"/>
                <w:szCs w:val="24"/>
              </w:rPr>
            </w:pPr>
            <w:r w:rsidRPr="00C35DE8">
              <w:rPr>
                <w:rFonts w:asciiTheme="minorHAnsi" w:hAnsiTheme="minorHAnsi"/>
                <w:b/>
                <w:sz w:val="24"/>
                <w:szCs w:val="24"/>
              </w:rPr>
              <w:t>Chi2</w:t>
            </w:r>
          </w:p>
        </w:tc>
        <w:tc>
          <w:tcPr>
            <w:tcW w:w="2401" w:type="dxa"/>
          </w:tcPr>
          <w:p w:rsidR="00970366" w:rsidRPr="00C35DE8" w:rsidRDefault="00C35DE8" w:rsidP="00C35DE8">
            <w:pPr>
              <w:jc w:val="center"/>
              <w:rPr>
                <w:rFonts w:asciiTheme="minorHAnsi" w:hAnsiTheme="minorHAnsi"/>
                <w:b/>
                <w:sz w:val="24"/>
                <w:szCs w:val="24"/>
              </w:rPr>
            </w:pPr>
            <w:r w:rsidRPr="00C35DE8">
              <w:rPr>
                <w:rFonts w:asciiTheme="minorHAnsi" w:hAnsiTheme="minorHAnsi"/>
                <w:b/>
                <w:sz w:val="24"/>
                <w:szCs w:val="24"/>
              </w:rPr>
              <w:t>d</w:t>
            </w:r>
            <w:r w:rsidR="00970366" w:rsidRPr="00C35DE8">
              <w:rPr>
                <w:rFonts w:asciiTheme="minorHAnsi" w:hAnsiTheme="minorHAnsi"/>
                <w:b/>
                <w:sz w:val="24"/>
                <w:szCs w:val="24"/>
              </w:rPr>
              <w:t>f</w:t>
            </w:r>
          </w:p>
        </w:tc>
        <w:tc>
          <w:tcPr>
            <w:tcW w:w="2625" w:type="dxa"/>
          </w:tcPr>
          <w:p w:rsidR="00970366" w:rsidRPr="00C35DE8" w:rsidRDefault="00970366" w:rsidP="00C35DE8">
            <w:pPr>
              <w:jc w:val="center"/>
              <w:rPr>
                <w:rFonts w:asciiTheme="minorHAnsi" w:hAnsiTheme="minorHAnsi"/>
                <w:b/>
                <w:sz w:val="24"/>
                <w:szCs w:val="24"/>
              </w:rPr>
            </w:pPr>
            <w:r w:rsidRPr="00C35DE8">
              <w:rPr>
                <w:rFonts w:asciiTheme="minorHAnsi" w:hAnsiTheme="minorHAnsi"/>
                <w:b/>
                <w:sz w:val="24"/>
                <w:szCs w:val="24"/>
              </w:rPr>
              <w:t>Prob&gt;chi2</w:t>
            </w:r>
          </w:p>
        </w:tc>
      </w:tr>
      <w:tr w:rsidR="00970366" w:rsidRPr="00005D20" w:rsidTr="00C35DE8">
        <w:trPr>
          <w:trHeight w:val="314"/>
        </w:trPr>
        <w:tc>
          <w:tcPr>
            <w:tcW w:w="2293" w:type="dxa"/>
          </w:tcPr>
          <w:p w:rsidR="00970366" w:rsidRPr="00C35DE8" w:rsidRDefault="00970366" w:rsidP="00C35DE8">
            <w:pPr>
              <w:jc w:val="center"/>
              <w:rPr>
                <w:rFonts w:asciiTheme="minorHAnsi" w:hAnsiTheme="minorHAnsi"/>
                <w:sz w:val="24"/>
                <w:szCs w:val="24"/>
              </w:rPr>
            </w:pPr>
            <w:r w:rsidRPr="00C35DE8">
              <w:rPr>
                <w:rFonts w:asciiTheme="minorHAnsi" w:hAnsiTheme="minorHAnsi"/>
                <w:sz w:val="24"/>
                <w:szCs w:val="24"/>
              </w:rPr>
              <w:t>3</w:t>
            </w:r>
          </w:p>
        </w:tc>
        <w:tc>
          <w:tcPr>
            <w:tcW w:w="2401" w:type="dxa"/>
          </w:tcPr>
          <w:p w:rsidR="00970366" w:rsidRPr="00C35DE8" w:rsidRDefault="00970366" w:rsidP="00C35DE8">
            <w:pPr>
              <w:jc w:val="center"/>
              <w:rPr>
                <w:rFonts w:asciiTheme="minorHAnsi" w:hAnsiTheme="minorHAnsi"/>
                <w:sz w:val="24"/>
                <w:szCs w:val="24"/>
              </w:rPr>
            </w:pPr>
            <w:r w:rsidRPr="00C35DE8">
              <w:rPr>
                <w:rFonts w:asciiTheme="minorHAnsi" w:hAnsiTheme="minorHAnsi"/>
                <w:sz w:val="24"/>
                <w:szCs w:val="24"/>
              </w:rPr>
              <w:t>2.295</w:t>
            </w:r>
          </w:p>
        </w:tc>
        <w:tc>
          <w:tcPr>
            <w:tcW w:w="2401" w:type="dxa"/>
          </w:tcPr>
          <w:p w:rsidR="00970366" w:rsidRPr="00C35DE8" w:rsidRDefault="00970366" w:rsidP="00C35DE8">
            <w:pPr>
              <w:jc w:val="center"/>
              <w:rPr>
                <w:rFonts w:asciiTheme="minorHAnsi" w:hAnsiTheme="minorHAnsi"/>
                <w:sz w:val="24"/>
                <w:szCs w:val="24"/>
              </w:rPr>
            </w:pPr>
            <w:r w:rsidRPr="00C35DE8">
              <w:rPr>
                <w:rFonts w:asciiTheme="minorHAnsi" w:hAnsiTheme="minorHAnsi"/>
                <w:sz w:val="24"/>
                <w:szCs w:val="24"/>
              </w:rPr>
              <w:t>3</w:t>
            </w:r>
          </w:p>
        </w:tc>
        <w:tc>
          <w:tcPr>
            <w:tcW w:w="2625" w:type="dxa"/>
          </w:tcPr>
          <w:p w:rsidR="00970366" w:rsidRPr="00C35DE8" w:rsidRDefault="00970366" w:rsidP="00C35DE8">
            <w:pPr>
              <w:jc w:val="center"/>
              <w:rPr>
                <w:rFonts w:asciiTheme="minorHAnsi" w:hAnsiTheme="minorHAnsi"/>
                <w:sz w:val="24"/>
                <w:szCs w:val="24"/>
              </w:rPr>
            </w:pPr>
            <w:r w:rsidRPr="00C35DE8">
              <w:rPr>
                <w:rFonts w:asciiTheme="minorHAnsi" w:hAnsiTheme="minorHAnsi"/>
                <w:sz w:val="24"/>
                <w:szCs w:val="24"/>
              </w:rPr>
              <w:t>0.5135</w:t>
            </w:r>
          </w:p>
        </w:tc>
      </w:tr>
    </w:tbl>
    <w:p w:rsidR="00970366" w:rsidRPr="00005D20" w:rsidRDefault="00970366" w:rsidP="00C35DE8">
      <w:pPr>
        <w:spacing w:after="0" w:line="240" w:lineRule="auto"/>
        <w:jc w:val="both"/>
        <w:rPr>
          <w:rFonts w:ascii="Times New Roman" w:hAnsi="Times New Roman" w:cs="Times New Roman"/>
          <w:sz w:val="24"/>
          <w:szCs w:val="24"/>
        </w:rPr>
      </w:pPr>
    </w:p>
    <w:p w:rsidR="00C35DE8" w:rsidRDefault="00970366" w:rsidP="006A2955">
      <w:pPr>
        <w:spacing w:after="0" w:line="240" w:lineRule="auto"/>
        <w:jc w:val="both"/>
        <w:rPr>
          <w:rFonts w:ascii="Times New Roman" w:hAnsi="Times New Roman" w:cs="Times New Roman"/>
          <w:sz w:val="24"/>
          <w:szCs w:val="24"/>
        </w:rPr>
      </w:pPr>
      <w:r w:rsidRPr="00005D20">
        <w:rPr>
          <w:rFonts w:ascii="Times New Roman" w:hAnsi="Times New Roman" w:cs="Times New Roman"/>
          <w:sz w:val="24"/>
          <w:szCs w:val="24"/>
        </w:rPr>
        <w:t xml:space="preserve">From the </w:t>
      </w:r>
      <w:r>
        <w:rPr>
          <w:rFonts w:ascii="Times New Roman" w:hAnsi="Times New Roman" w:cs="Times New Roman"/>
          <w:sz w:val="24"/>
          <w:szCs w:val="24"/>
        </w:rPr>
        <w:t>results given in Table 4.4</w:t>
      </w:r>
      <w:r w:rsidRPr="00005D20">
        <w:rPr>
          <w:rFonts w:ascii="Times New Roman" w:hAnsi="Times New Roman" w:cs="Times New Roman"/>
          <w:sz w:val="24"/>
          <w:szCs w:val="24"/>
        </w:rPr>
        <w:t xml:space="preserve">, </w:t>
      </w:r>
      <w:r>
        <w:rPr>
          <w:rFonts w:ascii="Times New Roman" w:hAnsi="Times New Roman" w:cs="Times New Roman"/>
          <w:sz w:val="24"/>
          <w:szCs w:val="24"/>
        </w:rPr>
        <w:t>it can be</w:t>
      </w:r>
      <w:r w:rsidRPr="00005D20">
        <w:rPr>
          <w:rFonts w:ascii="Times New Roman" w:hAnsi="Times New Roman" w:cs="Times New Roman"/>
          <w:sz w:val="24"/>
          <w:szCs w:val="24"/>
        </w:rPr>
        <w:t xml:space="preserve"> see</w:t>
      </w:r>
      <w:r>
        <w:rPr>
          <w:rFonts w:ascii="Times New Roman" w:hAnsi="Times New Roman" w:cs="Times New Roman"/>
          <w:sz w:val="24"/>
          <w:szCs w:val="24"/>
        </w:rPr>
        <w:t>n</w:t>
      </w:r>
      <w:r w:rsidRPr="00005D20">
        <w:rPr>
          <w:rFonts w:ascii="Times New Roman" w:hAnsi="Times New Roman" w:cs="Times New Roman"/>
          <w:sz w:val="24"/>
          <w:szCs w:val="24"/>
        </w:rPr>
        <w:t xml:space="preserve"> that there is no ARCH effect since the p-value is greater than 0.05. Hence, </w:t>
      </w:r>
      <w:r w:rsidR="00F31922">
        <w:rPr>
          <w:rFonts w:ascii="Times New Roman" w:hAnsi="Times New Roman" w:cs="Times New Roman"/>
          <w:sz w:val="24"/>
          <w:szCs w:val="24"/>
        </w:rPr>
        <w:t>th</w:t>
      </w:r>
      <w:r w:rsidRPr="00005D20">
        <w:rPr>
          <w:rFonts w:ascii="Times New Roman" w:hAnsi="Times New Roman" w:cs="Times New Roman"/>
          <w:sz w:val="24"/>
          <w:szCs w:val="24"/>
        </w:rPr>
        <w:t>e null hypothesis</w:t>
      </w:r>
      <w:r w:rsidR="00F31922">
        <w:rPr>
          <w:rFonts w:ascii="Times New Roman" w:hAnsi="Times New Roman" w:cs="Times New Roman"/>
          <w:sz w:val="24"/>
          <w:szCs w:val="24"/>
        </w:rPr>
        <w:t xml:space="preserve"> is accepted</w:t>
      </w:r>
      <w:r w:rsidRPr="00005D20">
        <w:rPr>
          <w:rFonts w:ascii="Times New Roman" w:hAnsi="Times New Roman" w:cs="Times New Roman"/>
          <w:sz w:val="24"/>
          <w:szCs w:val="24"/>
        </w:rPr>
        <w:t xml:space="preserve">. This </w:t>
      </w:r>
      <w:r w:rsidR="00F31922">
        <w:rPr>
          <w:rFonts w:ascii="Times New Roman" w:hAnsi="Times New Roman" w:cs="Times New Roman"/>
          <w:sz w:val="24"/>
          <w:szCs w:val="24"/>
        </w:rPr>
        <w:t>therefore implies</w:t>
      </w:r>
      <w:r w:rsidRPr="00005D20">
        <w:rPr>
          <w:rFonts w:ascii="Times New Roman" w:hAnsi="Times New Roman" w:cs="Times New Roman"/>
          <w:sz w:val="24"/>
          <w:szCs w:val="24"/>
        </w:rPr>
        <w:t xml:space="preserve"> that </w:t>
      </w:r>
      <w:r w:rsidR="00F31922" w:rsidRPr="00005D20">
        <w:rPr>
          <w:rFonts w:ascii="Times New Roman" w:hAnsi="Times New Roman" w:cs="Times New Roman"/>
          <w:sz w:val="24"/>
          <w:szCs w:val="24"/>
        </w:rPr>
        <w:t>oil price do</w:t>
      </w:r>
      <w:r w:rsidR="00F31922">
        <w:rPr>
          <w:rFonts w:ascii="Times New Roman" w:hAnsi="Times New Roman" w:cs="Times New Roman"/>
          <w:sz w:val="24"/>
          <w:szCs w:val="24"/>
        </w:rPr>
        <w:t>es</w:t>
      </w:r>
      <w:r w:rsidRPr="00005D20">
        <w:rPr>
          <w:rFonts w:ascii="Times New Roman" w:hAnsi="Times New Roman" w:cs="Times New Roman"/>
          <w:sz w:val="24"/>
          <w:szCs w:val="24"/>
        </w:rPr>
        <w:t xml:space="preserve"> not exhibit volatility clustering between the periods of 1970 to 201</w:t>
      </w:r>
      <w:r w:rsidR="00F31922">
        <w:rPr>
          <w:rFonts w:ascii="Times New Roman" w:hAnsi="Times New Roman" w:cs="Times New Roman"/>
          <w:sz w:val="24"/>
          <w:szCs w:val="24"/>
        </w:rPr>
        <w:t>3</w:t>
      </w:r>
      <w:r w:rsidRPr="00005D20">
        <w:rPr>
          <w:rFonts w:ascii="Times New Roman" w:hAnsi="Times New Roman" w:cs="Times New Roman"/>
          <w:sz w:val="24"/>
          <w:szCs w:val="24"/>
        </w:rPr>
        <w:t xml:space="preserve"> using annual figures in Nigeria. </w:t>
      </w:r>
      <w:r w:rsidR="00B339AD" w:rsidRPr="00154FAA">
        <w:rPr>
          <w:rFonts w:ascii="Times New Roman" w:hAnsi="Times New Roman" w:cs="Times New Roman"/>
          <w:sz w:val="24"/>
          <w:szCs w:val="24"/>
        </w:rPr>
        <w:t xml:space="preserve">This result is coherent with the </w:t>
      </w:r>
      <w:r w:rsidR="00154FAA" w:rsidRPr="00154FAA">
        <w:rPr>
          <w:rFonts w:ascii="Times New Roman" w:hAnsi="Times New Roman" w:cs="Times New Roman"/>
          <w:sz w:val="24"/>
          <w:szCs w:val="24"/>
        </w:rPr>
        <w:t>finding of Akram (2004) in a study on oil prices and the exchange rates in Norway. Further investigation shows that t</w:t>
      </w:r>
      <w:r w:rsidRPr="00154FAA">
        <w:rPr>
          <w:rFonts w:ascii="Times New Roman" w:hAnsi="Times New Roman" w:cs="Times New Roman"/>
          <w:sz w:val="24"/>
          <w:szCs w:val="24"/>
        </w:rPr>
        <w:t>his</w:t>
      </w:r>
      <w:r w:rsidRPr="00005D20">
        <w:rPr>
          <w:rFonts w:ascii="Times New Roman" w:hAnsi="Times New Roman" w:cs="Times New Roman"/>
          <w:sz w:val="24"/>
          <w:szCs w:val="24"/>
        </w:rPr>
        <w:t xml:space="preserve"> </w:t>
      </w:r>
      <w:r w:rsidR="00154FAA">
        <w:rPr>
          <w:rFonts w:ascii="Times New Roman" w:hAnsi="Times New Roman" w:cs="Times New Roman"/>
          <w:sz w:val="24"/>
          <w:szCs w:val="24"/>
        </w:rPr>
        <w:t xml:space="preserve">result </w:t>
      </w:r>
      <w:r w:rsidRPr="00005D20">
        <w:rPr>
          <w:rFonts w:ascii="Times New Roman" w:hAnsi="Times New Roman" w:cs="Times New Roman"/>
          <w:sz w:val="24"/>
          <w:szCs w:val="24"/>
        </w:rPr>
        <w:t>could be as a result of the fact that oil prices exhibits a stand-alone value for each year.</w:t>
      </w:r>
      <w:r w:rsidR="00C35DE8">
        <w:rPr>
          <w:rFonts w:ascii="Times New Roman" w:hAnsi="Times New Roman" w:cs="Times New Roman"/>
          <w:sz w:val="24"/>
          <w:szCs w:val="24"/>
        </w:rPr>
        <w:t xml:space="preserve"> Hence, we also </w:t>
      </w:r>
      <w:r w:rsidR="006A2955">
        <w:rPr>
          <w:rFonts w:ascii="Times New Roman" w:hAnsi="Times New Roman" w:cs="Times New Roman"/>
          <w:sz w:val="24"/>
          <w:szCs w:val="24"/>
        </w:rPr>
        <w:t xml:space="preserve">observed the occurrence of </w:t>
      </w:r>
      <w:r w:rsidR="00C35DE8" w:rsidRPr="00005D20">
        <w:rPr>
          <w:rFonts w:ascii="Times New Roman" w:hAnsi="Times New Roman" w:cs="Times New Roman"/>
          <w:sz w:val="24"/>
          <w:szCs w:val="24"/>
        </w:rPr>
        <w:t>high volatility towards the end of the series</w:t>
      </w:r>
      <w:r w:rsidR="006A2955">
        <w:rPr>
          <w:rFonts w:ascii="Times New Roman" w:hAnsi="Times New Roman" w:cs="Times New Roman"/>
          <w:sz w:val="24"/>
          <w:szCs w:val="24"/>
        </w:rPr>
        <w:t xml:space="preserve"> as indicated in the ARCH conditional variance in figure </w:t>
      </w:r>
      <w:r w:rsidR="00E26E09">
        <w:rPr>
          <w:rFonts w:ascii="Times New Roman" w:hAnsi="Times New Roman" w:cs="Times New Roman"/>
          <w:sz w:val="24"/>
          <w:szCs w:val="24"/>
        </w:rPr>
        <w:t>2</w:t>
      </w:r>
      <w:r w:rsidR="006A2955">
        <w:rPr>
          <w:rFonts w:ascii="Times New Roman" w:hAnsi="Times New Roman" w:cs="Times New Roman"/>
          <w:sz w:val="24"/>
          <w:szCs w:val="24"/>
        </w:rPr>
        <w:t xml:space="preserve"> below</w:t>
      </w:r>
      <w:r w:rsidR="00C35DE8" w:rsidRPr="00005D20">
        <w:rPr>
          <w:rFonts w:ascii="Times New Roman" w:hAnsi="Times New Roman" w:cs="Times New Roman"/>
          <w:sz w:val="24"/>
          <w:szCs w:val="24"/>
        </w:rPr>
        <w:t xml:space="preserve">. </w:t>
      </w:r>
    </w:p>
    <w:p w:rsidR="006A2955" w:rsidRPr="00005D20" w:rsidRDefault="006A2955" w:rsidP="006A2955">
      <w:pPr>
        <w:spacing w:after="0" w:line="240" w:lineRule="auto"/>
        <w:jc w:val="both"/>
        <w:rPr>
          <w:rFonts w:ascii="Times New Roman" w:hAnsi="Times New Roman" w:cs="Times New Roman"/>
          <w:sz w:val="24"/>
          <w:szCs w:val="24"/>
        </w:rPr>
      </w:pPr>
    </w:p>
    <w:p w:rsidR="00970366" w:rsidRPr="00005D20" w:rsidRDefault="00F31922" w:rsidP="006A29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w:t>
      </w:r>
      <w:r w:rsidR="00E1714E">
        <w:rPr>
          <w:rFonts w:ascii="Times New Roman" w:hAnsi="Times New Roman" w:cs="Times New Roman"/>
          <w:b/>
          <w:sz w:val="24"/>
          <w:szCs w:val="24"/>
        </w:rPr>
        <w:t xml:space="preserve">ure </w:t>
      </w:r>
      <w:r w:rsidR="00E26E09">
        <w:rPr>
          <w:rFonts w:ascii="Times New Roman" w:hAnsi="Times New Roman" w:cs="Times New Roman"/>
          <w:b/>
          <w:sz w:val="24"/>
          <w:szCs w:val="24"/>
        </w:rPr>
        <w:t>2</w:t>
      </w:r>
      <w:r>
        <w:rPr>
          <w:rFonts w:ascii="Times New Roman" w:hAnsi="Times New Roman" w:cs="Times New Roman"/>
          <w:b/>
          <w:sz w:val="24"/>
          <w:szCs w:val="24"/>
        </w:rPr>
        <w:t xml:space="preserve">: </w:t>
      </w:r>
      <w:r w:rsidR="00970366" w:rsidRPr="00005D20">
        <w:rPr>
          <w:rFonts w:ascii="Times New Roman" w:hAnsi="Times New Roman" w:cs="Times New Roman"/>
          <w:b/>
          <w:sz w:val="24"/>
          <w:szCs w:val="24"/>
        </w:rPr>
        <w:t xml:space="preserve">ARCH (1) </w:t>
      </w:r>
      <w:r w:rsidRPr="00005D20">
        <w:rPr>
          <w:rFonts w:ascii="Times New Roman" w:hAnsi="Times New Roman" w:cs="Times New Roman"/>
          <w:b/>
          <w:sz w:val="24"/>
          <w:szCs w:val="24"/>
        </w:rPr>
        <w:t>Conditional Variance</w:t>
      </w:r>
    </w:p>
    <w:p w:rsidR="00970366" w:rsidRPr="00005D20" w:rsidRDefault="00970366" w:rsidP="00C00F7D">
      <w:pPr>
        <w:spacing w:after="0" w:line="240" w:lineRule="auto"/>
        <w:jc w:val="both"/>
        <w:rPr>
          <w:rFonts w:ascii="Times New Roman" w:hAnsi="Times New Roman" w:cs="Times New Roman"/>
          <w:sz w:val="24"/>
          <w:szCs w:val="24"/>
        </w:rPr>
      </w:pPr>
      <w:r w:rsidRPr="00005D20">
        <w:rPr>
          <w:rFonts w:ascii="Times New Roman" w:hAnsi="Times New Roman" w:cs="Times New Roman"/>
          <w:noProof/>
          <w:sz w:val="24"/>
          <w:szCs w:val="24"/>
        </w:rPr>
        <w:drawing>
          <wp:inline distT="0" distB="0" distL="0" distR="0">
            <wp:extent cx="6153150" cy="2762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6153150" cy="2762250"/>
                    </a:xfrm>
                    <a:prstGeom prst="rect">
                      <a:avLst/>
                    </a:prstGeom>
                    <a:noFill/>
                    <a:ln w="9525">
                      <a:noFill/>
                      <a:miter lim="800000"/>
                      <a:headEnd/>
                      <a:tailEnd/>
                    </a:ln>
                  </pic:spPr>
                </pic:pic>
              </a:graphicData>
            </a:graphic>
          </wp:inline>
        </w:drawing>
      </w:r>
    </w:p>
    <w:p w:rsidR="00C00F7D" w:rsidRDefault="00C00F7D" w:rsidP="00C00F7D">
      <w:pPr>
        <w:spacing w:after="0" w:line="240" w:lineRule="auto"/>
        <w:jc w:val="both"/>
        <w:rPr>
          <w:rFonts w:ascii="Times New Roman" w:hAnsi="Times New Roman" w:cs="Times New Roman"/>
          <w:b/>
        </w:rPr>
      </w:pPr>
    </w:p>
    <w:p w:rsidR="00970366" w:rsidRDefault="00F31922" w:rsidP="00C00F7D">
      <w:pPr>
        <w:spacing w:after="0" w:line="240" w:lineRule="auto"/>
        <w:jc w:val="both"/>
        <w:rPr>
          <w:rFonts w:ascii="Times New Roman" w:hAnsi="Times New Roman" w:cs="Times New Roman"/>
          <w:b/>
          <w:sz w:val="24"/>
          <w:szCs w:val="24"/>
        </w:rPr>
      </w:pPr>
      <w:r w:rsidRPr="00C00F7D">
        <w:rPr>
          <w:rFonts w:ascii="Times New Roman" w:hAnsi="Times New Roman" w:cs="Times New Roman"/>
          <w:b/>
        </w:rPr>
        <w:lastRenderedPageBreak/>
        <w:t xml:space="preserve">Table </w:t>
      </w:r>
      <w:r w:rsidR="00CE3137" w:rsidRPr="00C00F7D">
        <w:rPr>
          <w:rFonts w:ascii="Times New Roman" w:hAnsi="Times New Roman" w:cs="Times New Roman"/>
          <w:b/>
        </w:rPr>
        <w:t>4.6</w:t>
      </w:r>
      <w:r w:rsidRPr="00970366">
        <w:rPr>
          <w:rFonts w:ascii="Times New Roman" w:hAnsi="Times New Roman" w:cs="Times New Roman"/>
          <w:b/>
        </w:rPr>
        <w:t xml:space="preserve"> Summary </w:t>
      </w:r>
      <w:r w:rsidR="00E1714E">
        <w:rPr>
          <w:rFonts w:ascii="Times New Roman" w:hAnsi="Times New Roman" w:cs="Times New Roman"/>
          <w:b/>
        </w:rPr>
        <w:t>of EG</w:t>
      </w:r>
      <w:r w:rsidR="00970366" w:rsidRPr="00F31922">
        <w:rPr>
          <w:rFonts w:ascii="Times New Roman" w:hAnsi="Times New Roman" w:cs="Times New Roman"/>
          <w:b/>
          <w:sz w:val="24"/>
          <w:szCs w:val="24"/>
        </w:rPr>
        <w:t xml:space="preserve">ARCH </w:t>
      </w:r>
      <w:r w:rsidR="00E1714E">
        <w:rPr>
          <w:rFonts w:ascii="Times New Roman" w:hAnsi="Times New Roman" w:cs="Times New Roman"/>
          <w:b/>
          <w:sz w:val="24"/>
          <w:szCs w:val="24"/>
        </w:rPr>
        <w:t>Estimated Results:</w:t>
      </w:r>
    </w:p>
    <w:p w:rsidR="00E1714E" w:rsidRPr="00E1714E" w:rsidRDefault="00E1714E" w:rsidP="00E1714E">
      <w:pPr>
        <w:spacing w:after="0" w:line="240" w:lineRule="auto"/>
        <w:jc w:val="both"/>
        <w:rPr>
          <w:rFonts w:ascii="Times New Roman" w:hAnsi="Times New Roman" w:cs="Times New Roman"/>
          <w:sz w:val="12"/>
          <w:szCs w:val="24"/>
        </w:rPr>
      </w:pPr>
    </w:p>
    <w:tbl>
      <w:tblPr>
        <w:tblStyle w:val="TableGrid"/>
        <w:tblW w:w="0" w:type="auto"/>
        <w:tblInd w:w="198" w:type="dxa"/>
        <w:tblLook w:val="04A0"/>
      </w:tblPr>
      <w:tblGrid>
        <w:gridCol w:w="1740"/>
        <w:gridCol w:w="1938"/>
        <w:gridCol w:w="1938"/>
        <w:gridCol w:w="1938"/>
        <w:gridCol w:w="1939"/>
      </w:tblGrid>
      <w:tr w:rsidR="00970366" w:rsidRPr="00005D20" w:rsidTr="00C00F7D">
        <w:trPr>
          <w:trHeight w:val="280"/>
        </w:trPr>
        <w:tc>
          <w:tcPr>
            <w:tcW w:w="1740" w:type="dxa"/>
          </w:tcPr>
          <w:p w:rsidR="00970366" w:rsidRPr="00E1714E" w:rsidRDefault="00970366" w:rsidP="00E1714E">
            <w:pPr>
              <w:jc w:val="center"/>
              <w:rPr>
                <w:rFonts w:asciiTheme="minorHAnsi" w:hAnsiTheme="minorHAnsi"/>
                <w:b/>
                <w:sz w:val="22"/>
                <w:szCs w:val="22"/>
              </w:rPr>
            </w:pPr>
            <w:r w:rsidRPr="00E1714E">
              <w:rPr>
                <w:rFonts w:asciiTheme="minorHAnsi" w:hAnsiTheme="minorHAnsi"/>
                <w:b/>
                <w:sz w:val="22"/>
                <w:szCs w:val="22"/>
              </w:rPr>
              <w:t xml:space="preserve">EXER </w:t>
            </w:r>
            <w:r w:rsidR="00F31922" w:rsidRPr="00E1714E">
              <w:rPr>
                <w:rFonts w:asciiTheme="minorHAnsi" w:hAnsiTheme="minorHAnsi"/>
                <w:b/>
                <w:sz w:val="22"/>
                <w:szCs w:val="22"/>
              </w:rPr>
              <w:t>Variables</w:t>
            </w:r>
          </w:p>
        </w:tc>
        <w:tc>
          <w:tcPr>
            <w:tcW w:w="1938" w:type="dxa"/>
          </w:tcPr>
          <w:p w:rsidR="00970366" w:rsidRPr="00E1714E" w:rsidRDefault="00F31922" w:rsidP="00E1714E">
            <w:pPr>
              <w:jc w:val="center"/>
              <w:rPr>
                <w:rFonts w:asciiTheme="minorHAnsi" w:hAnsiTheme="minorHAnsi"/>
                <w:b/>
                <w:sz w:val="22"/>
                <w:szCs w:val="22"/>
              </w:rPr>
            </w:pPr>
            <w:r w:rsidRPr="00E1714E">
              <w:rPr>
                <w:rFonts w:asciiTheme="minorHAnsi" w:hAnsiTheme="minorHAnsi"/>
                <w:b/>
                <w:sz w:val="22"/>
                <w:szCs w:val="22"/>
              </w:rPr>
              <w:t>Coefficient</w:t>
            </w:r>
          </w:p>
        </w:tc>
        <w:tc>
          <w:tcPr>
            <w:tcW w:w="1938" w:type="dxa"/>
          </w:tcPr>
          <w:p w:rsidR="00970366" w:rsidRPr="00E1714E" w:rsidRDefault="00F31922" w:rsidP="00E1714E">
            <w:pPr>
              <w:jc w:val="center"/>
              <w:rPr>
                <w:rFonts w:asciiTheme="minorHAnsi" w:hAnsiTheme="minorHAnsi"/>
                <w:b/>
                <w:sz w:val="22"/>
                <w:szCs w:val="22"/>
              </w:rPr>
            </w:pPr>
            <w:r w:rsidRPr="00E1714E">
              <w:rPr>
                <w:rFonts w:asciiTheme="minorHAnsi" w:hAnsiTheme="minorHAnsi"/>
                <w:b/>
                <w:sz w:val="22"/>
                <w:szCs w:val="22"/>
              </w:rPr>
              <w:t>Std</w:t>
            </w:r>
            <w:r w:rsidR="00970366" w:rsidRPr="00E1714E">
              <w:rPr>
                <w:rFonts w:asciiTheme="minorHAnsi" w:hAnsiTheme="minorHAnsi"/>
                <w:b/>
                <w:sz w:val="22"/>
                <w:szCs w:val="22"/>
              </w:rPr>
              <w:t>.</w:t>
            </w:r>
            <w:r w:rsidRPr="00E1714E">
              <w:rPr>
                <w:rFonts w:asciiTheme="minorHAnsi" w:hAnsiTheme="minorHAnsi"/>
                <w:b/>
                <w:sz w:val="22"/>
                <w:szCs w:val="22"/>
              </w:rPr>
              <w:t>err</w:t>
            </w:r>
          </w:p>
        </w:tc>
        <w:tc>
          <w:tcPr>
            <w:tcW w:w="1938" w:type="dxa"/>
          </w:tcPr>
          <w:p w:rsidR="00970366" w:rsidRPr="00E1714E" w:rsidRDefault="00F31922" w:rsidP="00E1714E">
            <w:pPr>
              <w:jc w:val="center"/>
              <w:rPr>
                <w:rFonts w:asciiTheme="minorHAnsi" w:hAnsiTheme="minorHAnsi"/>
                <w:b/>
                <w:sz w:val="22"/>
                <w:szCs w:val="22"/>
              </w:rPr>
            </w:pPr>
            <w:r w:rsidRPr="00E1714E">
              <w:rPr>
                <w:rFonts w:asciiTheme="minorHAnsi" w:hAnsiTheme="minorHAnsi"/>
                <w:b/>
                <w:sz w:val="22"/>
                <w:szCs w:val="22"/>
              </w:rPr>
              <w:t>z</w:t>
            </w:r>
          </w:p>
        </w:tc>
        <w:tc>
          <w:tcPr>
            <w:tcW w:w="1939" w:type="dxa"/>
          </w:tcPr>
          <w:p w:rsidR="00970366" w:rsidRPr="00E1714E" w:rsidRDefault="00970366" w:rsidP="00E1714E">
            <w:pPr>
              <w:jc w:val="center"/>
              <w:rPr>
                <w:rFonts w:asciiTheme="minorHAnsi" w:hAnsiTheme="minorHAnsi"/>
                <w:b/>
                <w:sz w:val="22"/>
                <w:szCs w:val="22"/>
              </w:rPr>
            </w:pPr>
            <w:r w:rsidRPr="00E1714E">
              <w:rPr>
                <w:rFonts w:asciiTheme="minorHAnsi" w:hAnsiTheme="minorHAnsi"/>
                <w:b/>
                <w:sz w:val="22"/>
                <w:szCs w:val="22"/>
              </w:rPr>
              <w:t>P-</w:t>
            </w:r>
            <w:r w:rsidR="00F31922" w:rsidRPr="00E1714E">
              <w:rPr>
                <w:rFonts w:asciiTheme="minorHAnsi" w:hAnsiTheme="minorHAnsi"/>
                <w:b/>
                <w:sz w:val="22"/>
                <w:szCs w:val="22"/>
              </w:rPr>
              <w:t>value</w:t>
            </w:r>
          </w:p>
        </w:tc>
      </w:tr>
      <w:tr w:rsidR="00970366" w:rsidRPr="00005D20" w:rsidTr="00C00F7D">
        <w:trPr>
          <w:trHeight w:val="250"/>
        </w:trPr>
        <w:tc>
          <w:tcPr>
            <w:tcW w:w="1740" w:type="dxa"/>
          </w:tcPr>
          <w:p w:rsidR="00970366" w:rsidRPr="00E1714E" w:rsidRDefault="00F31922" w:rsidP="00E1714E">
            <w:pPr>
              <w:jc w:val="center"/>
              <w:rPr>
                <w:rFonts w:asciiTheme="minorHAnsi" w:hAnsiTheme="minorHAnsi"/>
                <w:sz w:val="22"/>
                <w:szCs w:val="22"/>
              </w:rPr>
            </w:pPr>
            <w:r w:rsidRPr="00E1714E">
              <w:rPr>
                <w:rFonts w:asciiTheme="minorHAnsi" w:hAnsiTheme="minorHAnsi"/>
                <w:sz w:val="22"/>
                <w:szCs w:val="22"/>
              </w:rPr>
              <w:t>POIL</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 xml:space="preserve">1.962503    </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.2054933</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9.55</w:t>
            </w:r>
          </w:p>
        </w:tc>
        <w:tc>
          <w:tcPr>
            <w:tcW w:w="1939"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0.000</w:t>
            </w:r>
          </w:p>
        </w:tc>
      </w:tr>
      <w:tr w:rsidR="00F31922" w:rsidRPr="00005D20" w:rsidTr="00C00F7D">
        <w:trPr>
          <w:trHeight w:val="285"/>
        </w:trPr>
        <w:tc>
          <w:tcPr>
            <w:tcW w:w="1740" w:type="dxa"/>
          </w:tcPr>
          <w:p w:rsidR="00F31922" w:rsidRPr="00E1714E" w:rsidRDefault="00F31922" w:rsidP="00E1714E">
            <w:pPr>
              <w:jc w:val="center"/>
              <w:rPr>
                <w:rFonts w:asciiTheme="minorHAnsi" w:hAnsiTheme="minorHAnsi"/>
                <w:sz w:val="22"/>
                <w:szCs w:val="22"/>
              </w:rPr>
            </w:pPr>
            <w:r w:rsidRPr="00E1714E">
              <w:rPr>
                <w:rFonts w:asciiTheme="minorHAnsi" w:hAnsiTheme="minorHAnsi"/>
                <w:sz w:val="22"/>
                <w:szCs w:val="22"/>
              </w:rPr>
              <w:t>C</w:t>
            </w:r>
          </w:p>
        </w:tc>
        <w:tc>
          <w:tcPr>
            <w:tcW w:w="1938" w:type="dxa"/>
          </w:tcPr>
          <w:p w:rsidR="00F31922" w:rsidRPr="00E1714E" w:rsidRDefault="00F31922" w:rsidP="00E1714E">
            <w:pPr>
              <w:jc w:val="center"/>
              <w:rPr>
                <w:rFonts w:asciiTheme="minorHAnsi" w:hAnsiTheme="minorHAnsi"/>
                <w:sz w:val="22"/>
                <w:szCs w:val="22"/>
              </w:rPr>
            </w:pPr>
            <w:r w:rsidRPr="00E1714E">
              <w:rPr>
                <w:rFonts w:asciiTheme="minorHAnsi" w:hAnsiTheme="minorHAnsi"/>
                <w:sz w:val="22"/>
                <w:szCs w:val="22"/>
              </w:rPr>
              <w:t>15.76312</w:t>
            </w:r>
          </w:p>
        </w:tc>
        <w:tc>
          <w:tcPr>
            <w:tcW w:w="1938" w:type="dxa"/>
          </w:tcPr>
          <w:p w:rsidR="00F31922" w:rsidRPr="00E1714E" w:rsidRDefault="00F31922" w:rsidP="00E1714E">
            <w:pPr>
              <w:jc w:val="center"/>
              <w:rPr>
                <w:rFonts w:asciiTheme="minorHAnsi" w:hAnsiTheme="minorHAnsi"/>
                <w:sz w:val="22"/>
                <w:szCs w:val="22"/>
              </w:rPr>
            </w:pPr>
            <w:r w:rsidRPr="00E1714E">
              <w:rPr>
                <w:rFonts w:asciiTheme="minorHAnsi" w:hAnsiTheme="minorHAnsi"/>
                <w:sz w:val="22"/>
                <w:szCs w:val="22"/>
              </w:rPr>
              <w:t>10.89247</w:t>
            </w:r>
          </w:p>
        </w:tc>
        <w:tc>
          <w:tcPr>
            <w:tcW w:w="1938" w:type="dxa"/>
          </w:tcPr>
          <w:p w:rsidR="00F31922" w:rsidRPr="00E1714E" w:rsidRDefault="00F31922" w:rsidP="00E1714E">
            <w:pPr>
              <w:jc w:val="center"/>
              <w:rPr>
                <w:rFonts w:asciiTheme="minorHAnsi" w:hAnsiTheme="minorHAnsi"/>
                <w:sz w:val="22"/>
                <w:szCs w:val="22"/>
              </w:rPr>
            </w:pPr>
            <w:r w:rsidRPr="00E1714E">
              <w:rPr>
                <w:rFonts w:asciiTheme="minorHAnsi" w:hAnsiTheme="minorHAnsi"/>
                <w:sz w:val="22"/>
                <w:szCs w:val="22"/>
              </w:rPr>
              <w:t>-1.45</w:t>
            </w:r>
          </w:p>
        </w:tc>
        <w:tc>
          <w:tcPr>
            <w:tcW w:w="1939" w:type="dxa"/>
          </w:tcPr>
          <w:p w:rsidR="00F31922" w:rsidRPr="00E1714E" w:rsidRDefault="00F31922" w:rsidP="00E1714E">
            <w:pPr>
              <w:jc w:val="center"/>
              <w:rPr>
                <w:rFonts w:asciiTheme="minorHAnsi" w:hAnsiTheme="minorHAnsi"/>
                <w:sz w:val="22"/>
                <w:szCs w:val="22"/>
              </w:rPr>
            </w:pPr>
            <w:r w:rsidRPr="00E1714E">
              <w:rPr>
                <w:rFonts w:asciiTheme="minorHAnsi" w:hAnsiTheme="minorHAnsi"/>
                <w:sz w:val="22"/>
                <w:szCs w:val="22"/>
              </w:rPr>
              <w:t>0.148</w:t>
            </w:r>
          </w:p>
        </w:tc>
      </w:tr>
      <w:tr w:rsidR="00970366" w:rsidRPr="00005D20" w:rsidTr="00C00F7D">
        <w:trPr>
          <w:trHeight w:val="263"/>
        </w:trPr>
        <w:tc>
          <w:tcPr>
            <w:tcW w:w="1740"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EGARCH</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-.1683983</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1.0821</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-0.16</w:t>
            </w:r>
          </w:p>
        </w:tc>
        <w:tc>
          <w:tcPr>
            <w:tcW w:w="1939"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0.876</w:t>
            </w:r>
          </w:p>
        </w:tc>
      </w:tr>
      <w:tr w:rsidR="00970366" w:rsidRPr="00005D20" w:rsidTr="00C00F7D">
        <w:trPr>
          <w:trHeight w:val="263"/>
        </w:trPr>
        <w:tc>
          <w:tcPr>
            <w:tcW w:w="1740"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ARCH</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.0005386</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.0003057</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1.76</w:t>
            </w:r>
          </w:p>
        </w:tc>
        <w:tc>
          <w:tcPr>
            <w:tcW w:w="1939"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0.098</w:t>
            </w:r>
          </w:p>
        </w:tc>
      </w:tr>
      <w:tr w:rsidR="00970366" w:rsidRPr="00005D20" w:rsidTr="00C00F7D">
        <w:trPr>
          <w:trHeight w:val="280"/>
        </w:trPr>
        <w:tc>
          <w:tcPr>
            <w:tcW w:w="1740"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GARCH</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-.0000784</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.0004458</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-0.18</w:t>
            </w:r>
          </w:p>
        </w:tc>
        <w:tc>
          <w:tcPr>
            <w:tcW w:w="1939"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0.860</w:t>
            </w:r>
          </w:p>
        </w:tc>
      </w:tr>
      <w:tr w:rsidR="00970366" w:rsidRPr="00005D20" w:rsidTr="00C00F7D">
        <w:trPr>
          <w:trHeight w:val="263"/>
        </w:trPr>
        <w:tc>
          <w:tcPr>
            <w:tcW w:w="1740"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C</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7.363254</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6.62657</w:t>
            </w:r>
          </w:p>
        </w:tc>
        <w:tc>
          <w:tcPr>
            <w:tcW w:w="1938"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1.11</w:t>
            </w:r>
          </w:p>
        </w:tc>
        <w:tc>
          <w:tcPr>
            <w:tcW w:w="1939" w:type="dxa"/>
          </w:tcPr>
          <w:p w:rsidR="00970366" w:rsidRPr="00E1714E" w:rsidRDefault="00970366" w:rsidP="00E1714E">
            <w:pPr>
              <w:jc w:val="center"/>
              <w:rPr>
                <w:rFonts w:asciiTheme="minorHAnsi" w:hAnsiTheme="minorHAnsi"/>
                <w:sz w:val="22"/>
                <w:szCs w:val="22"/>
              </w:rPr>
            </w:pPr>
            <w:r w:rsidRPr="00E1714E">
              <w:rPr>
                <w:rFonts w:asciiTheme="minorHAnsi" w:hAnsiTheme="minorHAnsi"/>
                <w:sz w:val="22"/>
                <w:szCs w:val="22"/>
              </w:rPr>
              <w:t>0.266</w:t>
            </w:r>
          </w:p>
        </w:tc>
      </w:tr>
    </w:tbl>
    <w:p w:rsidR="00F31922" w:rsidRDefault="00F31922" w:rsidP="00E1714E">
      <w:pPr>
        <w:spacing w:after="0" w:line="240" w:lineRule="auto"/>
        <w:jc w:val="both"/>
        <w:rPr>
          <w:rFonts w:ascii="Times New Roman" w:hAnsi="Times New Roman" w:cs="Times New Roman"/>
          <w:sz w:val="24"/>
          <w:szCs w:val="24"/>
        </w:rPr>
      </w:pPr>
    </w:p>
    <w:p w:rsidR="00970366" w:rsidRPr="00005D20" w:rsidRDefault="00970366" w:rsidP="00E1714E">
      <w:pPr>
        <w:spacing w:after="0" w:line="240" w:lineRule="auto"/>
        <w:jc w:val="both"/>
        <w:rPr>
          <w:rFonts w:ascii="Times New Roman" w:hAnsi="Times New Roman" w:cs="Times New Roman"/>
          <w:sz w:val="24"/>
          <w:szCs w:val="24"/>
        </w:rPr>
      </w:pPr>
      <w:r w:rsidRPr="00005D20">
        <w:rPr>
          <w:rFonts w:ascii="Times New Roman" w:hAnsi="Times New Roman" w:cs="Times New Roman"/>
          <w:sz w:val="24"/>
          <w:szCs w:val="24"/>
        </w:rPr>
        <w:t xml:space="preserve">From the </w:t>
      </w:r>
      <w:r w:rsidR="00E1714E">
        <w:rPr>
          <w:rFonts w:ascii="Times New Roman" w:hAnsi="Times New Roman" w:cs="Times New Roman"/>
          <w:sz w:val="24"/>
          <w:szCs w:val="24"/>
        </w:rPr>
        <w:t xml:space="preserve">above </w:t>
      </w:r>
      <w:r w:rsidRPr="00005D20">
        <w:rPr>
          <w:rFonts w:ascii="Times New Roman" w:hAnsi="Times New Roman" w:cs="Times New Roman"/>
          <w:sz w:val="24"/>
          <w:szCs w:val="24"/>
        </w:rPr>
        <w:t>result</w:t>
      </w:r>
      <w:r w:rsidR="00E1714E">
        <w:rPr>
          <w:rFonts w:ascii="Times New Roman" w:hAnsi="Times New Roman" w:cs="Times New Roman"/>
          <w:sz w:val="24"/>
          <w:szCs w:val="24"/>
        </w:rPr>
        <w:t>s</w:t>
      </w:r>
      <w:r w:rsidRPr="00005D20">
        <w:rPr>
          <w:rFonts w:ascii="Times New Roman" w:hAnsi="Times New Roman" w:cs="Times New Roman"/>
          <w:sz w:val="24"/>
          <w:szCs w:val="24"/>
        </w:rPr>
        <w:t>, exchange rate exhibit a volatile shock of 16% in its behavior while a 10% increase in oil price leads to a 19% increase in exchange rate from 1970 to 201</w:t>
      </w:r>
      <w:r w:rsidR="00F31922">
        <w:rPr>
          <w:rFonts w:ascii="Times New Roman" w:hAnsi="Times New Roman" w:cs="Times New Roman"/>
          <w:sz w:val="24"/>
          <w:szCs w:val="24"/>
        </w:rPr>
        <w:t>3</w:t>
      </w:r>
      <w:r w:rsidRPr="00005D20">
        <w:rPr>
          <w:rFonts w:ascii="Times New Roman" w:hAnsi="Times New Roman" w:cs="Times New Roman"/>
          <w:sz w:val="24"/>
          <w:szCs w:val="24"/>
        </w:rPr>
        <w:t xml:space="preserve"> in Nigeria</w:t>
      </w:r>
      <w:r w:rsidRPr="00506A1B">
        <w:rPr>
          <w:rFonts w:ascii="Times New Roman" w:hAnsi="Times New Roman" w:cs="Times New Roman"/>
          <w:sz w:val="24"/>
          <w:szCs w:val="24"/>
        </w:rPr>
        <w:t xml:space="preserve">. </w:t>
      </w:r>
      <w:r w:rsidR="00A2350F" w:rsidRPr="00506A1B">
        <w:rPr>
          <w:rFonts w:ascii="Times New Roman" w:hAnsi="Times New Roman" w:cs="Times New Roman"/>
          <w:sz w:val="24"/>
          <w:szCs w:val="24"/>
        </w:rPr>
        <w:t>This finding contradict studies by Serven and Solimano (1993) and Bagella (2006) which stipulated that unstable real exchange rate arises from oil prices shocks. The outcome of our findings s</w:t>
      </w:r>
      <w:r w:rsidRPr="00506A1B">
        <w:rPr>
          <w:rFonts w:ascii="Times New Roman" w:hAnsi="Times New Roman" w:cs="Times New Roman"/>
          <w:sz w:val="24"/>
          <w:szCs w:val="24"/>
        </w:rPr>
        <w:t>how</w:t>
      </w:r>
      <w:r w:rsidR="00A2350F" w:rsidRPr="00506A1B">
        <w:rPr>
          <w:rFonts w:ascii="Times New Roman" w:hAnsi="Times New Roman" w:cs="Times New Roman"/>
          <w:sz w:val="24"/>
          <w:szCs w:val="24"/>
        </w:rPr>
        <w:t>s</w:t>
      </w:r>
      <w:r w:rsidRPr="00005D20">
        <w:rPr>
          <w:rFonts w:ascii="Times New Roman" w:hAnsi="Times New Roman" w:cs="Times New Roman"/>
          <w:sz w:val="24"/>
          <w:szCs w:val="24"/>
        </w:rPr>
        <w:t xml:space="preserve"> that the shock effect is relatively not significant in explaining reasons for volatility in exchange rate since the probability value of the “E-GARCH term” is  0.876, hence, only the E-GARCH amidst the whole </w:t>
      </w:r>
      <w:r w:rsidR="000B552B" w:rsidRPr="00005D20">
        <w:rPr>
          <w:rFonts w:ascii="Times New Roman" w:hAnsi="Times New Roman" w:cs="Times New Roman"/>
          <w:sz w:val="24"/>
          <w:szCs w:val="24"/>
        </w:rPr>
        <w:t xml:space="preserve">ARCH </w:t>
      </w:r>
      <w:r w:rsidRPr="00005D20">
        <w:rPr>
          <w:rFonts w:ascii="Times New Roman" w:hAnsi="Times New Roman" w:cs="Times New Roman"/>
          <w:sz w:val="24"/>
          <w:szCs w:val="24"/>
        </w:rPr>
        <w:t>and GARCH family was able to explain shock in exchange rate.</w:t>
      </w:r>
    </w:p>
    <w:p w:rsidR="00635C09" w:rsidRDefault="00635C09" w:rsidP="007827CA">
      <w:pPr>
        <w:spacing w:after="0" w:line="240" w:lineRule="auto"/>
        <w:rPr>
          <w:rFonts w:ascii="Times New Roman" w:hAnsi="Times New Roman" w:cs="Times New Roman"/>
          <w:sz w:val="24"/>
          <w:szCs w:val="24"/>
        </w:rPr>
      </w:pPr>
    </w:p>
    <w:p w:rsidR="00970366" w:rsidRPr="00635C09" w:rsidRDefault="00635C09" w:rsidP="00970366">
      <w:pPr>
        <w:spacing w:line="240" w:lineRule="auto"/>
        <w:jc w:val="both"/>
        <w:rPr>
          <w:rFonts w:ascii="Times New Roman" w:hAnsi="Times New Roman" w:cs="Times New Roman"/>
          <w:b/>
          <w:sz w:val="24"/>
          <w:szCs w:val="24"/>
        </w:rPr>
      </w:pPr>
      <w:r>
        <w:rPr>
          <w:rFonts w:ascii="Times New Roman" w:hAnsi="Times New Roman" w:cs="Times New Roman"/>
          <w:b/>
          <w:sz w:val="24"/>
          <w:szCs w:val="24"/>
        </w:rPr>
        <w:t>Fig</w:t>
      </w:r>
      <w:r w:rsidR="000B552B">
        <w:rPr>
          <w:rFonts w:ascii="Times New Roman" w:hAnsi="Times New Roman" w:cs="Times New Roman"/>
          <w:b/>
          <w:sz w:val="24"/>
          <w:szCs w:val="24"/>
        </w:rPr>
        <w:t xml:space="preserve">ure </w:t>
      </w:r>
      <w:r w:rsidR="00E26E09">
        <w:rPr>
          <w:rFonts w:ascii="Times New Roman" w:hAnsi="Times New Roman" w:cs="Times New Roman"/>
          <w:b/>
          <w:sz w:val="24"/>
          <w:szCs w:val="24"/>
        </w:rPr>
        <w:t>3</w:t>
      </w:r>
      <w:r>
        <w:rPr>
          <w:rFonts w:ascii="Times New Roman" w:hAnsi="Times New Roman" w:cs="Times New Roman"/>
          <w:b/>
          <w:sz w:val="24"/>
          <w:szCs w:val="24"/>
        </w:rPr>
        <w:t xml:space="preserve">: </w:t>
      </w:r>
      <w:r w:rsidRPr="00005D20">
        <w:rPr>
          <w:rFonts w:ascii="Times New Roman" w:hAnsi="Times New Roman" w:cs="Times New Roman"/>
          <w:b/>
          <w:sz w:val="24"/>
          <w:szCs w:val="24"/>
        </w:rPr>
        <w:t>ARCH Conditional Variance</w:t>
      </w:r>
      <w:r>
        <w:rPr>
          <w:rFonts w:ascii="Times New Roman" w:hAnsi="Times New Roman" w:cs="Times New Roman"/>
          <w:b/>
          <w:sz w:val="24"/>
          <w:szCs w:val="24"/>
        </w:rPr>
        <w:t xml:space="preserve"> Graph of Oil Price</w:t>
      </w:r>
    </w:p>
    <w:p w:rsidR="00970366" w:rsidRPr="00005D20" w:rsidRDefault="00970366" w:rsidP="00970366">
      <w:pPr>
        <w:spacing w:line="240" w:lineRule="auto"/>
        <w:jc w:val="both"/>
        <w:rPr>
          <w:rFonts w:ascii="Times New Roman" w:hAnsi="Times New Roman" w:cs="Times New Roman"/>
          <w:sz w:val="24"/>
          <w:szCs w:val="24"/>
        </w:rPr>
      </w:pPr>
      <w:r w:rsidRPr="00005D20">
        <w:rPr>
          <w:rFonts w:ascii="Times New Roman" w:hAnsi="Times New Roman" w:cs="Times New Roman"/>
          <w:noProof/>
          <w:sz w:val="24"/>
          <w:szCs w:val="24"/>
        </w:rPr>
        <w:drawing>
          <wp:inline distT="0" distB="0" distL="0" distR="0">
            <wp:extent cx="6172200" cy="40100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2200" cy="4010025"/>
                    </a:xfrm>
                    <a:prstGeom prst="rect">
                      <a:avLst/>
                    </a:prstGeom>
                    <a:noFill/>
                    <a:ln>
                      <a:noFill/>
                    </a:ln>
                  </pic:spPr>
                </pic:pic>
              </a:graphicData>
            </a:graphic>
          </wp:inline>
        </w:drawing>
      </w:r>
    </w:p>
    <w:p w:rsidR="00970366" w:rsidRDefault="000B552B" w:rsidP="00C00F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w:t>
      </w:r>
      <w:r w:rsidRPr="00005D20">
        <w:rPr>
          <w:rFonts w:ascii="Times New Roman" w:hAnsi="Times New Roman" w:cs="Times New Roman"/>
          <w:sz w:val="24"/>
          <w:szCs w:val="24"/>
        </w:rPr>
        <w:t xml:space="preserve">he </w:t>
      </w:r>
      <w:r>
        <w:rPr>
          <w:rFonts w:ascii="Times New Roman" w:hAnsi="Times New Roman" w:cs="Times New Roman"/>
          <w:sz w:val="24"/>
          <w:szCs w:val="24"/>
        </w:rPr>
        <w:t>f</w:t>
      </w:r>
      <w:r w:rsidR="00F31922">
        <w:rPr>
          <w:rFonts w:ascii="Times New Roman" w:hAnsi="Times New Roman" w:cs="Times New Roman"/>
          <w:sz w:val="24"/>
          <w:szCs w:val="24"/>
        </w:rPr>
        <w:t>igure</w:t>
      </w:r>
      <w:r w:rsidR="00970366" w:rsidRPr="00005D20">
        <w:rPr>
          <w:rFonts w:ascii="Times New Roman" w:hAnsi="Times New Roman" w:cs="Times New Roman"/>
          <w:sz w:val="24"/>
          <w:szCs w:val="24"/>
        </w:rPr>
        <w:t xml:space="preserve"> above, we see that the conditional variance is stochastic in its behavior where one big volatility from year 1995 leads to another big volatility which eventually peaks at the 2000</w:t>
      </w:r>
      <w:r w:rsidR="00F31922">
        <w:rPr>
          <w:rFonts w:ascii="Times New Roman" w:hAnsi="Times New Roman" w:cs="Times New Roman"/>
          <w:sz w:val="24"/>
          <w:szCs w:val="24"/>
        </w:rPr>
        <w:t>’</w:t>
      </w:r>
      <w:r w:rsidR="00970366" w:rsidRPr="00005D20">
        <w:rPr>
          <w:rFonts w:ascii="Times New Roman" w:hAnsi="Times New Roman" w:cs="Times New Roman"/>
          <w:sz w:val="24"/>
          <w:szCs w:val="24"/>
        </w:rPr>
        <w:t>s which represents periods of improvement in oil prices and a rise in Nigeria’s exchange rate.</w:t>
      </w:r>
    </w:p>
    <w:p w:rsidR="00C00F7D" w:rsidRDefault="00C00F7D" w:rsidP="00C00F7D">
      <w:pPr>
        <w:spacing w:after="0" w:line="240" w:lineRule="auto"/>
        <w:jc w:val="both"/>
        <w:rPr>
          <w:rFonts w:ascii="Times New Roman" w:hAnsi="Times New Roman" w:cs="Times New Roman"/>
          <w:b/>
          <w:sz w:val="24"/>
          <w:szCs w:val="24"/>
        </w:rPr>
      </w:pPr>
    </w:p>
    <w:p w:rsidR="00970366" w:rsidRPr="00005D20" w:rsidRDefault="000B552B" w:rsidP="00C00F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Figure </w:t>
      </w:r>
      <w:r w:rsidR="00E26E09">
        <w:rPr>
          <w:rFonts w:ascii="Times New Roman" w:hAnsi="Times New Roman" w:cs="Times New Roman"/>
          <w:b/>
          <w:sz w:val="24"/>
          <w:szCs w:val="24"/>
        </w:rPr>
        <w:t>4</w:t>
      </w:r>
      <w:r w:rsidR="00635C09">
        <w:rPr>
          <w:rFonts w:ascii="Times New Roman" w:hAnsi="Times New Roman" w:cs="Times New Roman"/>
          <w:b/>
          <w:sz w:val="24"/>
          <w:szCs w:val="24"/>
        </w:rPr>
        <w:t xml:space="preserve">: </w:t>
      </w:r>
      <w:r>
        <w:rPr>
          <w:rFonts w:ascii="Times New Roman" w:hAnsi="Times New Roman" w:cs="Times New Roman"/>
          <w:b/>
          <w:sz w:val="24"/>
          <w:szCs w:val="24"/>
        </w:rPr>
        <w:t>P</w:t>
      </w:r>
      <w:r w:rsidR="00970366" w:rsidRPr="00005D20">
        <w:rPr>
          <w:rFonts w:ascii="Times New Roman" w:hAnsi="Times New Roman" w:cs="Times New Roman"/>
          <w:b/>
          <w:sz w:val="24"/>
          <w:szCs w:val="24"/>
        </w:rPr>
        <w:t>redictions of GARCH and EGARCH variance</w:t>
      </w:r>
    </w:p>
    <w:p w:rsidR="00970366" w:rsidRPr="00005D20" w:rsidRDefault="00970366" w:rsidP="00970366">
      <w:pPr>
        <w:spacing w:line="240" w:lineRule="auto"/>
        <w:jc w:val="both"/>
        <w:rPr>
          <w:rFonts w:ascii="Times New Roman" w:hAnsi="Times New Roman" w:cs="Times New Roman"/>
          <w:sz w:val="24"/>
          <w:szCs w:val="24"/>
        </w:rPr>
      </w:pPr>
      <w:r w:rsidRPr="00005D20">
        <w:rPr>
          <w:rFonts w:ascii="Times New Roman" w:hAnsi="Times New Roman" w:cs="Times New Roman"/>
          <w:noProof/>
          <w:sz w:val="24"/>
          <w:szCs w:val="24"/>
        </w:rPr>
        <w:drawing>
          <wp:inline distT="0" distB="0" distL="0" distR="0">
            <wp:extent cx="6172199" cy="48768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6191629" cy="4892152"/>
                    </a:xfrm>
                    <a:prstGeom prst="rect">
                      <a:avLst/>
                    </a:prstGeom>
                    <a:noFill/>
                    <a:ln w="9525">
                      <a:noFill/>
                      <a:miter lim="800000"/>
                      <a:headEnd/>
                      <a:tailEnd/>
                    </a:ln>
                  </pic:spPr>
                </pic:pic>
              </a:graphicData>
            </a:graphic>
          </wp:inline>
        </w:drawing>
      </w:r>
    </w:p>
    <w:p w:rsidR="000B552B" w:rsidRDefault="00635C09" w:rsidP="000B55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E26E09">
        <w:rPr>
          <w:rFonts w:ascii="Times New Roman" w:hAnsi="Times New Roman" w:cs="Times New Roman"/>
          <w:sz w:val="24"/>
          <w:szCs w:val="24"/>
        </w:rPr>
        <w:t>4</w:t>
      </w:r>
      <w:r>
        <w:rPr>
          <w:rFonts w:ascii="Times New Roman" w:hAnsi="Times New Roman" w:cs="Times New Roman"/>
          <w:sz w:val="24"/>
          <w:szCs w:val="24"/>
        </w:rPr>
        <w:t xml:space="preserve"> </w:t>
      </w:r>
      <w:r w:rsidR="00970366" w:rsidRPr="00005D20">
        <w:rPr>
          <w:rFonts w:ascii="Times New Roman" w:hAnsi="Times New Roman" w:cs="Times New Roman"/>
          <w:sz w:val="24"/>
          <w:szCs w:val="24"/>
        </w:rPr>
        <w:t>indicates that both the GARCH and EGARCH support the continuous rise in prices of the series over the period of 1970 to 201</w:t>
      </w:r>
      <w:r>
        <w:rPr>
          <w:rFonts w:ascii="Times New Roman" w:hAnsi="Times New Roman" w:cs="Times New Roman"/>
          <w:sz w:val="24"/>
          <w:szCs w:val="24"/>
        </w:rPr>
        <w:t>3</w:t>
      </w:r>
      <w:r w:rsidR="00970366" w:rsidRPr="00005D20">
        <w:rPr>
          <w:rFonts w:ascii="Times New Roman" w:hAnsi="Times New Roman" w:cs="Times New Roman"/>
          <w:sz w:val="24"/>
          <w:szCs w:val="24"/>
        </w:rPr>
        <w:t xml:space="preserve"> in Nigeria. Hence, high fluctuation began </w:t>
      </w:r>
      <w:bookmarkStart w:id="0" w:name="_GoBack"/>
      <w:bookmarkEnd w:id="0"/>
      <w:r w:rsidR="00970366" w:rsidRPr="00005D20">
        <w:rPr>
          <w:rFonts w:ascii="Times New Roman" w:hAnsi="Times New Roman" w:cs="Times New Roman"/>
          <w:sz w:val="24"/>
          <w:szCs w:val="24"/>
        </w:rPr>
        <w:t>in the 1990s in Nigeria.</w:t>
      </w:r>
    </w:p>
    <w:p w:rsidR="000B552B" w:rsidRDefault="000B552B" w:rsidP="000B552B">
      <w:pPr>
        <w:spacing w:after="0" w:line="240" w:lineRule="auto"/>
        <w:jc w:val="both"/>
        <w:rPr>
          <w:rFonts w:ascii="Times New Roman" w:hAnsi="Times New Roman" w:cs="Times New Roman"/>
          <w:sz w:val="24"/>
          <w:szCs w:val="24"/>
        </w:rPr>
      </w:pPr>
    </w:p>
    <w:p w:rsidR="00970366" w:rsidRDefault="00635C09" w:rsidP="000B552B">
      <w:pPr>
        <w:spacing w:after="0" w:line="240" w:lineRule="auto"/>
        <w:jc w:val="both"/>
        <w:rPr>
          <w:rFonts w:ascii="Times New Roman" w:hAnsi="Times New Roman" w:cs="Times New Roman"/>
          <w:b/>
          <w:sz w:val="24"/>
          <w:szCs w:val="24"/>
        </w:rPr>
      </w:pPr>
      <w:r w:rsidRPr="00C00F7D">
        <w:rPr>
          <w:rFonts w:ascii="Times New Roman" w:hAnsi="Times New Roman" w:cs="Times New Roman"/>
          <w:b/>
        </w:rPr>
        <w:t xml:space="preserve">Table </w:t>
      </w:r>
      <w:r w:rsidR="00CE3137" w:rsidRPr="00C00F7D">
        <w:rPr>
          <w:rFonts w:ascii="Times New Roman" w:hAnsi="Times New Roman" w:cs="Times New Roman"/>
          <w:b/>
        </w:rPr>
        <w:t>4.7</w:t>
      </w:r>
      <w:r w:rsidR="000B552B" w:rsidRPr="00C00F7D">
        <w:rPr>
          <w:rFonts w:ascii="Times New Roman" w:hAnsi="Times New Roman" w:cs="Times New Roman"/>
          <w:b/>
        </w:rPr>
        <w:t>:</w:t>
      </w:r>
      <w:r w:rsidRPr="00970366">
        <w:rPr>
          <w:rFonts w:ascii="Times New Roman" w:hAnsi="Times New Roman" w:cs="Times New Roman"/>
          <w:b/>
        </w:rPr>
        <w:t xml:space="preserve"> </w:t>
      </w:r>
      <w:r w:rsidR="00970366" w:rsidRPr="00005D20">
        <w:rPr>
          <w:rFonts w:ascii="Times New Roman" w:hAnsi="Times New Roman" w:cs="Times New Roman"/>
          <w:b/>
          <w:sz w:val="24"/>
          <w:szCs w:val="24"/>
        </w:rPr>
        <w:t>Granger-Causality Test</w:t>
      </w:r>
      <w:r w:rsidR="000B552B">
        <w:rPr>
          <w:rFonts w:ascii="Times New Roman" w:hAnsi="Times New Roman" w:cs="Times New Roman"/>
          <w:b/>
          <w:sz w:val="24"/>
          <w:szCs w:val="24"/>
        </w:rPr>
        <w:t xml:space="preserve"> Results </w:t>
      </w:r>
    </w:p>
    <w:p w:rsidR="000B552B" w:rsidRPr="000B552B" w:rsidRDefault="000B552B" w:rsidP="000B552B">
      <w:pPr>
        <w:spacing w:after="0" w:line="240" w:lineRule="auto"/>
        <w:jc w:val="both"/>
        <w:rPr>
          <w:rFonts w:ascii="Times New Roman" w:hAnsi="Times New Roman" w:cs="Times New Roman"/>
          <w:sz w:val="10"/>
          <w:szCs w:val="24"/>
        </w:rPr>
      </w:pPr>
    </w:p>
    <w:tbl>
      <w:tblPr>
        <w:tblStyle w:val="TableGrid"/>
        <w:tblW w:w="0" w:type="auto"/>
        <w:tblInd w:w="108" w:type="dxa"/>
        <w:tblLook w:val="04A0"/>
      </w:tblPr>
      <w:tblGrid>
        <w:gridCol w:w="3330"/>
        <w:gridCol w:w="2610"/>
        <w:gridCol w:w="2070"/>
        <w:gridCol w:w="1710"/>
      </w:tblGrid>
      <w:tr w:rsidR="00970366" w:rsidRPr="00005D20" w:rsidTr="000B552B">
        <w:tc>
          <w:tcPr>
            <w:tcW w:w="3330" w:type="dxa"/>
          </w:tcPr>
          <w:p w:rsidR="00970366" w:rsidRPr="000B552B" w:rsidRDefault="00635C09" w:rsidP="000B552B">
            <w:pPr>
              <w:jc w:val="center"/>
              <w:rPr>
                <w:rFonts w:asciiTheme="minorHAnsi" w:hAnsiTheme="minorHAnsi"/>
                <w:b/>
                <w:sz w:val="22"/>
                <w:szCs w:val="22"/>
              </w:rPr>
            </w:pPr>
            <w:r w:rsidRPr="000B552B">
              <w:rPr>
                <w:rFonts w:asciiTheme="minorHAnsi" w:hAnsiTheme="minorHAnsi"/>
                <w:b/>
                <w:sz w:val="22"/>
                <w:szCs w:val="22"/>
              </w:rPr>
              <w:t>Variables</w:t>
            </w:r>
          </w:p>
        </w:tc>
        <w:tc>
          <w:tcPr>
            <w:tcW w:w="2610" w:type="dxa"/>
          </w:tcPr>
          <w:p w:rsidR="00970366" w:rsidRPr="000B552B" w:rsidRDefault="00970366" w:rsidP="000B552B">
            <w:pPr>
              <w:jc w:val="center"/>
              <w:rPr>
                <w:rFonts w:asciiTheme="minorHAnsi" w:hAnsiTheme="minorHAnsi"/>
                <w:b/>
                <w:sz w:val="22"/>
                <w:szCs w:val="22"/>
              </w:rPr>
            </w:pPr>
            <w:r w:rsidRPr="000B552B">
              <w:rPr>
                <w:rFonts w:asciiTheme="minorHAnsi" w:hAnsiTheme="minorHAnsi"/>
                <w:b/>
                <w:sz w:val="22"/>
                <w:szCs w:val="22"/>
              </w:rPr>
              <w:t>F-stat</w:t>
            </w:r>
          </w:p>
        </w:tc>
        <w:tc>
          <w:tcPr>
            <w:tcW w:w="2070" w:type="dxa"/>
          </w:tcPr>
          <w:p w:rsidR="00970366" w:rsidRPr="000B552B" w:rsidRDefault="00970366" w:rsidP="000B552B">
            <w:pPr>
              <w:jc w:val="center"/>
              <w:rPr>
                <w:rFonts w:asciiTheme="minorHAnsi" w:hAnsiTheme="minorHAnsi"/>
                <w:b/>
                <w:sz w:val="22"/>
                <w:szCs w:val="22"/>
              </w:rPr>
            </w:pPr>
            <w:r w:rsidRPr="000B552B">
              <w:rPr>
                <w:rFonts w:asciiTheme="minorHAnsi" w:hAnsiTheme="minorHAnsi"/>
                <w:b/>
                <w:sz w:val="22"/>
                <w:szCs w:val="22"/>
              </w:rPr>
              <w:t>Lag</w:t>
            </w:r>
          </w:p>
        </w:tc>
        <w:tc>
          <w:tcPr>
            <w:tcW w:w="1710" w:type="dxa"/>
          </w:tcPr>
          <w:p w:rsidR="00970366" w:rsidRPr="000B552B" w:rsidRDefault="00970366" w:rsidP="000B552B">
            <w:pPr>
              <w:jc w:val="center"/>
              <w:rPr>
                <w:rFonts w:asciiTheme="minorHAnsi" w:hAnsiTheme="minorHAnsi"/>
                <w:b/>
                <w:sz w:val="22"/>
                <w:szCs w:val="22"/>
              </w:rPr>
            </w:pPr>
            <w:r w:rsidRPr="000B552B">
              <w:rPr>
                <w:rFonts w:asciiTheme="minorHAnsi" w:hAnsiTheme="minorHAnsi"/>
                <w:b/>
                <w:sz w:val="22"/>
                <w:szCs w:val="22"/>
              </w:rPr>
              <w:t>p</w:t>
            </w:r>
            <w:r w:rsidR="00635C09" w:rsidRPr="000B552B">
              <w:rPr>
                <w:rFonts w:asciiTheme="minorHAnsi" w:hAnsiTheme="minorHAnsi"/>
                <w:b/>
                <w:sz w:val="22"/>
                <w:szCs w:val="22"/>
              </w:rPr>
              <w:t>-</w:t>
            </w:r>
            <w:r w:rsidRPr="000B552B">
              <w:rPr>
                <w:rFonts w:asciiTheme="minorHAnsi" w:hAnsiTheme="minorHAnsi"/>
                <w:b/>
                <w:sz w:val="22"/>
                <w:szCs w:val="22"/>
              </w:rPr>
              <w:t>value</w:t>
            </w:r>
          </w:p>
        </w:tc>
      </w:tr>
      <w:tr w:rsidR="00970366" w:rsidRPr="00005D20" w:rsidTr="000B552B">
        <w:tc>
          <w:tcPr>
            <w:tcW w:w="333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OPR does not cause REXR</w:t>
            </w:r>
          </w:p>
        </w:tc>
        <w:tc>
          <w:tcPr>
            <w:tcW w:w="261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4.5927</w:t>
            </w:r>
          </w:p>
        </w:tc>
        <w:tc>
          <w:tcPr>
            <w:tcW w:w="207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2</w:t>
            </w:r>
          </w:p>
        </w:tc>
        <w:tc>
          <w:tcPr>
            <w:tcW w:w="171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0.101</w:t>
            </w:r>
          </w:p>
        </w:tc>
      </w:tr>
      <w:tr w:rsidR="00970366" w:rsidRPr="00005D20" w:rsidTr="000B552B">
        <w:tc>
          <w:tcPr>
            <w:tcW w:w="333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REXR does not cause OPR</w:t>
            </w:r>
          </w:p>
        </w:tc>
        <w:tc>
          <w:tcPr>
            <w:tcW w:w="261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0.66958</w:t>
            </w:r>
          </w:p>
        </w:tc>
        <w:tc>
          <w:tcPr>
            <w:tcW w:w="207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2</w:t>
            </w:r>
          </w:p>
        </w:tc>
        <w:tc>
          <w:tcPr>
            <w:tcW w:w="1710" w:type="dxa"/>
          </w:tcPr>
          <w:p w:rsidR="00970366" w:rsidRPr="000B552B" w:rsidRDefault="00970366" w:rsidP="000B552B">
            <w:pPr>
              <w:jc w:val="center"/>
              <w:rPr>
                <w:rFonts w:asciiTheme="minorHAnsi" w:hAnsiTheme="minorHAnsi"/>
                <w:sz w:val="22"/>
                <w:szCs w:val="22"/>
              </w:rPr>
            </w:pPr>
            <w:r w:rsidRPr="000B552B">
              <w:rPr>
                <w:rFonts w:asciiTheme="minorHAnsi" w:hAnsiTheme="minorHAnsi"/>
                <w:sz w:val="22"/>
                <w:szCs w:val="22"/>
              </w:rPr>
              <w:t>0.715</w:t>
            </w:r>
          </w:p>
        </w:tc>
      </w:tr>
    </w:tbl>
    <w:p w:rsidR="009F64C0" w:rsidRDefault="009F64C0" w:rsidP="000B552B">
      <w:pPr>
        <w:spacing w:after="0" w:line="240" w:lineRule="auto"/>
        <w:jc w:val="both"/>
        <w:rPr>
          <w:rFonts w:ascii="Times New Roman" w:hAnsi="Times New Roman" w:cs="Times New Roman"/>
          <w:sz w:val="24"/>
          <w:szCs w:val="24"/>
        </w:rPr>
      </w:pPr>
    </w:p>
    <w:p w:rsidR="00934BB7" w:rsidRPr="00934BB7" w:rsidRDefault="000B552B" w:rsidP="00934BB7">
      <w:pPr>
        <w:spacing w:after="0" w:line="240" w:lineRule="auto"/>
        <w:jc w:val="both"/>
        <w:rPr>
          <w:rFonts w:ascii="Times New Roman" w:hAnsi="Times New Roman" w:cs="Times New Roman"/>
          <w:sz w:val="24"/>
          <w:szCs w:val="24"/>
        </w:rPr>
      </w:pPr>
      <w:r w:rsidRPr="00934BB7">
        <w:rPr>
          <w:rFonts w:ascii="Times New Roman" w:hAnsi="Times New Roman" w:cs="Times New Roman"/>
          <w:sz w:val="24"/>
          <w:szCs w:val="24"/>
        </w:rPr>
        <w:t xml:space="preserve">The results as presented in table </w:t>
      </w:r>
      <w:r w:rsidR="00CE3137" w:rsidRPr="00934BB7">
        <w:rPr>
          <w:rFonts w:ascii="Times New Roman" w:hAnsi="Times New Roman" w:cs="Times New Roman"/>
          <w:sz w:val="24"/>
          <w:szCs w:val="24"/>
        </w:rPr>
        <w:t>4.7</w:t>
      </w:r>
      <w:r w:rsidRPr="00934BB7">
        <w:rPr>
          <w:rFonts w:ascii="Times New Roman" w:hAnsi="Times New Roman" w:cs="Times New Roman"/>
          <w:sz w:val="24"/>
          <w:szCs w:val="24"/>
        </w:rPr>
        <w:t xml:space="preserve"> shows </w:t>
      </w:r>
      <w:r w:rsidR="00970366" w:rsidRPr="00934BB7">
        <w:rPr>
          <w:rFonts w:ascii="Times New Roman" w:hAnsi="Times New Roman" w:cs="Times New Roman"/>
          <w:sz w:val="24"/>
          <w:szCs w:val="24"/>
        </w:rPr>
        <w:t>no causality between the variables because</w:t>
      </w:r>
      <w:r w:rsidRPr="00934BB7">
        <w:rPr>
          <w:rFonts w:ascii="Times New Roman" w:hAnsi="Times New Roman" w:cs="Times New Roman"/>
          <w:sz w:val="24"/>
          <w:szCs w:val="24"/>
        </w:rPr>
        <w:t>,</w:t>
      </w:r>
      <w:r w:rsidR="00970366" w:rsidRPr="00934BB7">
        <w:rPr>
          <w:rFonts w:ascii="Times New Roman" w:hAnsi="Times New Roman" w:cs="Times New Roman"/>
          <w:sz w:val="24"/>
          <w:szCs w:val="24"/>
        </w:rPr>
        <w:t xml:space="preserve"> from the </w:t>
      </w:r>
      <w:r w:rsidRPr="00934BB7">
        <w:rPr>
          <w:rFonts w:ascii="Times New Roman" w:hAnsi="Times New Roman" w:cs="Times New Roman"/>
          <w:sz w:val="24"/>
          <w:szCs w:val="24"/>
        </w:rPr>
        <w:t>result</w:t>
      </w:r>
      <w:r w:rsidR="00970366" w:rsidRPr="00934BB7">
        <w:rPr>
          <w:rFonts w:ascii="Times New Roman" w:hAnsi="Times New Roman" w:cs="Times New Roman"/>
          <w:sz w:val="24"/>
          <w:szCs w:val="24"/>
        </w:rPr>
        <w:t xml:space="preserve">, </w:t>
      </w:r>
      <w:r w:rsidRPr="00934BB7">
        <w:rPr>
          <w:rFonts w:ascii="Times New Roman" w:hAnsi="Times New Roman" w:cs="Times New Roman"/>
          <w:sz w:val="24"/>
          <w:szCs w:val="24"/>
        </w:rPr>
        <w:t>we observed p</w:t>
      </w:r>
      <w:r w:rsidR="00970366" w:rsidRPr="00934BB7">
        <w:rPr>
          <w:rFonts w:ascii="Times New Roman" w:hAnsi="Times New Roman" w:cs="Times New Roman"/>
          <w:sz w:val="24"/>
          <w:szCs w:val="24"/>
        </w:rPr>
        <w:t xml:space="preserve">-value </w:t>
      </w:r>
      <w:r w:rsidRPr="00934BB7">
        <w:rPr>
          <w:rFonts w:ascii="Times New Roman" w:hAnsi="Times New Roman" w:cs="Times New Roman"/>
          <w:sz w:val="24"/>
          <w:szCs w:val="24"/>
        </w:rPr>
        <w:t>to be in</w:t>
      </w:r>
      <w:r w:rsidR="00970366" w:rsidRPr="00934BB7">
        <w:rPr>
          <w:rFonts w:ascii="Times New Roman" w:hAnsi="Times New Roman" w:cs="Times New Roman"/>
          <w:sz w:val="24"/>
          <w:szCs w:val="24"/>
        </w:rPr>
        <w:t xml:space="preserve">significant.  </w:t>
      </w:r>
      <w:r w:rsidRPr="00934BB7">
        <w:rPr>
          <w:rFonts w:ascii="Times New Roman" w:hAnsi="Times New Roman" w:cs="Times New Roman"/>
          <w:sz w:val="24"/>
          <w:szCs w:val="24"/>
        </w:rPr>
        <w:t xml:space="preserve">Therefore, we can </w:t>
      </w:r>
      <w:r w:rsidR="00970366" w:rsidRPr="00934BB7">
        <w:rPr>
          <w:rFonts w:ascii="Times New Roman" w:hAnsi="Times New Roman" w:cs="Times New Roman"/>
          <w:sz w:val="24"/>
          <w:szCs w:val="24"/>
        </w:rPr>
        <w:t>conclu</w:t>
      </w:r>
      <w:r w:rsidRPr="00934BB7">
        <w:rPr>
          <w:rFonts w:ascii="Times New Roman" w:hAnsi="Times New Roman" w:cs="Times New Roman"/>
          <w:sz w:val="24"/>
          <w:szCs w:val="24"/>
        </w:rPr>
        <w:t>de with strong inference</w:t>
      </w:r>
      <w:r w:rsidR="007827CA" w:rsidRPr="00934BB7">
        <w:rPr>
          <w:rFonts w:ascii="Times New Roman" w:hAnsi="Times New Roman" w:cs="Times New Roman"/>
          <w:sz w:val="24"/>
          <w:szCs w:val="24"/>
        </w:rPr>
        <w:t xml:space="preserve"> that</w:t>
      </w:r>
      <w:r w:rsidR="00970366" w:rsidRPr="00934BB7">
        <w:rPr>
          <w:rFonts w:ascii="Times New Roman" w:hAnsi="Times New Roman" w:cs="Times New Roman"/>
          <w:sz w:val="24"/>
          <w:szCs w:val="24"/>
        </w:rPr>
        <w:t xml:space="preserve"> there is no casual relationship between </w:t>
      </w:r>
      <w:r w:rsidR="007827CA" w:rsidRPr="00934BB7">
        <w:rPr>
          <w:rFonts w:ascii="Times New Roman" w:hAnsi="Times New Roman" w:cs="Times New Roman"/>
          <w:sz w:val="24"/>
          <w:szCs w:val="24"/>
        </w:rPr>
        <w:t>o</w:t>
      </w:r>
      <w:r w:rsidR="00970366" w:rsidRPr="00934BB7">
        <w:rPr>
          <w:rFonts w:ascii="Times New Roman" w:hAnsi="Times New Roman" w:cs="Times New Roman"/>
          <w:sz w:val="24"/>
          <w:szCs w:val="24"/>
        </w:rPr>
        <w:t xml:space="preserve">il </w:t>
      </w:r>
      <w:r w:rsidR="007827CA" w:rsidRPr="00934BB7">
        <w:rPr>
          <w:rFonts w:ascii="Times New Roman" w:hAnsi="Times New Roman" w:cs="Times New Roman"/>
          <w:sz w:val="24"/>
          <w:szCs w:val="24"/>
        </w:rPr>
        <w:t>p</w:t>
      </w:r>
      <w:r w:rsidR="00970366" w:rsidRPr="00934BB7">
        <w:rPr>
          <w:rFonts w:ascii="Times New Roman" w:hAnsi="Times New Roman" w:cs="Times New Roman"/>
          <w:sz w:val="24"/>
          <w:szCs w:val="24"/>
        </w:rPr>
        <w:t xml:space="preserve">rice and </w:t>
      </w:r>
      <w:r w:rsidR="007827CA" w:rsidRPr="00934BB7">
        <w:rPr>
          <w:rFonts w:ascii="Times New Roman" w:hAnsi="Times New Roman" w:cs="Times New Roman"/>
          <w:sz w:val="24"/>
          <w:szCs w:val="24"/>
        </w:rPr>
        <w:t>r</w:t>
      </w:r>
      <w:r w:rsidR="00970366" w:rsidRPr="00934BB7">
        <w:rPr>
          <w:rFonts w:ascii="Times New Roman" w:hAnsi="Times New Roman" w:cs="Times New Roman"/>
          <w:sz w:val="24"/>
          <w:szCs w:val="24"/>
        </w:rPr>
        <w:t xml:space="preserve">eal </w:t>
      </w:r>
      <w:r w:rsidR="007827CA" w:rsidRPr="00934BB7">
        <w:rPr>
          <w:rFonts w:ascii="Times New Roman" w:hAnsi="Times New Roman" w:cs="Times New Roman"/>
          <w:sz w:val="24"/>
          <w:szCs w:val="24"/>
        </w:rPr>
        <w:t>e</w:t>
      </w:r>
      <w:r w:rsidR="00970366" w:rsidRPr="00934BB7">
        <w:rPr>
          <w:rFonts w:ascii="Times New Roman" w:hAnsi="Times New Roman" w:cs="Times New Roman"/>
          <w:sz w:val="24"/>
          <w:szCs w:val="24"/>
        </w:rPr>
        <w:t>xchange rate.</w:t>
      </w:r>
      <w:r w:rsidR="00635C09" w:rsidRPr="00934BB7">
        <w:rPr>
          <w:rFonts w:ascii="Times New Roman" w:hAnsi="Times New Roman" w:cs="Times New Roman"/>
          <w:sz w:val="24"/>
          <w:szCs w:val="24"/>
        </w:rPr>
        <w:t xml:space="preserve"> Hence, there is no direction of causality between them in any form.</w:t>
      </w:r>
      <w:r w:rsidR="00934BB7" w:rsidRPr="00934BB7">
        <w:rPr>
          <w:rFonts w:ascii="Times New Roman" w:hAnsi="Times New Roman" w:cs="Times New Roman"/>
          <w:sz w:val="24"/>
          <w:szCs w:val="24"/>
        </w:rPr>
        <w:t xml:space="preserve"> Contrary to this findings, Korhonen and juurikkala (2007) study in selected oil and non-oil exporting countries, shows that oil prices granger causes exchange rate mostly in oil exporting countries, while studies by Camarero and Tamant (2002), and Spatafora and Stavrev (2003) in non-oil exporting countries also shows that oil price causes real </w:t>
      </w:r>
      <w:r w:rsidR="00934BB7" w:rsidRPr="00934BB7">
        <w:rPr>
          <w:rFonts w:ascii="Times New Roman" w:hAnsi="Times New Roman" w:cs="Times New Roman"/>
          <w:sz w:val="24"/>
          <w:szCs w:val="24"/>
        </w:rPr>
        <w:lastRenderedPageBreak/>
        <w:t>exchange rate in the long run. The dissimilarities in our findings may result from the differences in methods of analyses and data set or due heterogeneity in the countries of study.</w:t>
      </w:r>
    </w:p>
    <w:p w:rsidR="00934BB7" w:rsidRPr="00E922BD" w:rsidRDefault="00934BB7" w:rsidP="00934BB7">
      <w:pPr>
        <w:spacing w:after="0" w:line="240" w:lineRule="auto"/>
        <w:jc w:val="both"/>
        <w:rPr>
          <w:rFonts w:ascii="Times New Roman" w:hAnsi="Times New Roman" w:cs="Times New Roman"/>
          <w:color w:val="00B050"/>
          <w:sz w:val="24"/>
          <w:szCs w:val="24"/>
        </w:rPr>
      </w:pPr>
    </w:p>
    <w:p w:rsidR="00970366" w:rsidRDefault="00635C09" w:rsidP="007827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827CA">
        <w:rPr>
          <w:rFonts w:ascii="Times New Roman" w:hAnsi="Times New Roman" w:cs="Times New Roman"/>
          <w:b/>
          <w:sz w:val="24"/>
          <w:szCs w:val="24"/>
        </w:rPr>
        <w:t>4:</w:t>
      </w:r>
      <w:r w:rsidR="00970366" w:rsidRPr="00005D20">
        <w:rPr>
          <w:rFonts w:ascii="Times New Roman" w:hAnsi="Times New Roman" w:cs="Times New Roman"/>
          <w:b/>
          <w:sz w:val="24"/>
          <w:szCs w:val="24"/>
        </w:rPr>
        <w:t xml:space="preserve"> </w:t>
      </w:r>
      <w:r>
        <w:rPr>
          <w:rFonts w:ascii="Times New Roman" w:hAnsi="Times New Roman" w:cs="Times New Roman"/>
          <w:b/>
          <w:sz w:val="24"/>
          <w:szCs w:val="24"/>
        </w:rPr>
        <w:t>Evaluation of Research Hypothese</w:t>
      </w:r>
      <w:r w:rsidR="00970366" w:rsidRPr="00005D20">
        <w:rPr>
          <w:rFonts w:ascii="Times New Roman" w:hAnsi="Times New Roman" w:cs="Times New Roman"/>
          <w:b/>
          <w:sz w:val="24"/>
          <w:szCs w:val="24"/>
        </w:rPr>
        <w:t>s</w:t>
      </w:r>
      <w:r w:rsidR="007827CA">
        <w:rPr>
          <w:rFonts w:ascii="Times New Roman" w:hAnsi="Times New Roman" w:cs="Times New Roman"/>
          <w:b/>
          <w:sz w:val="24"/>
          <w:szCs w:val="24"/>
        </w:rPr>
        <w:t>:</w:t>
      </w:r>
    </w:p>
    <w:p w:rsidR="007827CA" w:rsidRPr="00D25E36" w:rsidRDefault="007827CA" w:rsidP="007827CA">
      <w:pPr>
        <w:spacing w:after="0" w:line="240" w:lineRule="auto"/>
        <w:jc w:val="both"/>
        <w:rPr>
          <w:rFonts w:ascii="Times New Roman" w:hAnsi="Times New Roman" w:cs="Times New Roman"/>
          <w:b/>
          <w:sz w:val="4"/>
          <w:szCs w:val="24"/>
        </w:rPr>
      </w:pPr>
    </w:p>
    <w:p w:rsidR="007827CA" w:rsidRPr="00005D20" w:rsidRDefault="00970366" w:rsidP="007827CA">
      <w:pPr>
        <w:spacing w:line="240" w:lineRule="auto"/>
        <w:jc w:val="both"/>
        <w:rPr>
          <w:rFonts w:ascii="Times New Roman" w:hAnsi="Times New Roman" w:cs="Times New Roman"/>
          <w:sz w:val="24"/>
          <w:szCs w:val="24"/>
        </w:rPr>
      </w:pPr>
      <w:r w:rsidRPr="00005D20">
        <w:rPr>
          <w:rFonts w:ascii="Times New Roman" w:hAnsi="Times New Roman" w:cs="Times New Roman"/>
          <w:sz w:val="24"/>
          <w:szCs w:val="24"/>
        </w:rPr>
        <w:t xml:space="preserve">Basically, the </w:t>
      </w:r>
      <w:r w:rsidR="007827CA">
        <w:rPr>
          <w:rFonts w:ascii="Times New Roman" w:hAnsi="Times New Roman" w:cs="Times New Roman"/>
          <w:sz w:val="24"/>
          <w:szCs w:val="24"/>
        </w:rPr>
        <w:t>study focused on o</w:t>
      </w:r>
      <w:r w:rsidRPr="00005D20">
        <w:rPr>
          <w:rFonts w:ascii="Times New Roman" w:hAnsi="Times New Roman" w:cs="Times New Roman"/>
          <w:sz w:val="24"/>
          <w:szCs w:val="24"/>
        </w:rPr>
        <w:t xml:space="preserve">il </w:t>
      </w:r>
      <w:r w:rsidR="007827CA">
        <w:rPr>
          <w:rFonts w:ascii="Times New Roman" w:hAnsi="Times New Roman" w:cs="Times New Roman"/>
          <w:sz w:val="24"/>
          <w:szCs w:val="24"/>
        </w:rPr>
        <w:t>p</w:t>
      </w:r>
      <w:r w:rsidRPr="00005D20">
        <w:rPr>
          <w:rFonts w:ascii="Times New Roman" w:hAnsi="Times New Roman" w:cs="Times New Roman"/>
          <w:sz w:val="24"/>
          <w:szCs w:val="24"/>
        </w:rPr>
        <w:t xml:space="preserve">rice </w:t>
      </w:r>
      <w:r w:rsidR="007827CA">
        <w:rPr>
          <w:rFonts w:ascii="Times New Roman" w:hAnsi="Times New Roman" w:cs="Times New Roman"/>
          <w:sz w:val="24"/>
          <w:szCs w:val="24"/>
        </w:rPr>
        <w:t>f</w:t>
      </w:r>
      <w:r w:rsidRPr="00005D20">
        <w:rPr>
          <w:rFonts w:ascii="Times New Roman" w:hAnsi="Times New Roman" w:cs="Times New Roman"/>
          <w:sz w:val="24"/>
          <w:szCs w:val="24"/>
        </w:rPr>
        <w:t xml:space="preserve">luctuation, </w:t>
      </w:r>
      <w:r w:rsidR="007827CA">
        <w:rPr>
          <w:rFonts w:ascii="Times New Roman" w:hAnsi="Times New Roman" w:cs="Times New Roman"/>
          <w:sz w:val="24"/>
          <w:szCs w:val="24"/>
        </w:rPr>
        <w:t>e</w:t>
      </w:r>
      <w:r w:rsidRPr="00005D20">
        <w:rPr>
          <w:rFonts w:ascii="Times New Roman" w:hAnsi="Times New Roman" w:cs="Times New Roman"/>
          <w:sz w:val="24"/>
          <w:szCs w:val="24"/>
        </w:rPr>
        <w:t>xchange rate dynamics and Economic growth in Nigeria.</w:t>
      </w:r>
      <w:r w:rsidRPr="00005D20">
        <w:rPr>
          <w:rFonts w:ascii="Times New Roman" w:eastAsiaTheme="minorEastAsia" w:hAnsi="Times New Roman" w:cs="Times New Roman"/>
          <w:sz w:val="24"/>
          <w:szCs w:val="24"/>
        </w:rPr>
        <w:t xml:space="preserve"> </w:t>
      </w:r>
      <w:r w:rsidRPr="00005D20">
        <w:rPr>
          <w:rFonts w:ascii="Times New Roman" w:hAnsi="Times New Roman" w:cs="Times New Roman"/>
          <w:sz w:val="24"/>
          <w:szCs w:val="24"/>
        </w:rPr>
        <w:t xml:space="preserve">The hypothesis was </w:t>
      </w:r>
      <w:r w:rsidR="00635C09">
        <w:rPr>
          <w:rFonts w:ascii="Times New Roman" w:hAnsi="Times New Roman" w:cs="Times New Roman"/>
          <w:sz w:val="24"/>
          <w:szCs w:val="24"/>
        </w:rPr>
        <w:t>evaluated</w:t>
      </w:r>
      <w:r w:rsidRPr="00005D20">
        <w:rPr>
          <w:rFonts w:ascii="Times New Roman" w:hAnsi="Times New Roman" w:cs="Times New Roman"/>
          <w:sz w:val="24"/>
          <w:szCs w:val="24"/>
        </w:rPr>
        <w:t xml:space="preserve"> </w:t>
      </w:r>
      <w:r w:rsidR="00635C09">
        <w:rPr>
          <w:rFonts w:ascii="Times New Roman" w:hAnsi="Times New Roman" w:cs="Times New Roman"/>
          <w:sz w:val="24"/>
          <w:szCs w:val="24"/>
        </w:rPr>
        <w:t>based on</w:t>
      </w:r>
      <w:r w:rsidRPr="00005D20">
        <w:rPr>
          <w:rFonts w:ascii="Times New Roman" w:hAnsi="Times New Roman" w:cs="Times New Roman"/>
          <w:sz w:val="24"/>
          <w:szCs w:val="24"/>
        </w:rPr>
        <w:t xml:space="preserve"> the </w:t>
      </w:r>
      <w:r w:rsidR="00635C09">
        <w:rPr>
          <w:rFonts w:ascii="Times New Roman" w:hAnsi="Times New Roman" w:cs="Times New Roman"/>
          <w:sz w:val="24"/>
          <w:szCs w:val="24"/>
        </w:rPr>
        <w:t xml:space="preserve">empirical </w:t>
      </w:r>
      <w:r w:rsidRPr="00005D20">
        <w:rPr>
          <w:rFonts w:ascii="Times New Roman" w:hAnsi="Times New Roman" w:cs="Times New Roman"/>
          <w:sz w:val="24"/>
          <w:szCs w:val="24"/>
        </w:rPr>
        <w:t>result</w:t>
      </w:r>
      <w:r w:rsidR="00635C09">
        <w:rPr>
          <w:rFonts w:ascii="Times New Roman" w:hAnsi="Times New Roman" w:cs="Times New Roman"/>
          <w:sz w:val="24"/>
          <w:szCs w:val="24"/>
        </w:rPr>
        <w:t>s</w:t>
      </w:r>
      <w:r w:rsidRPr="00005D20">
        <w:rPr>
          <w:rFonts w:ascii="Times New Roman" w:hAnsi="Times New Roman" w:cs="Times New Roman"/>
          <w:sz w:val="24"/>
          <w:szCs w:val="24"/>
        </w:rPr>
        <w:t xml:space="preserve"> </w:t>
      </w:r>
      <w:r w:rsidR="00635C09">
        <w:rPr>
          <w:rFonts w:ascii="Times New Roman" w:hAnsi="Times New Roman" w:cs="Times New Roman"/>
          <w:sz w:val="24"/>
          <w:szCs w:val="24"/>
        </w:rPr>
        <w:t>of the study</w:t>
      </w:r>
      <w:r w:rsidRPr="00005D20">
        <w:rPr>
          <w:rFonts w:ascii="Times New Roman" w:hAnsi="Times New Roman" w:cs="Times New Roman"/>
          <w:sz w:val="24"/>
          <w:szCs w:val="24"/>
        </w:rPr>
        <w:t>.</w:t>
      </w:r>
      <w:r w:rsidRPr="00005D20">
        <w:rPr>
          <w:rFonts w:ascii="Times New Roman" w:eastAsiaTheme="minorEastAsia" w:hAnsi="Times New Roman" w:cs="Times New Roman"/>
          <w:sz w:val="24"/>
          <w:szCs w:val="24"/>
        </w:rPr>
        <w:t xml:space="preserve"> </w:t>
      </w:r>
      <w:r w:rsidR="007827CA">
        <w:rPr>
          <w:rFonts w:ascii="Times New Roman" w:hAnsi="Times New Roman" w:cs="Times New Roman"/>
          <w:sz w:val="24"/>
          <w:szCs w:val="24"/>
        </w:rPr>
        <w:t>The null hypothesis of n</w:t>
      </w:r>
      <w:r w:rsidR="007827CA" w:rsidRPr="00005D20">
        <w:rPr>
          <w:rFonts w:ascii="Times New Roman" w:hAnsi="Times New Roman" w:cs="Times New Roman"/>
          <w:sz w:val="24"/>
          <w:szCs w:val="24"/>
        </w:rPr>
        <w:t xml:space="preserve">o long-run relationship </w:t>
      </w:r>
      <w:r w:rsidR="007827CA">
        <w:rPr>
          <w:rFonts w:ascii="Times New Roman" w:hAnsi="Times New Roman" w:cs="Times New Roman"/>
          <w:sz w:val="24"/>
          <w:szCs w:val="24"/>
        </w:rPr>
        <w:t xml:space="preserve">was accepted based on our result on cointegration tests presented in table 4.2 above. From the estimated result, we observed that </w:t>
      </w:r>
      <w:r w:rsidR="007827CA" w:rsidRPr="00005D20">
        <w:rPr>
          <w:rFonts w:ascii="Times New Roman" w:hAnsi="Times New Roman" w:cs="Times New Roman"/>
          <w:sz w:val="24"/>
          <w:szCs w:val="24"/>
        </w:rPr>
        <w:t xml:space="preserve">there is no long-run relationship between </w:t>
      </w:r>
      <w:r w:rsidR="007827CA">
        <w:rPr>
          <w:rFonts w:ascii="Times New Roman" w:hAnsi="Times New Roman" w:cs="Times New Roman"/>
          <w:sz w:val="24"/>
          <w:szCs w:val="24"/>
        </w:rPr>
        <w:t>o</w:t>
      </w:r>
      <w:r w:rsidR="007827CA" w:rsidRPr="00005D20">
        <w:rPr>
          <w:rFonts w:ascii="Times New Roman" w:hAnsi="Times New Roman" w:cs="Times New Roman"/>
          <w:sz w:val="24"/>
          <w:szCs w:val="24"/>
        </w:rPr>
        <w:t xml:space="preserve">il </w:t>
      </w:r>
      <w:r w:rsidR="007827CA">
        <w:rPr>
          <w:rFonts w:ascii="Times New Roman" w:hAnsi="Times New Roman" w:cs="Times New Roman"/>
          <w:sz w:val="24"/>
          <w:szCs w:val="24"/>
        </w:rPr>
        <w:t>p</w:t>
      </w:r>
      <w:r w:rsidR="007827CA" w:rsidRPr="00005D20">
        <w:rPr>
          <w:rFonts w:ascii="Times New Roman" w:hAnsi="Times New Roman" w:cs="Times New Roman"/>
          <w:sz w:val="24"/>
          <w:szCs w:val="24"/>
        </w:rPr>
        <w:t xml:space="preserve">rice and </w:t>
      </w:r>
      <w:r w:rsidR="007827CA">
        <w:rPr>
          <w:rFonts w:ascii="Times New Roman" w:hAnsi="Times New Roman" w:cs="Times New Roman"/>
          <w:sz w:val="24"/>
          <w:szCs w:val="24"/>
        </w:rPr>
        <w:t>r</w:t>
      </w:r>
      <w:r w:rsidR="007827CA" w:rsidRPr="00005D20">
        <w:rPr>
          <w:rFonts w:ascii="Times New Roman" w:hAnsi="Times New Roman" w:cs="Times New Roman"/>
          <w:sz w:val="24"/>
          <w:szCs w:val="24"/>
        </w:rPr>
        <w:t xml:space="preserve">eal </w:t>
      </w:r>
      <w:r w:rsidR="007827CA">
        <w:rPr>
          <w:rFonts w:ascii="Times New Roman" w:hAnsi="Times New Roman" w:cs="Times New Roman"/>
          <w:sz w:val="24"/>
          <w:szCs w:val="24"/>
        </w:rPr>
        <w:t>e</w:t>
      </w:r>
      <w:r w:rsidR="007827CA" w:rsidRPr="00005D20">
        <w:rPr>
          <w:rFonts w:ascii="Times New Roman" w:hAnsi="Times New Roman" w:cs="Times New Roman"/>
          <w:sz w:val="24"/>
          <w:szCs w:val="24"/>
        </w:rPr>
        <w:t xml:space="preserve">xchange </w:t>
      </w:r>
      <w:r w:rsidR="007827CA">
        <w:rPr>
          <w:rFonts w:ascii="Times New Roman" w:hAnsi="Times New Roman" w:cs="Times New Roman"/>
          <w:sz w:val="24"/>
          <w:szCs w:val="24"/>
        </w:rPr>
        <w:t>r</w:t>
      </w:r>
      <w:r w:rsidR="007827CA" w:rsidRPr="00005D20">
        <w:rPr>
          <w:rFonts w:ascii="Times New Roman" w:hAnsi="Times New Roman" w:cs="Times New Roman"/>
          <w:sz w:val="24"/>
          <w:szCs w:val="24"/>
        </w:rPr>
        <w:t xml:space="preserve">ate in Nigeria within the time period </w:t>
      </w:r>
      <w:r w:rsidR="007827CA">
        <w:rPr>
          <w:rFonts w:ascii="Times New Roman" w:hAnsi="Times New Roman" w:cs="Times New Roman"/>
          <w:sz w:val="24"/>
          <w:szCs w:val="24"/>
        </w:rPr>
        <w:t xml:space="preserve">under </w:t>
      </w:r>
      <w:r w:rsidR="007827CA" w:rsidRPr="00005D20">
        <w:rPr>
          <w:rFonts w:ascii="Times New Roman" w:hAnsi="Times New Roman" w:cs="Times New Roman"/>
          <w:sz w:val="24"/>
          <w:szCs w:val="24"/>
        </w:rPr>
        <w:t>stud</w:t>
      </w:r>
      <w:r w:rsidR="007827CA">
        <w:rPr>
          <w:rFonts w:ascii="Times New Roman" w:hAnsi="Times New Roman" w:cs="Times New Roman"/>
          <w:sz w:val="24"/>
          <w:szCs w:val="24"/>
        </w:rPr>
        <w:t>y</w:t>
      </w:r>
      <w:r w:rsidR="007827CA" w:rsidRPr="00005D20">
        <w:rPr>
          <w:rFonts w:ascii="Times New Roman" w:hAnsi="Times New Roman" w:cs="Times New Roman"/>
          <w:sz w:val="24"/>
          <w:szCs w:val="24"/>
        </w:rPr>
        <w:t>. This largely due to the floating exchange rate system run by the central monetary authority in Nigeria because exchange rate influences the prices of commodities at a particular time (which is usually short) but eventually balances off because oil is not the only commodity Nigeria exports. Hence, no long-run relationship exists between oil price and exchange rate.</w:t>
      </w:r>
      <w:r w:rsidR="007827CA">
        <w:rPr>
          <w:rFonts w:ascii="Times New Roman" w:hAnsi="Times New Roman" w:cs="Times New Roman"/>
          <w:sz w:val="24"/>
          <w:szCs w:val="24"/>
        </w:rPr>
        <w:t xml:space="preserve"> </w:t>
      </w:r>
      <w:r w:rsidR="00C00F7D">
        <w:rPr>
          <w:rFonts w:ascii="Times New Roman" w:hAnsi="Times New Roman" w:cs="Times New Roman"/>
          <w:sz w:val="24"/>
          <w:szCs w:val="24"/>
        </w:rPr>
        <w:t xml:space="preserve">In addition, we equally observed that oil price oscillation and exchange rate dynamics have positive and significant impact on economic performances proxied with real GDP. </w:t>
      </w:r>
      <w:r w:rsidR="007827CA">
        <w:rPr>
          <w:rFonts w:ascii="Times New Roman" w:hAnsi="Times New Roman" w:cs="Times New Roman"/>
          <w:sz w:val="24"/>
          <w:szCs w:val="24"/>
        </w:rPr>
        <w:t xml:space="preserve">Further inquiry </w:t>
      </w:r>
      <w:r w:rsidR="007827CA" w:rsidRPr="00005D20">
        <w:rPr>
          <w:rFonts w:ascii="Times New Roman" w:hAnsi="Times New Roman" w:cs="Times New Roman"/>
          <w:sz w:val="24"/>
          <w:szCs w:val="24"/>
        </w:rPr>
        <w:t>showed that the oil price (OPR) and real exchange rate (REXR) exhibit a collective volatility of about 1.15% during this period,</w:t>
      </w:r>
      <w:r w:rsidR="00F76579">
        <w:rPr>
          <w:rFonts w:ascii="Times New Roman" w:hAnsi="Times New Roman" w:cs="Times New Roman"/>
          <w:sz w:val="24"/>
          <w:szCs w:val="24"/>
        </w:rPr>
        <w:t xml:space="preserve"> which</w:t>
      </w:r>
      <w:r w:rsidR="007827CA" w:rsidRPr="00005D20">
        <w:rPr>
          <w:rFonts w:ascii="Times New Roman" w:hAnsi="Times New Roman" w:cs="Times New Roman"/>
          <w:sz w:val="24"/>
          <w:szCs w:val="24"/>
        </w:rPr>
        <w:t xml:space="preserve"> is relatively low. Hence there is no ARCH effect since the oil price does not exhibit volatility clustering between the periods of 1970-2012 (using annual figures in Nigeria). However, the result from EGARCH shows that REXR exhibits a volatility shock of 16%. Therefore, a 10% increase in OPR leads to a 19% increase in REXR at this period. The shock effect is relatively not significant in explaining reason for volatility in REXR since the probability value of EGARCH is 0.876.</w:t>
      </w:r>
    </w:p>
    <w:p w:rsidR="00F76579" w:rsidRDefault="00D1173D" w:rsidP="00D11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Furthermore</w:t>
      </w:r>
      <w:r w:rsidR="006A28AB" w:rsidRPr="006A28AB">
        <w:rPr>
          <w:rFonts w:ascii="Times New Roman" w:hAnsi="Times New Roman" w:cs="Times New Roman"/>
          <w:sz w:val="24"/>
          <w:szCs w:val="24"/>
        </w:rPr>
        <w:t>, t</w:t>
      </w:r>
      <w:r w:rsidR="00970366" w:rsidRPr="006A28AB">
        <w:rPr>
          <w:rFonts w:ascii="Times New Roman" w:hAnsi="Times New Roman" w:cs="Times New Roman"/>
          <w:sz w:val="24"/>
          <w:szCs w:val="24"/>
        </w:rPr>
        <w:t xml:space="preserve">he </w:t>
      </w:r>
      <w:r>
        <w:rPr>
          <w:rFonts w:ascii="Times New Roman" w:hAnsi="Times New Roman" w:cs="Times New Roman"/>
          <w:sz w:val="24"/>
          <w:szCs w:val="24"/>
        </w:rPr>
        <w:t>null</w:t>
      </w:r>
      <w:r w:rsidR="00970366" w:rsidRPr="006A28AB">
        <w:rPr>
          <w:rFonts w:ascii="Times New Roman" w:hAnsi="Times New Roman" w:cs="Times New Roman"/>
          <w:sz w:val="24"/>
          <w:szCs w:val="24"/>
        </w:rPr>
        <w:t xml:space="preserve"> hypothesis of no casual rel</w:t>
      </w:r>
      <w:r w:rsidR="001463AF" w:rsidRPr="006A28AB">
        <w:rPr>
          <w:rFonts w:ascii="Times New Roman" w:hAnsi="Times New Roman" w:cs="Times New Roman"/>
          <w:sz w:val="24"/>
          <w:szCs w:val="24"/>
        </w:rPr>
        <w:t>ationship between</w:t>
      </w:r>
      <w:r w:rsidR="006A28AB" w:rsidRPr="006A28AB">
        <w:rPr>
          <w:rFonts w:ascii="Times New Roman" w:hAnsi="Times New Roman" w:cs="Times New Roman"/>
          <w:sz w:val="24"/>
          <w:szCs w:val="24"/>
        </w:rPr>
        <w:t xml:space="preserve"> OPR and REXR</w:t>
      </w:r>
      <w:r>
        <w:rPr>
          <w:rFonts w:ascii="Times New Roman" w:hAnsi="Times New Roman" w:cs="Times New Roman"/>
          <w:sz w:val="24"/>
          <w:szCs w:val="24"/>
        </w:rPr>
        <w:t xml:space="preserve"> was accepted based on our findings. Thus, this implies that oil price oscillation and exchange rate dynamics, do not g</w:t>
      </w:r>
      <w:r w:rsidR="00970366" w:rsidRPr="006A28AB">
        <w:rPr>
          <w:rFonts w:ascii="Times New Roman" w:hAnsi="Times New Roman" w:cs="Times New Roman"/>
          <w:sz w:val="24"/>
          <w:szCs w:val="24"/>
        </w:rPr>
        <w:t>ranger</w:t>
      </w:r>
      <w:r>
        <w:rPr>
          <w:rFonts w:ascii="Times New Roman" w:hAnsi="Times New Roman" w:cs="Times New Roman"/>
          <w:sz w:val="24"/>
          <w:szCs w:val="24"/>
        </w:rPr>
        <w:t xml:space="preserve"> c</w:t>
      </w:r>
      <w:r w:rsidR="00970366" w:rsidRPr="006A28AB">
        <w:rPr>
          <w:rFonts w:ascii="Times New Roman" w:hAnsi="Times New Roman" w:cs="Times New Roman"/>
          <w:sz w:val="24"/>
          <w:szCs w:val="24"/>
        </w:rPr>
        <w:t>aus</w:t>
      </w:r>
      <w:r>
        <w:rPr>
          <w:rFonts w:ascii="Times New Roman" w:hAnsi="Times New Roman" w:cs="Times New Roman"/>
          <w:sz w:val="24"/>
          <w:szCs w:val="24"/>
        </w:rPr>
        <w:t xml:space="preserve">e each other, indicating </w:t>
      </w:r>
      <w:r w:rsidRPr="006A28AB">
        <w:rPr>
          <w:rFonts w:ascii="Times New Roman" w:hAnsi="Times New Roman" w:cs="Times New Roman"/>
          <w:sz w:val="24"/>
          <w:szCs w:val="24"/>
        </w:rPr>
        <w:t>that</w:t>
      </w:r>
      <w:r w:rsidR="006A28AB" w:rsidRPr="006A28AB">
        <w:rPr>
          <w:rFonts w:ascii="Times New Roman" w:hAnsi="Times New Roman" w:cs="Times New Roman"/>
          <w:sz w:val="24"/>
          <w:szCs w:val="24"/>
        </w:rPr>
        <w:t xml:space="preserve"> </w:t>
      </w:r>
      <w:r w:rsidR="00970366" w:rsidRPr="006A28AB">
        <w:rPr>
          <w:rFonts w:ascii="Times New Roman" w:hAnsi="Times New Roman" w:cs="Times New Roman"/>
          <w:sz w:val="24"/>
          <w:szCs w:val="24"/>
        </w:rPr>
        <w:t>there is no causal relationship between the variables</w:t>
      </w:r>
      <w:r w:rsidR="006A28AB" w:rsidRPr="006A28AB">
        <w:rPr>
          <w:rFonts w:ascii="Times New Roman" w:hAnsi="Times New Roman" w:cs="Times New Roman"/>
          <w:sz w:val="24"/>
          <w:szCs w:val="24"/>
        </w:rPr>
        <w:t xml:space="preserve">. </w:t>
      </w:r>
      <w:r w:rsidR="00970366" w:rsidRPr="00005D20">
        <w:rPr>
          <w:rFonts w:ascii="Times New Roman" w:hAnsi="Times New Roman" w:cs="Times New Roman"/>
          <w:sz w:val="24"/>
          <w:szCs w:val="24"/>
        </w:rPr>
        <w:t xml:space="preserve">This can be justified by the fact that there is no long run relation between oil price and exchange rate. </w:t>
      </w:r>
    </w:p>
    <w:p w:rsidR="00D1173D" w:rsidRDefault="00D1173D" w:rsidP="00D1173D">
      <w:pPr>
        <w:spacing w:after="0" w:line="240" w:lineRule="auto"/>
        <w:jc w:val="both"/>
        <w:rPr>
          <w:rFonts w:ascii="Times New Roman" w:hAnsi="Times New Roman" w:cs="Times New Roman"/>
          <w:sz w:val="24"/>
          <w:szCs w:val="24"/>
        </w:rPr>
      </w:pPr>
    </w:p>
    <w:p w:rsidR="00970366" w:rsidRPr="00F66E9D" w:rsidRDefault="000154CA" w:rsidP="00F66E9D">
      <w:pPr>
        <w:pStyle w:val="ListParagraph"/>
        <w:numPr>
          <w:ilvl w:val="0"/>
          <w:numId w:val="26"/>
        </w:numPr>
        <w:spacing w:after="0" w:line="240" w:lineRule="auto"/>
        <w:ind w:left="540" w:hanging="540"/>
        <w:jc w:val="both"/>
        <w:rPr>
          <w:rFonts w:ascii="Times New Roman" w:hAnsi="Times New Roman" w:cs="Times New Roman"/>
          <w:b/>
          <w:sz w:val="24"/>
          <w:szCs w:val="24"/>
        </w:rPr>
      </w:pPr>
      <w:r w:rsidRPr="00F66E9D">
        <w:rPr>
          <w:rFonts w:ascii="Times New Roman" w:hAnsi="Times New Roman" w:cs="Times New Roman"/>
          <w:b/>
          <w:sz w:val="24"/>
          <w:szCs w:val="24"/>
        </w:rPr>
        <w:t>Summary and recommendation:</w:t>
      </w:r>
    </w:p>
    <w:p w:rsidR="00F66E9D" w:rsidRPr="00F66E9D" w:rsidRDefault="00F66E9D" w:rsidP="00F66E9D">
      <w:pPr>
        <w:spacing w:after="0" w:line="240" w:lineRule="auto"/>
        <w:jc w:val="both"/>
        <w:rPr>
          <w:rFonts w:ascii="Times New Roman" w:hAnsi="Times New Roman" w:cs="Times New Roman"/>
          <w:sz w:val="6"/>
          <w:szCs w:val="24"/>
        </w:rPr>
      </w:pPr>
    </w:p>
    <w:p w:rsidR="00970366" w:rsidRDefault="00047EAC" w:rsidP="00E117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examined</w:t>
      </w:r>
      <w:r w:rsidR="00970366" w:rsidRPr="00005D20">
        <w:rPr>
          <w:rFonts w:ascii="Times New Roman" w:hAnsi="Times New Roman" w:cs="Times New Roman"/>
          <w:sz w:val="24"/>
          <w:szCs w:val="24"/>
        </w:rPr>
        <w:t xml:space="preserve"> the long run relationship between oil price</w:t>
      </w:r>
      <w:r w:rsidR="00D1173D">
        <w:rPr>
          <w:rFonts w:ascii="Times New Roman" w:hAnsi="Times New Roman" w:cs="Times New Roman"/>
          <w:sz w:val="24"/>
          <w:szCs w:val="24"/>
        </w:rPr>
        <w:t xml:space="preserve"> oscillation,</w:t>
      </w:r>
      <w:r w:rsidR="00970366" w:rsidRPr="00005D20">
        <w:rPr>
          <w:rFonts w:ascii="Times New Roman" w:hAnsi="Times New Roman" w:cs="Times New Roman"/>
          <w:sz w:val="24"/>
          <w:szCs w:val="24"/>
        </w:rPr>
        <w:t xml:space="preserve"> exchange rate</w:t>
      </w:r>
      <w:r w:rsidR="00D1173D">
        <w:rPr>
          <w:rFonts w:ascii="Times New Roman" w:hAnsi="Times New Roman" w:cs="Times New Roman"/>
          <w:sz w:val="24"/>
          <w:szCs w:val="24"/>
        </w:rPr>
        <w:t xml:space="preserve"> dynamics and economic performance. We extended our investigation on</w:t>
      </w:r>
      <w:r w:rsidR="00970366" w:rsidRPr="00005D20">
        <w:rPr>
          <w:rFonts w:ascii="Times New Roman" w:hAnsi="Times New Roman" w:cs="Times New Roman"/>
          <w:sz w:val="24"/>
          <w:szCs w:val="24"/>
        </w:rPr>
        <w:t xml:space="preserve"> the influence of oil price </w:t>
      </w:r>
      <w:r w:rsidR="00FE676F">
        <w:rPr>
          <w:rFonts w:ascii="Times New Roman" w:hAnsi="Times New Roman" w:cs="Times New Roman"/>
          <w:sz w:val="24"/>
          <w:szCs w:val="24"/>
        </w:rPr>
        <w:t>oscillation</w:t>
      </w:r>
      <w:r w:rsidR="00970366" w:rsidRPr="00005D20">
        <w:rPr>
          <w:rFonts w:ascii="Times New Roman" w:hAnsi="Times New Roman" w:cs="Times New Roman"/>
          <w:sz w:val="24"/>
          <w:szCs w:val="24"/>
        </w:rPr>
        <w:t xml:space="preserve"> on exchange rate and the causal relationship between oil price </w:t>
      </w:r>
      <w:r w:rsidR="00D1173D">
        <w:rPr>
          <w:rFonts w:ascii="Times New Roman" w:hAnsi="Times New Roman" w:cs="Times New Roman"/>
          <w:sz w:val="24"/>
          <w:szCs w:val="24"/>
        </w:rPr>
        <w:t xml:space="preserve">oscillation </w:t>
      </w:r>
      <w:r w:rsidR="00970366" w:rsidRPr="00005D20">
        <w:rPr>
          <w:rFonts w:ascii="Times New Roman" w:hAnsi="Times New Roman" w:cs="Times New Roman"/>
          <w:sz w:val="24"/>
          <w:szCs w:val="24"/>
        </w:rPr>
        <w:t xml:space="preserve">and exchange rate </w:t>
      </w:r>
      <w:r w:rsidR="00D1173D">
        <w:rPr>
          <w:rFonts w:ascii="Times New Roman" w:hAnsi="Times New Roman" w:cs="Times New Roman"/>
          <w:sz w:val="24"/>
          <w:szCs w:val="24"/>
        </w:rPr>
        <w:t>dynamic</w:t>
      </w:r>
      <w:r w:rsidR="00970366" w:rsidRPr="00005D20">
        <w:rPr>
          <w:rFonts w:ascii="Times New Roman" w:hAnsi="Times New Roman" w:cs="Times New Roman"/>
          <w:sz w:val="24"/>
          <w:szCs w:val="24"/>
        </w:rPr>
        <w:t xml:space="preserve"> in Nige</w:t>
      </w:r>
      <w:r>
        <w:rPr>
          <w:rFonts w:ascii="Times New Roman" w:hAnsi="Times New Roman" w:cs="Times New Roman"/>
          <w:sz w:val="24"/>
          <w:szCs w:val="24"/>
        </w:rPr>
        <w:t xml:space="preserve">ria </w:t>
      </w:r>
      <w:r w:rsidR="00D1173D">
        <w:rPr>
          <w:rFonts w:ascii="Times New Roman" w:hAnsi="Times New Roman" w:cs="Times New Roman"/>
          <w:sz w:val="24"/>
          <w:szCs w:val="24"/>
        </w:rPr>
        <w:t>for</w:t>
      </w:r>
      <w:r>
        <w:rPr>
          <w:rFonts w:ascii="Times New Roman" w:hAnsi="Times New Roman" w:cs="Times New Roman"/>
          <w:sz w:val="24"/>
          <w:szCs w:val="24"/>
        </w:rPr>
        <w:t xml:space="preserve"> the periods 1970 </w:t>
      </w:r>
      <w:r w:rsidR="00D1173D">
        <w:rPr>
          <w:rFonts w:ascii="Times New Roman" w:hAnsi="Times New Roman" w:cs="Times New Roman"/>
          <w:sz w:val="24"/>
          <w:szCs w:val="24"/>
        </w:rPr>
        <w:t>-</w:t>
      </w:r>
      <w:r>
        <w:rPr>
          <w:rFonts w:ascii="Times New Roman" w:hAnsi="Times New Roman" w:cs="Times New Roman"/>
          <w:sz w:val="24"/>
          <w:szCs w:val="24"/>
        </w:rPr>
        <w:t xml:space="preserve"> 2013</w:t>
      </w:r>
      <w:r w:rsidR="00970366" w:rsidRPr="00005D20">
        <w:rPr>
          <w:rFonts w:ascii="Times New Roman" w:hAnsi="Times New Roman" w:cs="Times New Roman"/>
          <w:sz w:val="24"/>
          <w:szCs w:val="24"/>
        </w:rPr>
        <w:t xml:space="preserve"> using yearly time series data gotten from the CBN statistical b</w:t>
      </w:r>
      <w:r>
        <w:rPr>
          <w:rFonts w:ascii="Times New Roman" w:hAnsi="Times New Roman" w:cs="Times New Roman"/>
          <w:sz w:val="24"/>
          <w:szCs w:val="24"/>
        </w:rPr>
        <w:t>ulletin.</w:t>
      </w:r>
      <w:r w:rsidR="00D1173D">
        <w:rPr>
          <w:rFonts w:ascii="Times New Roman" w:hAnsi="Times New Roman" w:cs="Times New Roman"/>
          <w:sz w:val="24"/>
          <w:szCs w:val="24"/>
        </w:rPr>
        <w:t xml:space="preserve"> </w:t>
      </w:r>
      <w:r>
        <w:rPr>
          <w:rFonts w:ascii="Times New Roman" w:hAnsi="Times New Roman" w:cs="Times New Roman"/>
          <w:sz w:val="24"/>
          <w:szCs w:val="24"/>
        </w:rPr>
        <w:t>To achieve th</w:t>
      </w:r>
      <w:r w:rsidR="00D1173D">
        <w:rPr>
          <w:rFonts w:ascii="Times New Roman" w:hAnsi="Times New Roman" w:cs="Times New Roman"/>
          <w:sz w:val="24"/>
          <w:szCs w:val="24"/>
        </w:rPr>
        <w:t>e</w:t>
      </w:r>
      <w:r>
        <w:rPr>
          <w:rFonts w:ascii="Times New Roman" w:hAnsi="Times New Roman" w:cs="Times New Roman"/>
          <w:sz w:val="24"/>
          <w:szCs w:val="24"/>
        </w:rPr>
        <w:t>s</w:t>
      </w:r>
      <w:r w:rsidR="00D1173D">
        <w:rPr>
          <w:rFonts w:ascii="Times New Roman" w:hAnsi="Times New Roman" w:cs="Times New Roman"/>
          <w:sz w:val="24"/>
          <w:szCs w:val="24"/>
        </w:rPr>
        <w:t>e</w:t>
      </w:r>
      <w:r w:rsidR="00442AC4">
        <w:rPr>
          <w:rFonts w:ascii="Times New Roman" w:hAnsi="Times New Roman" w:cs="Times New Roman"/>
          <w:sz w:val="24"/>
          <w:szCs w:val="24"/>
        </w:rPr>
        <w:t xml:space="preserve"> objective</w:t>
      </w:r>
      <w:r w:rsidR="00D1173D">
        <w:rPr>
          <w:rFonts w:ascii="Times New Roman" w:hAnsi="Times New Roman" w:cs="Times New Roman"/>
          <w:sz w:val="24"/>
          <w:szCs w:val="24"/>
        </w:rPr>
        <w:t>s</w:t>
      </w:r>
      <w:r w:rsidR="00970366" w:rsidRPr="00005D20">
        <w:rPr>
          <w:rFonts w:ascii="Times New Roman" w:hAnsi="Times New Roman" w:cs="Times New Roman"/>
          <w:sz w:val="24"/>
          <w:szCs w:val="24"/>
        </w:rPr>
        <w:t xml:space="preserve">, </w:t>
      </w:r>
      <w:r w:rsidR="00D1173D">
        <w:rPr>
          <w:rFonts w:ascii="Times New Roman" w:hAnsi="Times New Roman" w:cs="Times New Roman"/>
          <w:sz w:val="24"/>
          <w:szCs w:val="24"/>
        </w:rPr>
        <w:t>we adopte</w:t>
      </w:r>
      <w:r w:rsidR="00FE676F">
        <w:rPr>
          <w:rFonts w:ascii="Times New Roman" w:hAnsi="Times New Roman" w:cs="Times New Roman"/>
          <w:sz w:val="24"/>
          <w:szCs w:val="24"/>
        </w:rPr>
        <w:t xml:space="preserve">d </w:t>
      </w:r>
      <w:r w:rsidR="00442AC4">
        <w:rPr>
          <w:rFonts w:ascii="Times New Roman" w:hAnsi="Times New Roman" w:cs="Times New Roman"/>
          <w:sz w:val="24"/>
          <w:szCs w:val="24"/>
        </w:rPr>
        <w:t>EGARCH model</w:t>
      </w:r>
      <w:r w:rsidR="00FE676F">
        <w:rPr>
          <w:rFonts w:ascii="Times New Roman" w:hAnsi="Times New Roman" w:cs="Times New Roman"/>
          <w:sz w:val="24"/>
          <w:szCs w:val="24"/>
        </w:rPr>
        <w:t xml:space="preserve"> but before the estimation we evaluated the impact of </w:t>
      </w:r>
      <w:r w:rsidR="00FE676F" w:rsidRPr="00005D20">
        <w:rPr>
          <w:rFonts w:ascii="Times New Roman" w:hAnsi="Times New Roman" w:cs="Times New Roman"/>
          <w:sz w:val="24"/>
          <w:szCs w:val="24"/>
        </w:rPr>
        <w:t>oil price</w:t>
      </w:r>
      <w:r w:rsidR="00FE676F">
        <w:rPr>
          <w:rFonts w:ascii="Times New Roman" w:hAnsi="Times New Roman" w:cs="Times New Roman"/>
          <w:sz w:val="24"/>
          <w:szCs w:val="24"/>
        </w:rPr>
        <w:t xml:space="preserve"> oscillation,</w:t>
      </w:r>
      <w:r w:rsidR="00FE676F" w:rsidRPr="00005D20">
        <w:rPr>
          <w:rFonts w:ascii="Times New Roman" w:hAnsi="Times New Roman" w:cs="Times New Roman"/>
          <w:sz w:val="24"/>
          <w:szCs w:val="24"/>
        </w:rPr>
        <w:t xml:space="preserve"> exchange rate</w:t>
      </w:r>
      <w:r w:rsidR="00FE676F">
        <w:rPr>
          <w:rFonts w:ascii="Times New Roman" w:hAnsi="Times New Roman" w:cs="Times New Roman"/>
          <w:sz w:val="24"/>
          <w:szCs w:val="24"/>
        </w:rPr>
        <w:t xml:space="preserve"> dynamics and economic performance.</w:t>
      </w:r>
      <w:r w:rsidR="00442AC4">
        <w:rPr>
          <w:rFonts w:ascii="Times New Roman" w:hAnsi="Times New Roman" w:cs="Times New Roman"/>
          <w:sz w:val="24"/>
          <w:szCs w:val="24"/>
        </w:rPr>
        <w:t xml:space="preserve"> </w:t>
      </w:r>
      <w:r w:rsidR="00970366" w:rsidRPr="00005D20">
        <w:rPr>
          <w:rFonts w:ascii="Times New Roman" w:hAnsi="Times New Roman" w:cs="Times New Roman"/>
          <w:sz w:val="24"/>
          <w:szCs w:val="24"/>
        </w:rPr>
        <w:t>It was observed that change</w:t>
      </w:r>
      <w:r w:rsidR="00FE676F">
        <w:rPr>
          <w:rFonts w:ascii="Times New Roman" w:hAnsi="Times New Roman" w:cs="Times New Roman"/>
          <w:sz w:val="24"/>
          <w:szCs w:val="24"/>
        </w:rPr>
        <w:t>s</w:t>
      </w:r>
      <w:r w:rsidR="00970366" w:rsidRPr="00005D20">
        <w:rPr>
          <w:rFonts w:ascii="Times New Roman" w:hAnsi="Times New Roman" w:cs="Times New Roman"/>
          <w:sz w:val="24"/>
          <w:szCs w:val="24"/>
        </w:rPr>
        <w:t xml:space="preserve"> in the </w:t>
      </w:r>
      <w:r w:rsidR="00FE676F">
        <w:rPr>
          <w:rFonts w:ascii="Times New Roman" w:hAnsi="Times New Roman" w:cs="Times New Roman"/>
          <w:sz w:val="24"/>
          <w:szCs w:val="24"/>
        </w:rPr>
        <w:t xml:space="preserve">oil </w:t>
      </w:r>
      <w:r w:rsidR="00970366" w:rsidRPr="00005D20">
        <w:rPr>
          <w:rFonts w:ascii="Times New Roman" w:hAnsi="Times New Roman" w:cs="Times New Roman"/>
          <w:sz w:val="24"/>
          <w:szCs w:val="24"/>
        </w:rPr>
        <w:t>price</w:t>
      </w:r>
      <w:r w:rsidR="00FE676F">
        <w:rPr>
          <w:rFonts w:ascii="Times New Roman" w:hAnsi="Times New Roman" w:cs="Times New Roman"/>
          <w:sz w:val="24"/>
          <w:szCs w:val="24"/>
        </w:rPr>
        <w:t>s</w:t>
      </w:r>
      <w:r w:rsidR="00970366" w:rsidRPr="00005D2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70366" w:rsidRPr="00005D20">
        <w:rPr>
          <w:rFonts w:ascii="Times New Roman" w:hAnsi="Times New Roman" w:cs="Times New Roman"/>
          <w:sz w:val="24"/>
          <w:szCs w:val="24"/>
        </w:rPr>
        <w:t>exchange rate</w:t>
      </w:r>
      <w:r w:rsidR="00FE676F">
        <w:rPr>
          <w:rFonts w:ascii="Times New Roman" w:hAnsi="Times New Roman" w:cs="Times New Roman"/>
          <w:sz w:val="24"/>
          <w:szCs w:val="24"/>
        </w:rPr>
        <w:t xml:space="preserve"> have significant and positive impact on real</w:t>
      </w:r>
      <w:r w:rsidR="00970366" w:rsidRPr="00005D20">
        <w:rPr>
          <w:rFonts w:ascii="Times New Roman" w:hAnsi="Times New Roman" w:cs="Times New Roman"/>
          <w:sz w:val="24"/>
          <w:szCs w:val="24"/>
        </w:rPr>
        <w:t xml:space="preserve"> GDP. Finally, the result further shows that oil </w:t>
      </w:r>
      <w:r w:rsidR="00FE676F">
        <w:rPr>
          <w:rFonts w:ascii="Times New Roman" w:hAnsi="Times New Roman" w:cs="Times New Roman"/>
          <w:sz w:val="24"/>
          <w:szCs w:val="24"/>
        </w:rPr>
        <w:t>price dynamic</w:t>
      </w:r>
      <w:r w:rsidR="00970366" w:rsidRPr="00005D20">
        <w:rPr>
          <w:rFonts w:ascii="Times New Roman" w:hAnsi="Times New Roman" w:cs="Times New Roman"/>
          <w:sz w:val="24"/>
          <w:szCs w:val="24"/>
        </w:rPr>
        <w:t xml:space="preserve"> however, </w:t>
      </w:r>
      <w:r w:rsidR="00FE676F" w:rsidRPr="00005D20">
        <w:rPr>
          <w:rFonts w:ascii="Times New Roman" w:hAnsi="Times New Roman" w:cs="Times New Roman"/>
          <w:sz w:val="24"/>
          <w:szCs w:val="24"/>
        </w:rPr>
        <w:t>contribute</w:t>
      </w:r>
      <w:r w:rsidR="00FE676F">
        <w:rPr>
          <w:rFonts w:ascii="Times New Roman" w:hAnsi="Times New Roman" w:cs="Times New Roman"/>
          <w:sz w:val="24"/>
          <w:szCs w:val="24"/>
        </w:rPr>
        <w:t>d</w:t>
      </w:r>
      <w:r w:rsidR="00970366" w:rsidRPr="00005D20">
        <w:rPr>
          <w:rFonts w:ascii="Times New Roman" w:hAnsi="Times New Roman" w:cs="Times New Roman"/>
          <w:sz w:val="24"/>
          <w:szCs w:val="24"/>
        </w:rPr>
        <w:t xml:space="preserve"> to the </w:t>
      </w:r>
      <w:r w:rsidR="00FE676F">
        <w:rPr>
          <w:rFonts w:ascii="Times New Roman" w:hAnsi="Times New Roman" w:cs="Times New Roman"/>
          <w:sz w:val="24"/>
          <w:szCs w:val="24"/>
        </w:rPr>
        <w:t xml:space="preserve">high </w:t>
      </w:r>
      <w:r w:rsidR="00970366" w:rsidRPr="00005D20">
        <w:rPr>
          <w:rFonts w:ascii="Times New Roman" w:hAnsi="Times New Roman" w:cs="Times New Roman"/>
          <w:sz w:val="24"/>
          <w:szCs w:val="24"/>
        </w:rPr>
        <w:t>volat</w:t>
      </w:r>
      <w:r w:rsidR="00FE676F">
        <w:rPr>
          <w:rFonts w:ascii="Times New Roman" w:hAnsi="Times New Roman" w:cs="Times New Roman"/>
          <w:sz w:val="24"/>
          <w:szCs w:val="24"/>
        </w:rPr>
        <w:t xml:space="preserve">ility </w:t>
      </w:r>
      <w:r w:rsidR="00970366" w:rsidRPr="00005D20">
        <w:rPr>
          <w:rFonts w:ascii="Times New Roman" w:hAnsi="Times New Roman" w:cs="Times New Roman"/>
          <w:sz w:val="24"/>
          <w:szCs w:val="24"/>
        </w:rPr>
        <w:t xml:space="preserve">in the exchange </w:t>
      </w:r>
      <w:r w:rsidR="00FE676F">
        <w:rPr>
          <w:rFonts w:ascii="Times New Roman" w:hAnsi="Times New Roman" w:cs="Times New Roman"/>
          <w:sz w:val="24"/>
          <w:szCs w:val="24"/>
        </w:rPr>
        <w:t>rate</w:t>
      </w:r>
      <w:r w:rsidR="00970366" w:rsidRPr="00005D20">
        <w:rPr>
          <w:rFonts w:ascii="Times New Roman" w:hAnsi="Times New Roman" w:cs="Times New Roman"/>
          <w:sz w:val="24"/>
          <w:szCs w:val="24"/>
        </w:rPr>
        <w:t>.</w:t>
      </w:r>
      <w:r w:rsidR="00FE676F">
        <w:rPr>
          <w:rFonts w:ascii="Times New Roman" w:hAnsi="Times New Roman" w:cs="Times New Roman"/>
          <w:sz w:val="24"/>
          <w:szCs w:val="24"/>
        </w:rPr>
        <w:t xml:space="preserve"> Given the findings, </w:t>
      </w:r>
      <w:r>
        <w:rPr>
          <w:rFonts w:ascii="Times New Roman" w:hAnsi="Times New Roman" w:cs="Times New Roman"/>
          <w:sz w:val="24"/>
          <w:szCs w:val="24"/>
        </w:rPr>
        <w:t>th</w:t>
      </w:r>
      <w:r w:rsidR="00970366" w:rsidRPr="00005D20">
        <w:rPr>
          <w:rFonts w:ascii="Times New Roman" w:hAnsi="Times New Roman" w:cs="Times New Roman"/>
          <w:sz w:val="24"/>
          <w:szCs w:val="24"/>
        </w:rPr>
        <w:t xml:space="preserve">e </w:t>
      </w:r>
      <w:r>
        <w:rPr>
          <w:rFonts w:ascii="Times New Roman" w:hAnsi="Times New Roman" w:cs="Times New Roman"/>
          <w:sz w:val="24"/>
          <w:szCs w:val="24"/>
        </w:rPr>
        <w:t xml:space="preserve">study </w:t>
      </w:r>
      <w:r w:rsidR="00FE676F">
        <w:rPr>
          <w:rFonts w:ascii="Times New Roman" w:hAnsi="Times New Roman" w:cs="Times New Roman"/>
          <w:sz w:val="24"/>
          <w:szCs w:val="24"/>
        </w:rPr>
        <w:t>argued</w:t>
      </w:r>
      <w:r w:rsidR="00970366" w:rsidRPr="00005D20">
        <w:rPr>
          <w:rFonts w:ascii="Times New Roman" w:hAnsi="Times New Roman" w:cs="Times New Roman"/>
          <w:sz w:val="24"/>
          <w:szCs w:val="24"/>
        </w:rPr>
        <w:t xml:space="preserve"> that  the shock effect between oil price and exchange rate is relatively not significant in the long run, in explaining the reasons for volatility in exchange rate as re</w:t>
      </w:r>
      <w:r>
        <w:rPr>
          <w:rFonts w:ascii="Times New Roman" w:hAnsi="Times New Roman" w:cs="Times New Roman"/>
          <w:sz w:val="24"/>
          <w:szCs w:val="24"/>
        </w:rPr>
        <w:t>presented in the  EGARCH result</w:t>
      </w:r>
      <w:r w:rsidR="00FE676F">
        <w:rPr>
          <w:rFonts w:ascii="Times New Roman" w:hAnsi="Times New Roman" w:cs="Times New Roman"/>
          <w:sz w:val="24"/>
          <w:szCs w:val="24"/>
        </w:rPr>
        <w:t>s</w:t>
      </w:r>
      <w:r w:rsidR="00970366" w:rsidRPr="00005D20">
        <w:rPr>
          <w:rFonts w:ascii="Times New Roman" w:hAnsi="Times New Roman" w:cs="Times New Roman"/>
          <w:sz w:val="24"/>
          <w:szCs w:val="24"/>
        </w:rPr>
        <w:t xml:space="preserve">. </w:t>
      </w:r>
      <w:r w:rsidR="00FE676F">
        <w:rPr>
          <w:rFonts w:ascii="Times New Roman" w:hAnsi="Times New Roman" w:cs="Times New Roman"/>
          <w:sz w:val="24"/>
          <w:szCs w:val="24"/>
        </w:rPr>
        <w:t xml:space="preserve">Also, we found </w:t>
      </w:r>
      <w:r w:rsidR="00FE676F" w:rsidRPr="00005D20">
        <w:rPr>
          <w:rFonts w:ascii="Times New Roman" w:hAnsi="Times New Roman" w:cs="Times New Roman"/>
          <w:sz w:val="24"/>
          <w:szCs w:val="24"/>
        </w:rPr>
        <w:t xml:space="preserve">no causal relationship between exchange rate </w:t>
      </w:r>
      <w:r w:rsidR="002A32D7">
        <w:rPr>
          <w:rFonts w:ascii="Times New Roman" w:hAnsi="Times New Roman" w:cs="Times New Roman"/>
          <w:sz w:val="24"/>
          <w:szCs w:val="24"/>
        </w:rPr>
        <w:t>dynamics</w:t>
      </w:r>
      <w:r w:rsidR="00FE676F" w:rsidRPr="00005D20">
        <w:rPr>
          <w:rFonts w:ascii="Times New Roman" w:hAnsi="Times New Roman" w:cs="Times New Roman"/>
          <w:sz w:val="24"/>
          <w:szCs w:val="24"/>
        </w:rPr>
        <w:t xml:space="preserve"> and oil price </w:t>
      </w:r>
      <w:r w:rsidR="002A32D7">
        <w:rPr>
          <w:rFonts w:ascii="Times New Roman" w:hAnsi="Times New Roman" w:cs="Times New Roman"/>
          <w:sz w:val="24"/>
          <w:szCs w:val="24"/>
        </w:rPr>
        <w:t>oscillation</w:t>
      </w:r>
      <w:r w:rsidR="00FE676F">
        <w:rPr>
          <w:rFonts w:ascii="Times New Roman" w:hAnsi="Times New Roman" w:cs="Times New Roman"/>
          <w:sz w:val="24"/>
          <w:szCs w:val="24"/>
        </w:rPr>
        <w:t xml:space="preserve"> from </w:t>
      </w:r>
      <w:r w:rsidR="00970366" w:rsidRPr="00005D20">
        <w:rPr>
          <w:rFonts w:ascii="Times New Roman" w:hAnsi="Times New Roman" w:cs="Times New Roman"/>
          <w:sz w:val="24"/>
          <w:szCs w:val="24"/>
        </w:rPr>
        <w:t xml:space="preserve">the causality test carried out. </w:t>
      </w:r>
    </w:p>
    <w:p w:rsidR="00E117A6" w:rsidRDefault="00E117A6" w:rsidP="00E117A6">
      <w:pPr>
        <w:spacing w:after="0" w:line="240" w:lineRule="auto"/>
        <w:jc w:val="both"/>
        <w:rPr>
          <w:rFonts w:ascii="Times New Roman" w:hAnsi="Times New Roman" w:cs="Times New Roman"/>
          <w:sz w:val="24"/>
          <w:szCs w:val="24"/>
        </w:rPr>
      </w:pPr>
    </w:p>
    <w:p w:rsidR="00C63141" w:rsidRDefault="00C63141" w:rsidP="00E117A6">
      <w:pPr>
        <w:spacing w:after="0" w:line="240" w:lineRule="auto"/>
        <w:jc w:val="both"/>
        <w:rPr>
          <w:rFonts w:ascii="Times New Roman" w:hAnsi="Times New Roman" w:cs="Times New Roman"/>
          <w:sz w:val="24"/>
          <w:szCs w:val="24"/>
        </w:rPr>
      </w:pPr>
    </w:p>
    <w:p w:rsidR="00C63141" w:rsidRDefault="00C63141" w:rsidP="00E117A6">
      <w:pPr>
        <w:spacing w:after="0" w:line="240" w:lineRule="auto"/>
        <w:jc w:val="both"/>
        <w:rPr>
          <w:rFonts w:ascii="Times New Roman" w:hAnsi="Times New Roman" w:cs="Times New Roman"/>
          <w:sz w:val="24"/>
          <w:szCs w:val="24"/>
        </w:rPr>
      </w:pPr>
    </w:p>
    <w:p w:rsidR="00C63141" w:rsidRDefault="00C63141" w:rsidP="00E117A6">
      <w:pPr>
        <w:spacing w:after="0" w:line="240" w:lineRule="auto"/>
        <w:jc w:val="both"/>
        <w:rPr>
          <w:rFonts w:ascii="Times New Roman" w:hAnsi="Times New Roman" w:cs="Times New Roman"/>
          <w:sz w:val="24"/>
          <w:szCs w:val="24"/>
        </w:rPr>
      </w:pPr>
    </w:p>
    <w:p w:rsidR="00C63141" w:rsidRDefault="00C63141" w:rsidP="00E117A6">
      <w:pPr>
        <w:spacing w:after="0" w:line="240" w:lineRule="auto"/>
        <w:jc w:val="both"/>
        <w:rPr>
          <w:rFonts w:ascii="Times New Roman" w:hAnsi="Times New Roman" w:cs="Times New Roman"/>
          <w:sz w:val="24"/>
          <w:szCs w:val="24"/>
        </w:rPr>
      </w:pPr>
    </w:p>
    <w:p w:rsidR="00442AC4" w:rsidRDefault="00442AC4" w:rsidP="00E117A6">
      <w:pPr>
        <w:spacing w:after="0" w:line="240" w:lineRule="auto"/>
        <w:jc w:val="both"/>
        <w:rPr>
          <w:rFonts w:ascii="Times New Roman" w:hAnsi="Times New Roman" w:cs="Times New Roman"/>
          <w:b/>
          <w:sz w:val="24"/>
          <w:szCs w:val="24"/>
        </w:rPr>
      </w:pPr>
      <w:r w:rsidRPr="00E117A6">
        <w:rPr>
          <w:rFonts w:ascii="Times New Roman" w:hAnsi="Times New Roman" w:cs="Times New Roman"/>
          <w:b/>
          <w:sz w:val="24"/>
          <w:szCs w:val="24"/>
        </w:rPr>
        <w:lastRenderedPageBreak/>
        <w:t>Reference</w:t>
      </w:r>
      <w:r w:rsidR="00E117A6">
        <w:rPr>
          <w:rFonts w:ascii="Times New Roman" w:hAnsi="Times New Roman" w:cs="Times New Roman"/>
          <w:b/>
          <w:sz w:val="24"/>
          <w:szCs w:val="24"/>
        </w:rPr>
        <w:t>:</w:t>
      </w:r>
    </w:p>
    <w:p w:rsidR="00EB7B81" w:rsidRPr="0081202E" w:rsidRDefault="00EB7B81" w:rsidP="0081202E">
      <w:pPr>
        <w:spacing w:after="0" w:line="240" w:lineRule="auto"/>
        <w:jc w:val="both"/>
        <w:rPr>
          <w:rFonts w:ascii="Times New Roman" w:hAnsi="Times New Roman" w:cs="Times New Roman"/>
          <w:b/>
          <w:sz w:val="14"/>
          <w:szCs w:val="24"/>
        </w:rPr>
      </w:pP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Adelowokan, O. A. (2012), “Exchange Rate Pass-Through in Nigeria: A Dynamic Evidence” </w:t>
      </w:r>
      <w:r w:rsidRPr="006F5312">
        <w:rPr>
          <w:rFonts w:ascii="Times New Roman" w:hAnsi="Times New Roman" w:cs="Times New Roman"/>
          <w:i/>
          <w:sz w:val="24"/>
          <w:szCs w:val="24"/>
        </w:rPr>
        <w:t>European Journal of humanities and social sciences</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 xml:space="preserve">Vol. 16, No.1. pp. </w:t>
      </w:r>
      <w:r w:rsidRPr="006F5312">
        <w:rPr>
          <w:rFonts w:ascii="Times New Roman" w:hAnsi="Times New Roman" w:cs="Times New Roman"/>
          <w:i/>
          <w:iCs/>
          <w:sz w:val="24"/>
          <w:szCs w:val="24"/>
        </w:rPr>
        <w:t>2039</w:t>
      </w:r>
      <w:r w:rsidRPr="006F5312">
        <w:rPr>
          <w:rFonts w:ascii="Cambria Math" w:hAnsi="Cambria Math" w:cs="Times New Roman"/>
          <w:i/>
          <w:iCs/>
          <w:sz w:val="24"/>
          <w:szCs w:val="24"/>
        </w:rPr>
        <w:t>‐</w:t>
      </w:r>
      <w:r w:rsidRPr="006F5312">
        <w:rPr>
          <w:rFonts w:ascii="Times New Roman" w:hAnsi="Times New Roman" w:cs="Times New Roman"/>
          <w:i/>
          <w:iCs/>
          <w:sz w:val="24"/>
          <w:szCs w:val="24"/>
        </w:rPr>
        <w:t xml:space="preserve">2117 </w:t>
      </w:r>
    </w:p>
    <w:p w:rsidR="006F5312" w:rsidRPr="006F5312" w:rsidRDefault="006F5312" w:rsidP="006F5312">
      <w:pPr>
        <w:pStyle w:val="Default"/>
        <w:ind w:left="720" w:hanging="720"/>
        <w:jc w:val="both"/>
        <w:rPr>
          <w:rFonts w:ascii="Times New Roman" w:hAnsi="Times New Roman" w:cs="Times New Roman"/>
          <w:i/>
          <w:iCs/>
          <w:color w:val="auto"/>
        </w:rPr>
      </w:pPr>
      <w:r w:rsidRPr="006F5312">
        <w:rPr>
          <w:rFonts w:ascii="Times New Roman" w:hAnsi="Times New Roman" w:cs="Times New Roman"/>
          <w:bCs/>
          <w:color w:val="auto"/>
        </w:rPr>
        <w:t xml:space="preserve">Adeniran, J. O., Yusuf, S. A and Adeyemi, O. A (2014), “The Impact of exchange rate fluctuation on the Nigerian economic growth: an empirical investigation” </w:t>
      </w:r>
      <w:r w:rsidRPr="006F5312">
        <w:rPr>
          <w:rFonts w:ascii="Times New Roman" w:hAnsi="Times New Roman" w:cs="Times New Roman"/>
          <w:bCs/>
          <w:i/>
          <w:iCs/>
          <w:color w:val="auto"/>
        </w:rPr>
        <w:t>International journal of academic research in business and social sciences,</w:t>
      </w:r>
      <w:r w:rsidRPr="006F5312">
        <w:rPr>
          <w:rFonts w:ascii="Times New Roman" w:hAnsi="Times New Roman" w:cs="Times New Roman"/>
          <w:i/>
          <w:iCs/>
          <w:color w:val="auto"/>
        </w:rPr>
        <w:t xml:space="preserve"> Vol. 4, No. 8. </w:t>
      </w:r>
      <w:r w:rsidRPr="006F5312">
        <w:rPr>
          <w:rFonts w:ascii="Times New Roman" w:hAnsi="Times New Roman" w:cs="Times New Roman"/>
          <w:color w:val="auto"/>
        </w:rPr>
        <w:t>10.6007/IJARBSS/v4-i8/1091</w:t>
      </w:r>
    </w:p>
    <w:p w:rsidR="006F5312" w:rsidRPr="006F5312" w:rsidRDefault="006F5312" w:rsidP="006F5312">
      <w:pPr>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 xml:space="preserve">Akpan, E.O. and Atan J.A. (2012), “Effects of Exchange Rate Movements on Economic Growth in Nigeria”. </w:t>
      </w:r>
      <w:r w:rsidRPr="006F5312">
        <w:rPr>
          <w:rFonts w:ascii="Times New Roman" w:hAnsi="Times New Roman" w:cs="Times New Roman"/>
          <w:i/>
          <w:iCs/>
          <w:sz w:val="24"/>
          <w:szCs w:val="24"/>
        </w:rPr>
        <w:t xml:space="preserve">CBN Journal of Applied Statistics. </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Vol.2. No.2, pp 1-14.</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Akram, Q. F. (2004), “</w:t>
      </w:r>
      <w:r w:rsidRPr="006F5312">
        <w:rPr>
          <w:rFonts w:ascii="Times New Roman" w:hAnsi="Times New Roman" w:cs="Times New Roman"/>
          <w:iCs/>
          <w:sz w:val="24"/>
          <w:szCs w:val="24"/>
        </w:rPr>
        <w:t>Oil prices and exchange rates: Norwegian evidence”</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The Econometrics Journal, vol. 7, pp. 476–504</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AL-Ezzee, I. (2011), “</w:t>
      </w:r>
      <w:r w:rsidRPr="006F5312">
        <w:rPr>
          <w:rFonts w:ascii="Times New Roman" w:hAnsi="Times New Roman" w:cs="Times New Roman"/>
          <w:iCs/>
          <w:sz w:val="24"/>
          <w:szCs w:val="24"/>
        </w:rPr>
        <w:t>Real influences of Real Exchange rate and Oil price changes on the growth of real GDP: Case of Bahrain”</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International Conference of Management and service science IPEDR, vol.8</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Aliyu, S.U.R (2009), “Impact of Oil Price Shock and Exchange Rate Volatility on Economic Growth in Nigeria: An Empirical Investigation” </w:t>
      </w:r>
      <w:hyperlink r:id="rId25" w:history="1">
        <w:r w:rsidRPr="006F5312">
          <w:rPr>
            <w:rStyle w:val="Hyperlink"/>
            <w:rFonts w:ascii="Times New Roman" w:hAnsi="Times New Roman" w:cs="Times New Roman"/>
            <w:color w:val="auto"/>
            <w:sz w:val="24"/>
            <w:szCs w:val="24"/>
            <w:u w:val="none"/>
          </w:rPr>
          <w:t>https://www.researchgate.net/publication/46446788</w:t>
        </w:r>
      </w:hyperlink>
      <w:r w:rsidRPr="006F5312">
        <w:rPr>
          <w:rFonts w:ascii="Times New Roman" w:hAnsi="Times New Roman" w:cs="Times New Roman"/>
          <w:sz w:val="24"/>
          <w:szCs w:val="24"/>
        </w:rPr>
        <w:t xml:space="preserve"> </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Aliyu, S.U.R (2009), “Oil Price Shocks and the Macro-Economy in Nigeria: A Nonlinear Approach” , MPRA Paper No. 18726: </w:t>
      </w:r>
      <w:hyperlink r:id="rId26" w:history="1">
        <w:r w:rsidRPr="006F5312">
          <w:rPr>
            <w:rStyle w:val="Hyperlink"/>
            <w:rFonts w:ascii="Times New Roman" w:hAnsi="Times New Roman" w:cs="Times New Roman"/>
            <w:color w:val="auto"/>
            <w:sz w:val="24"/>
            <w:szCs w:val="24"/>
            <w:u w:val="none"/>
          </w:rPr>
          <w:t>http://mpra.ub.unimuenchen.de/18726/</w:t>
        </w:r>
      </w:hyperlink>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Aliyu, S.U.R; Yakub, M.U; Sanni G.K and Duke O.O (2009), “Exchange Rate Pass-through in Nigeria: Evidence from a vector Error Correction Model” </w:t>
      </w:r>
      <w:r w:rsidRPr="006F5312">
        <w:rPr>
          <w:rFonts w:ascii="Times New Roman" w:hAnsi="Times New Roman" w:cs="Times New Roman"/>
          <w:i/>
          <w:iCs/>
          <w:sz w:val="24"/>
          <w:szCs w:val="24"/>
        </w:rPr>
        <w:t>Paper presented at the CSAE conference, Oxford University, UK.</w:t>
      </w:r>
      <w:r w:rsidRPr="006F5312">
        <w:rPr>
          <w:rFonts w:ascii="Times New Roman" w:hAnsi="Times New Roman" w:cs="Times New Roman"/>
          <w:sz w:val="24"/>
          <w:szCs w:val="24"/>
        </w:rPr>
        <w:t xml:space="preserve">“Africa’s Sub-Groups”, </w:t>
      </w:r>
      <w:r w:rsidRPr="006F5312">
        <w:rPr>
          <w:rFonts w:ascii="Times New Roman" w:hAnsi="Times New Roman" w:cs="Times New Roman"/>
          <w:i/>
          <w:iCs/>
          <w:sz w:val="24"/>
          <w:szCs w:val="24"/>
        </w:rPr>
        <w:t>The International Trade Journal</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Vol 27, No 4, pp 349-384</w:t>
      </w:r>
      <w:r w:rsidRPr="006F5312">
        <w:rPr>
          <w:rFonts w:ascii="Times New Roman" w:hAnsi="Times New Roman" w:cs="Times New Roman"/>
          <w:sz w:val="24"/>
          <w:szCs w:val="24"/>
        </w:rPr>
        <w:t xml:space="preserve"> </w:t>
      </w:r>
    </w:p>
    <w:p w:rsidR="006F5312" w:rsidRPr="006F5312" w:rsidRDefault="006F5312" w:rsidP="006F5312">
      <w:pPr>
        <w:autoSpaceDE w:val="0"/>
        <w:autoSpaceDN w:val="0"/>
        <w:adjustRightInd w:val="0"/>
        <w:spacing w:after="0" w:line="240" w:lineRule="auto"/>
        <w:rPr>
          <w:rFonts w:ascii="Times New Roman" w:hAnsi="Times New Roman" w:cs="Times New Roman"/>
          <w:sz w:val="24"/>
          <w:szCs w:val="24"/>
        </w:rPr>
      </w:pPr>
      <w:r w:rsidRPr="006F5312">
        <w:rPr>
          <w:rFonts w:ascii="Times New Roman" w:hAnsi="Times New Roman" w:cs="Times New Roman"/>
          <w:sz w:val="24"/>
          <w:szCs w:val="24"/>
        </w:rPr>
        <w:t>Amano, R and Norden, S (1995), “</w:t>
      </w:r>
      <w:r w:rsidRPr="006F5312">
        <w:rPr>
          <w:rFonts w:ascii="Times New Roman" w:hAnsi="Times New Roman" w:cs="Times New Roman"/>
          <w:iCs/>
          <w:sz w:val="24"/>
          <w:szCs w:val="24"/>
        </w:rPr>
        <w:t>Exchange Rate and Oil Price</w:t>
      </w:r>
      <w:r w:rsidRPr="006F5312">
        <w:rPr>
          <w:rFonts w:ascii="Times New Roman" w:hAnsi="Times New Roman" w:cs="Times New Roman"/>
          <w:sz w:val="24"/>
          <w:szCs w:val="24"/>
        </w:rPr>
        <w:t>”, Bank of Canada working</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Bagella, M., Becchetti, L and Hasan, I (2006), “</w:t>
      </w:r>
      <w:r w:rsidRPr="006F5312">
        <w:rPr>
          <w:rFonts w:ascii="Times New Roman" w:hAnsi="Times New Roman" w:cs="Times New Roman"/>
          <w:i/>
          <w:iCs/>
          <w:sz w:val="24"/>
          <w:szCs w:val="24"/>
        </w:rPr>
        <w:t>Real effective exchange rate volatility and growth: A framework to measure advantages of flexibility vs. costs of volatility</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J. Bank Finance 30 (2006) 1149-169.</w:t>
      </w:r>
    </w:p>
    <w:p w:rsidR="006F5312" w:rsidRPr="006F5312" w:rsidRDefault="006F5312" w:rsidP="006F5312">
      <w:pPr>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 xml:space="preserve">Bakare A.S. (2011), “The Consequences Of Foreign Exchange Rate Reforms On The Performances Of Private Domestic Investment In Nigeria.” </w:t>
      </w:r>
      <w:r w:rsidRPr="006F5312">
        <w:rPr>
          <w:rFonts w:ascii="Times New Roman" w:hAnsi="Times New Roman" w:cs="Times New Roman"/>
          <w:i/>
          <w:sz w:val="24"/>
          <w:szCs w:val="24"/>
        </w:rPr>
        <w:t>International journal of Economics and management Vol.1, NO.1, 2011, PP.55-31</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Cashin, P., Céspedes, L. F and Sahay, R (2004) “</w:t>
      </w:r>
      <w:r w:rsidRPr="006F5312">
        <w:rPr>
          <w:rFonts w:ascii="Times New Roman" w:hAnsi="Times New Roman" w:cs="Times New Roman"/>
          <w:i/>
          <w:iCs/>
          <w:sz w:val="24"/>
          <w:szCs w:val="24"/>
        </w:rPr>
        <w:t>Commodity currencies and the real Exchange rate,</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Journal of Development Economics, Vol. 75, 239–268</w:t>
      </w:r>
    </w:p>
    <w:p w:rsidR="006F5312" w:rsidRPr="006F5312" w:rsidRDefault="006F5312" w:rsidP="006F5312">
      <w:pPr>
        <w:spacing w:after="0" w:line="240" w:lineRule="auto"/>
        <w:ind w:left="720" w:hanging="720"/>
        <w:rPr>
          <w:rFonts w:ascii="Times New Roman" w:hAnsi="Times New Roman" w:cs="Times New Roman"/>
          <w:sz w:val="24"/>
          <w:szCs w:val="24"/>
        </w:rPr>
      </w:pPr>
      <w:r w:rsidRPr="006F5312">
        <w:rPr>
          <w:rFonts w:ascii="Times New Roman" w:hAnsi="Times New Roman" w:cs="Times New Roman"/>
          <w:bCs/>
          <w:iCs/>
          <w:sz w:val="24"/>
          <w:szCs w:val="24"/>
        </w:rPr>
        <w:t xml:space="preserve">CBN (2013), </w:t>
      </w:r>
      <w:r w:rsidRPr="0096425C">
        <w:rPr>
          <w:rFonts w:ascii="Times New Roman" w:hAnsi="Times New Roman" w:cs="Times New Roman"/>
          <w:bCs/>
          <w:iCs/>
          <w:sz w:val="24"/>
          <w:szCs w:val="24"/>
        </w:rPr>
        <w:t xml:space="preserve">Quarterly Statistical Bulletin </w:t>
      </w:r>
      <w:r w:rsidRPr="006F5312">
        <w:rPr>
          <w:rFonts w:ascii="Times New Roman" w:hAnsi="Times New Roman" w:cs="Times New Roman"/>
          <w:bCs/>
          <w:iCs/>
          <w:sz w:val="24"/>
          <w:szCs w:val="24"/>
        </w:rPr>
        <w:t>Quarter One</w:t>
      </w:r>
    </w:p>
    <w:p w:rsidR="006F5312" w:rsidRPr="006F5312" w:rsidRDefault="006F5312" w:rsidP="006F5312">
      <w:pPr>
        <w:autoSpaceDE w:val="0"/>
        <w:autoSpaceDN w:val="0"/>
        <w:adjustRightInd w:val="0"/>
        <w:spacing w:after="0" w:line="240" w:lineRule="auto"/>
        <w:rPr>
          <w:rFonts w:ascii="Times New Roman" w:hAnsi="Times New Roman" w:cs="Times New Roman"/>
          <w:i/>
          <w:sz w:val="24"/>
          <w:szCs w:val="24"/>
        </w:rPr>
      </w:pPr>
      <w:r w:rsidRPr="006F5312">
        <w:rPr>
          <w:rFonts w:ascii="Times New Roman" w:hAnsi="Times New Roman" w:cs="Times New Roman"/>
          <w:sz w:val="24"/>
          <w:szCs w:val="24"/>
        </w:rPr>
        <w:t xml:space="preserve">Chen, H and Chen, C (2007), </w:t>
      </w:r>
      <w:r w:rsidRPr="006F5312">
        <w:rPr>
          <w:rFonts w:ascii="Times New Roman" w:hAnsi="Times New Roman" w:cs="Times New Roman"/>
          <w:i/>
          <w:sz w:val="24"/>
          <w:szCs w:val="24"/>
        </w:rPr>
        <w:t>“</w:t>
      </w:r>
      <w:r w:rsidRPr="006F5312">
        <w:rPr>
          <w:rFonts w:ascii="Times New Roman" w:hAnsi="Times New Roman" w:cs="Times New Roman"/>
          <w:iCs/>
          <w:sz w:val="24"/>
          <w:szCs w:val="24"/>
        </w:rPr>
        <w:t>Oil Prices and Real Exchange Rate</w:t>
      </w:r>
      <w:r w:rsidRPr="006F5312">
        <w:rPr>
          <w:rFonts w:ascii="Times New Roman" w:hAnsi="Times New Roman" w:cs="Times New Roman"/>
          <w:i/>
          <w:iCs/>
          <w:sz w:val="24"/>
          <w:szCs w:val="24"/>
        </w:rPr>
        <w:t>”</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Energy Economics, Vol.29,</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Choudhri, E. U and Mohsin S. Khan, M. S (2004), “</w:t>
      </w:r>
      <w:r w:rsidRPr="006F5312">
        <w:rPr>
          <w:rFonts w:ascii="Times New Roman" w:hAnsi="Times New Roman" w:cs="Times New Roman"/>
          <w:bCs/>
          <w:sz w:val="24"/>
          <w:szCs w:val="24"/>
        </w:rPr>
        <w:t xml:space="preserve">Real Exchange Rates in Developing Countries: Are Balassa-Samuelson Effects Present? IMF Working Paper, </w:t>
      </w:r>
      <w:r w:rsidRPr="006F5312">
        <w:rPr>
          <w:rFonts w:ascii="Times New Roman" w:hAnsi="Times New Roman" w:cs="Times New Roman"/>
          <w:sz w:val="24"/>
          <w:szCs w:val="24"/>
        </w:rPr>
        <w:t>WP/04/188</w:t>
      </w:r>
    </w:p>
    <w:p w:rsidR="006F5312" w:rsidRPr="006F5312" w:rsidRDefault="006F5312" w:rsidP="006F5312">
      <w:pPr>
        <w:autoSpaceDE w:val="0"/>
        <w:autoSpaceDN w:val="0"/>
        <w:adjustRightInd w:val="0"/>
        <w:spacing w:after="0" w:line="240" w:lineRule="auto"/>
        <w:ind w:left="720" w:hanging="720"/>
        <w:rPr>
          <w:rStyle w:val="t"/>
          <w:rFonts w:ascii="Times New Roman" w:hAnsi="Times New Roman" w:cs="Times New Roman"/>
          <w:sz w:val="24"/>
          <w:szCs w:val="24"/>
        </w:rPr>
      </w:pPr>
      <w:r w:rsidRPr="006F5312">
        <w:rPr>
          <w:rFonts w:ascii="Times New Roman" w:eastAsia="Times New Roman" w:hAnsi="Times New Roman" w:cs="Times New Roman"/>
          <w:bCs/>
          <w:kern w:val="36"/>
          <w:sz w:val="24"/>
          <w:szCs w:val="24"/>
        </w:rPr>
        <w:t>Clarida, R., Gali, J and Gertler, M (1999), “</w:t>
      </w:r>
      <w:r w:rsidRPr="006F5312">
        <w:rPr>
          <w:rStyle w:val="t"/>
          <w:rFonts w:ascii="Times New Roman" w:hAnsi="Times New Roman" w:cs="Times New Roman"/>
          <w:sz w:val="24"/>
          <w:szCs w:val="24"/>
        </w:rPr>
        <w:t>The Science of Monetary Policy: A New Keynesian Perspective”</w:t>
      </w:r>
      <w:r w:rsidRPr="006F5312">
        <w:rPr>
          <w:rStyle w:val="t"/>
          <w:rFonts w:ascii="Times New Roman" w:hAnsi="Times New Roman" w:cs="Times New Roman"/>
          <w:i/>
          <w:sz w:val="24"/>
          <w:szCs w:val="24"/>
        </w:rPr>
        <w:t xml:space="preserve">. </w:t>
      </w:r>
      <w:r w:rsidRPr="006F5312">
        <w:rPr>
          <w:rFonts w:ascii="Times New Roman" w:hAnsi="Times New Roman" w:cs="Times New Roman"/>
          <w:i/>
          <w:iCs/>
          <w:sz w:val="24"/>
          <w:szCs w:val="24"/>
        </w:rPr>
        <w:t>Journal of Economic Literature</w:t>
      </w:r>
      <w:r w:rsidRPr="006F5312">
        <w:rPr>
          <w:rFonts w:ascii="Times New Roman" w:eastAsia="Times New Roman" w:hAnsi="Times New Roman" w:cs="Times New Roman"/>
          <w:bCs/>
          <w:i/>
          <w:kern w:val="36"/>
          <w:sz w:val="24"/>
          <w:szCs w:val="24"/>
        </w:rPr>
        <w:t xml:space="preserve">, </w:t>
      </w:r>
      <w:r w:rsidRPr="006F5312">
        <w:rPr>
          <w:rStyle w:val="t"/>
          <w:rFonts w:ascii="Times New Roman" w:hAnsi="Times New Roman" w:cs="Times New Roman"/>
          <w:i/>
          <w:sz w:val="24"/>
          <w:szCs w:val="24"/>
        </w:rPr>
        <w:t>Vol. XXXVII, pp. 1661–1707</w:t>
      </w:r>
    </w:p>
    <w:p w:rsidR="006F5312" w:rsidRPr="006F5312" w:rsidRDefault="006F5312" w:rsidP="006F5312">
      <w:pPr>
        <w:spacing w:after="0" w:line="240" w:lineRule="auto"/>
        <w:ind w:left="720" w:hanging="720"/>
        <w:rPr>
          <w:rFonts w:ascii="Times New Roman" w:hAnsi="Times New Roman" w:cs="Times New Roman"/>
          <w:i/>
          <w:sz w:val="24"/>
          <w:szCs w:val="24"/>
        </w:rPr>
      </w:pPr>
      <w:r w:rsidRPr="006F5312">
        <w:rPr>
          <w:rFonts w:ascii="Times New Roman" w:hAnsi="Times New Roman" w:cs="Times New Roman"/>
          <w:sz w:val="24"/>
          <w:szCs w:val="24"/>
        </w:rPr>
        <w:t xml:space="preserve">Dada, E. A and Oyeranti, O. A (2012), “Exchange rate and macroeconomic aggregates in Nigeria” </w:t>
      </w:r>
      <w:r w:rsidRPr="006F5312">
        <w:rPr>
          <w:rFonts w:ascii="Times New Roman" w:hAnsi="Times New Roman" w:cs="Times New Roman"/>
          <w:i/>
          <w:sz w:val="24"/>
          <w:szCs w:val="24"/>
        </w:rPr>
        <w:t>Journal of Economics and Sustainable</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Development, 3(2): pp.93-10</w:t>
      </w:r>
    </w:p>
    <w:p w:rsidR="006F5312" w:rsidRPr="006F5312" w:rsidRDefault="006F5312" w:rsidP="006F5312">
      <w:pPr>
        <w:spacing w:after="0" w:line="240" w:lineRule="auto"/>
        <w:ind w:left="720" w:hanging="720"/>
        <w:jc w:val="both"/>
        <w:rPr>
          <w:rFonts w:ascii="Times New Roman" w:hAnsi="Times New Roman" w:cs="Times New Roman"/>
          <w:bCs/>
          <w:sz w:val="24"/>
          <w:szCs w:val="24"/>
        </w:rPr>
      </w:pPr>
      <w:r w:rsidRPr="006F5312">
        <w:rPr>
          <w:rFonts w:ascii="Times New Roman" w:hAnsi="Times New Roman" w:cs="Times New Roman"/>
          <w:bCs/>
          <w:sz w:val="24"/>
          <w:szCs w:val="24"/>
        </w:rPr>
        <w:t xml:space="preserve">Dickson, O. O. (2012) “Exchange Rate Volatility and Economic Growth In Nigeria” </w:t>
      </w:r>
      <w:r w:rsidRPr="006F5312">
        <w:rPr>
          <w:rFonts w:ascii="Times New Roman" w:hAnsi="Times New Roman" w:cs="Times New Roman"/>
          <w:i/>
          <w:iCs/>
          <w:sz w:val="24"/>
          <w:szCs w:val="24"/>
        </w:rPr>
        <w:t xml:space="preserve">Mediterranean Journal of Social Sciences Vol. 3 (3) </w:t>
      </w:r>
    </w:p>
    <w:p w:rsidR="006F5312" w:rsidRPr="006F5312" w:rsidRDefault="006F5312" w:rsidP="006F5312">
      <w:pPr>
        <w:spacing w:after="0" w:line="240" w:lineRule="auto"/>
        <w:ind w:left="720" w:hanging="720"/>
        <w:jc w:val="both"/>
        <w:rPr>
          <w:rFonts w:ascii="Times New Roman" w:eastAsia="Times New Roman" w:hAnsi="Times New Roman" w:cs="Times New Roman"/>
          <w:i/>
          <w:sz w:val="24"/>
          <w:szCs w:val="24"/>
        </w:rPr>
      </w:pPr>
      <w:r w:rsidRPr="006F5312">
        <w:rPr>
          <w:rFonts w:ascii="Times New Roman" w:eastAsia="Times New Roman" w:hAnsi="Times New Roman" w:cs="Times New Roman"/>
          <w:sz w:val="24"/>
          <w:szCs w:val="24"/>
        </w:rPr>
        <w:t xml:space="preserve">Englama, A., Duke, O., Ogunleye, S., and Isma’il, F. U. (2010), “Oil p rice and exchange rate volatility in Nigeria: An Empirical observation”, </w:t>
      </w:r>
      <w:r w:rsidRPr="006F5312">
        <w:rPr>
          <w:rFonts w:ascii="Times New Roman" w:eastAsia="Times New Roman" w:hAnsi="Times New Roman" w:cs="Times New Roman"/>
          <w:i/>
          <w:sz w:val="24"/>
          <w:szCs w:val="24"/>
        </w:rPr>
        <w:t>Central Bank of Nigeria Economic and Financial Review 48(3): pp.31-48</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Ghosh, S (2011), “Examining Crude Oil Price – Exchange Rate nexus for India during the period of extreme oil price volatility”, </w:t>
      </w:r>
      <w:r w:rsidRPr="006F5312">
        <w:rPr>
          <w:rFonts w:ascii="Times New Roman" w:hAnsi="Times New Roman" w:cs="Times New Roman"/>
          <w:i/>
          <w:iCs/>
          <w:sz w:val="24"/>
          <w:szCs w:val="24"/>
        </w:rPr>
        <w:t xml:space="preserve">Applied Energy, </w:t>
      </w:r>
      <w:r w:rsidRPr="006F5312">
        <w:rPr>
          <w:rFonts w:ascii="Times New Roman" w:hAnsi="Times New Roman" w:cs="Times New Roman"/>
          <w:i/>
          <w:sz w:val="24"/>
          <w:szCs w:val="24"/>
        </w:rPr>
        <w:t>88, 1886–1889</w:t>
      </w:r>
      <w:r w:rsidRPr="006F5312">
        <w:rPr>
          <w:rFonts w:ascii="Times New Roman" w:hAnsi="Times New Roman" w:cs="Times New Roman"/>
          <w:sz w:val="24"/>
          <w:szCs w:val="24"/>
        </w:rPr>
        <w:t xml:space="preserve">. </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lastRenderedPageBreak/>
        <w:t xml:space="preserve">Granger, C.W.J (1969), “Investigating Causal Relations by Econometric Models and Cross-Spectral Methods, </w:t>
      </w:r>
      <w:r w:rsidRPr="006F5312">
        <w:rPr>
          <w:rFonts w:ascii="Times New Roman" w:hAnsi="Times New Roman" w:cs="Times New Roman"/>
          <w:i/>
          <w:iCs/>
          <w:sz w:val="24"/>
          <w:szCs w:val="24"/>
        </w:rPr>
        <w:t xml:space="preserve">Econometrica, vol. </w:t>
      </w:r>
      <w:r w:rsidRPr="006F5312">
        <w:rPr>
          <w:rFonts w:ascii="Times New Roman" w:hAnsi="Times New Roman" w:cs="Times New Roman"/>
          <w:sz w:val="24"/>
          <w:szCs w:val="24"/>
        </w:rPr>
        <w:t>37, pp. 424-438.</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Greenspan, Alan (2004) cited in “Oil and the Macroeconomy since the 1970s” by Barsky, R. and L. Kilian (2004), </w:t>
      </w:r>
      <w:hyperlink r:id="rId27" w:history="1">
        <w:r w:rsidRPr="006F5312">
          <w:rPr>
            <w:rStyle w:val="Hyperlink"/>
            <w:rFonts w:ascii="Times New Roman" w:hAnsi="Times New Roman" w:cs="Times New Roman"/>
            <w:i/>
            <w:iCs/>
            <w:color w:val="auto"/>
            <w:sz w:val="24"/>
            <w:szCs w:val="24"/>
            <w:u w:val="none"/>
          </w:rPr>
          <w:t>http://.www.cepr.org/pubs/dps/DP4496.asp</w:t>
        </w:r>
      </w:hyperlink>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iCs/>
          <w:sz w:val="24"/>
          <w:szCs w:val="24"/>
        </w:rPr>
      </w:pPr>
      <w:r w:rsidRPr="006F5312">
        <w:rPr>
          <w:rFonts w:ascii="Times New Roman" w:hAnsi="Times New Roman" w:cs="Times New Roman"/>
          <w:sz w:val="24"/>
          <w:szCs w:val="24"/>
        </w:rPr>
        <w:t>Habib, M. M and Kalamova, M (2007), “</w:t>
      </w:r>
      <w:r w:rsidRPr="006F5312">
        <w:rPr>
          <w:rFonts w:ascii="Times New Roman" w:hAnsi="Times New Roman" w:cs="Times New Roman"/>
          <w:iCs/>
          <w:sz w:val="24"/>
          <w:szCs w:val="24"/>
        </w:rPr>
        <w:t>Are There Oil Currencies? The Real Exchange Rate of Oil Exporting Countries”</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European Central Bank working Paper 839</w:t>
      </w:r>
      <w:r w:rsidRPr="006F5312">
        <w:rPr>
          <w:rFonts w:ascii="Times New Roman" w:hAnsi="Times New Roman" w:cs="Times New Roman"/>
          <w:i/>
          <w:iCs/>
          <w:sz w:val="24"/>
          <w:szCs w:val="24"/>
        </w:rPr>
        <w:t>.</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Hamilton, James D. (1983), “Oil and the Macroeconomy since World War II”, </w:t>
      </w:r>
      <w:r w:rsidRPr="006F5312">
        <w:rPr>
          <w:rFonts w:ascii="Times New Roman" w:hAnsi="Times New Roman" w:cs="Times New Roman"/>
          <w:i/>
          <w:iCs/>
          <w:sz w:val="24"/>
          <w:szCs w:val="24"/>
        </w:rPr>
        <w:t xml:space="preserve">Journal of Political Economy, </w:t>
      </w:r>
      <w:r w:rsidRPr="006F5312">
        <w:rPr>
          <w:rFonts w:ascii="Times New Roman" w:hAnsi="Times New Roman" w:cs="Times New Roman"/>
          <w:sz w:val="24"/>
          <w:szCs w:val="24"/>
        </w:rPr>
        <w:t>91, pp. 228-248.</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 xml:space="preserve">Hooker, M. A (1996), “What happened to the oil price-macroeconomic relationship?” </w:t>
      </w:r>
      <w:r w:rsidRPr="006F5312">
        <w:rPr>
          <w:rFonts w:ascii="Times New Roman" w:hAnsi="Times New Roman" w:cs="Times New Roman"/>
          <w:i/>
          <w:sz w:val="24"/>
          <w:szCs w:val="24"/>
        </w:rPr>
        <w:t>Journal of Monetary Economics, vol. 28(2), pp.195-213</w:t>
      </w:r>
    </w:p>
    <w:p w:rsidR="006F5312" w:rsidRPr="006F5312" w:rsidRDefault="006F5312" w:rsidP="006F5312">
      <w:pPr>
        <w:pStyle w:val="Heading1"/>
        <w:spacing w:before="0"/>
        <w:jc w:val="both"/>
        <w:rPr>
          <w:rFonts w:ascii="Times New Roman" w:hAnsi="Times New Roman" w:cs="Times New Roman"/>
          <w:b w:val="0"/>
          <w:color w:val="auto"/>
          <w:sz w:val="24"/>
          <w:szCs w:val="24"/>
        </w:rPr>
      </w:pPr>
      <w:r w:rsidRPr="006F5312">
        <w:rPr>
          <w:rFonts w:ascii="Times New Roman" w:hAnsi="Times New Roman" w:cs="Times New Roman"/>
          <w:b w:val="0"/>
          <w:color w:val="auto"/>
          <w:sz w:val="24"/>
          <w:szCs w:val="24"/>
        </w:rPr>
        <w:t>IMF (2000), the Impact of Higher Oil Prices on the Global Economy</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Isard, P. (2007), “</w:t>
      </w:r>
      <w:r w:rsidRPr="006F5312">
        <w:rPr>
          <w:rFonts w:ascii="Times New Roman" w:hAnsi="Times New Roman" w:cs="Times New Roman"/>
          <w:iCs/>
          <w:sz w:val="24"/>
          <w:szCs w:val="24"/>
        </w:rPr>
        <w:t>Equilibrium Exchange Rates: Assessment Methodologies</w:t>
      </w:r>
      <w:r w:rsidRPr="006F5312">
        <w:rPr>
          <w:rFonts w:ascii="Times New Roman" w:eastAsia="Times New Roman,Italic" w:hAnsi="Times New Roman" w:cs="Times New Roman"/>
          <w:i/>
          <w:iCs/>
          <w:sz w:val="24"/>
          <w:szCs w:val="24"/>
        </w:rPr>
        <w:t xml:space="preserve">”, </w:t>
      </w:r>
      <w:r w:rsidRPr="006F5312">
        <w:rPr>
          <w:rFonts w:ascii="Times New Roman" w:hAnsi="Times New Roman" w:cs="Times New Roman"/>
          <w:i/>
          <w:sz w:val="24"/>
          <w:szCs w:val="24"/>
        </w:rPr>
        <w:t>IMF Working paper WP/07/296</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Jin, G (2008) “The Impact of Oil Price Shock and Exchange Rate Volatility on Economic Growth: A Comparative Analysis for Russia Japan and China”, </w:t>
      </w:r>
      <w:r w:rsidRPr="006F5312">
        <w:rPr>
          <w:rFonts w:ascii="Times New Roman" w:hAnsi="Times New Roman" w:cs="Times New Roman"/>
          <w:i/>
          <w:iCs/>
          <w:sz w:val="24"/>
          <w:szCs w:val="24"/>
        </w:rPr>
        <w:t xml:space="preserve">Research Journal of International Studies, </w:t>
      </w:r>
      <w:r w:rsidRPr="006F5312">
        <w:rPr>
          <w:rFonts w:ascii="Times New Roman" w:hAnsi="Times New Roman" w:cs="Times New Roman"/>
          <w:sz w:val="24"/>
          <w:szCs w:val="24"/>
        </w:rPr>
        <w:t xml:space="preserve">Issue </w:t>
      </w:r>
      <w:r w:rsidRPr="006F5312">
        <w:rPr>
          <w:rFonts w:ascii="Times New Roman" w:hAnsi="Times New Roman" w:cs="Times New Roman"/>
          <w:i/>
          <w:sz w:val="24"/>
          <w:szCs w:val="24"/>
        </w:rPr>
        <w:t>8, pp. 98-111</w:t>
      </w:r>
      <w:r w:rsidRPr="006F5312">
        <w:rPr>
          <w:rFonts w:ascii="Times New Roman" w:hAnsi="Times New Roman" w:cs="Times New Roman"/>
          <w:sz w:val="24"/>
          <w:szCs w:val="24"/>
        </w:rPr>
        <w:t>.</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Korhonen, I. and T. Juurikkala (2007), "</w:t>
      </w:r>
      <w:r w:rsidRPr="006F5312">
        <w:rPr>
          <w:rFonts w:ascii="Times New Roman" w:hAnsi="Times New Roman" w:cs="Times New Roman"/>
          <w:iCs/>
          <w:sz w:val="24"/>
          <w:szCs w:val="24"/>
        </w:rPr>
        <w:t>Equilibrium exchange rates in oil-dependent countries</w:t>
      </w:r>
      <w:r w:rsidRPr="006F5312">
        <w:rPr>
          <w:rFonts w:ascii="Times New Roman" w:hAnsi="Times New Roman" w:cs="Times New Roman"/>
          <w:sz w:val="24"/>
          <w:szCs w:val="24"/>
        </w:rPr>
        <w:t>", BOFIT Discussion Papers 8/2007, Bank of Finland, Institute for Economies in Transition</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Krugman, P (1983), “Oil shocks and exchange rate dynamics In Exchange Rates and International Macroeconomics”, University of Chicago Press </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Majidi, M (2006) “Impact of Oil on International economy” International Economics Course, Centre For Science </w:t>
      </w:r>
      <w:r w:rsidR="00C12F16">
        <w:rPr>
          <w:rFonts w:ascii="Times New Roman" w:hAnsi="Times New Roman" w:cs="Times New Roman"/>
          <w:sz w:val="24"/>
          <w:szCs w:val="24"/>
        </w:rPr>
        <w:t>a</w:t>
      </w:r>
      <w:r w:rsidRPr="006F5312">
        <w:rPr>
          <w:rFonts w:ascii="Times New Roman" w:hAnsi="Times New Roman" w:cs="Times New Roman"/>
          <w:sz w:val="24"/>
          <w:szCs w:val="24"/>
        </w:rPr>
        <w:t>nd Innovation Studies.</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McKillop, A (2004), “Oil Prices, Economic Growth and World Oil Demand”, </w:t>
      </w:r>
      <w:r w:rsidRPr="006F5312">
        <w:rPr>
          <w:rFonts w:ascii="Times New Roman" w:hAnsi="Times New Roman" w:cs="Times New Roman"/>
          <w:i/>
          <w:iCs/>
          <w:sz w:val="24"/>
          <w:szCs w:val="24"/>
        </w:rPr>
        <w:t xml:space="preserve">Middle East Economic Survey, </w:t>
      </w:r>
      <w:r w:rsidRPr="006F5312">
        <w:rPr>
          <w:rFonts w:ascii="Times New Roman" w:hAnsi="Times New Roman" w:cs="Times New Roman"/>
          <w:i/>
          <w:sz w:val="24"/>
          <w:szCs w:val="24"/>
        </w:rPr>
        <w:t>VOL. XLVII, No 35</w:t>
      </w:r>
      <w:r w:rsidRPr="006F5312">
        <w:rPr>
          <w:rFonts w:ascii="Times New Roman" w:hAnsi="Times New Roman" w:cs="Times New Roman"/>
          <w:sz w:val="24"/>
          <w:szCs w:val="24"/>
        </w:rPr>
        <w:t>.</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Mordi, C. N. O and Adebiyi, M. A (2010), “The Asymmetric Effects of Oil Price Shocks on Output and Prices in Nigeria using a Structural VAR Model”, </w:t>
      </w:r>
      <w:r w:rsidRPr="006F5312">
        <w:rPr>
          <w:rFonts w:ascii="Times New Roman" w:hAnsi="Times New Roman" w:cs="Times New Roman"/>
          <w:i/>
          <w:sz w:val="24"/>
          <w:szCs w:val="24"/>
        </w:rPr>
        <w:t>CBN</w:t>
      </w:r>
      <w:r w:rsidRPr="006F5312">
        <w:rPr>
          <w:rFonts w:ascii="Times New Roman" w:hAnsi="Times New Roman" w:cs="Times New Roman"/>
          <w:sz w:val="24"/>
          <w:szCs w:val="24"/>
        </w:rPr>
        <w:t xml:space="preserve"> </w:t>
      </w:r>
      <w:r w:rsidRPr="006F5312">
        <w:rPr>
          <w:rFonts w:ascii="Times New Roman" w:hAnsi="Times New Roman" w:cs="Times New Roman"/>
          <w:i/>
          <w:iCs/>
          <w:sz w:val="24"/>
          <w:szCs w:val="24"/>
        </w:rPr>
        <w:t>Economic and Financial Review</w:t>
      </w:r>
      <w:r w:rsidRPr="006F5312">
        <w:rPr>
          <w:rFonts w:ascii="Times New Roman" w:hAnsi="Times New Roman" w:cs="Times New Roman"/>
          <w:sz w:val="24"/>
          <w:szCs w:val="24"/>
        </w:rPr>
        <w:t>, Volume 48/1. 1-31</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Mundell, R. (1961), “A Theory of Optimal Currency Areas", </w:t>
      </w:r>
      <w:r w:rsidRPr="006F5312">
        <w:rPr>
          <w:rFonts w:ascii="Times New Roman" w:hAnsi="Times New Roman" w:cs="Times New Roman"/>
          <w:i/>
          <w:sz w:val="24"/>
          <w:szCs w:val="24"/>
        </w:rPr>
        <w:t>American</w:t>
      </w:r>
      <w:r w:rsidRPr="006F5312">
        <w:rPr>
          <w:rFonts w:ascii="Times New Roman" w:hAnsi="Times New Roman" w:cs="Times New Roman"/>
          <w:i/>
          <w:iCs/>
          <w:sz w:val="24"/>
          <w:szCs w:val="24"/>
        </w:rPr>
        <w:t xml:space="preserve"> Economic Review Vol.</w:t>
      </w:r>
      <w:r w:rsidRPr="006F5312">
        <w:rPr>
          <w:rFonts w:ascii="Times New Roman" w:hAnsi="Times New Roman" w:cs="Times New Roman"/>
          <w:sz w:val="24"/>
          <w:szCs w:val="24"/>
        </w:rPr>
        <w:t>51, No.4, pp. 657-665</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Narayan, P.K., S. Narayan and A. Prasad (2008), “Understanding the Oil Price – Exchange rate nexus for the Fiji Islands”, </w:t>
      </w:r>
      <w:r w:rsidRPr="006F5312">
        <w:rPr>
          <w:rFonts w:ascii="Times New Roman" w:hAnsi="Times New Roman" w:cs="Times New Roman"/>
          <w:i/>
          <w:sz w:val="24"/>
          <w:szCs w:val="24"/>
        </w:rPr>
        <w:t>Energy Economics 30(5):2686–96</w:t>
      </w:r>
      <w:r w:rsidRPr="006F5312">
        <w:rPr>
          <w:rFonts w:ascii="Times New Roman" w:hAnsi="Times New Roman" w:cs="Times New Roman"/>
          <w:sz w:val="24"/>
          <w:szCs w:val="24"/>
        </w:rPr>
        <w:t>.</w:t>
      </w:r>
    </w:p>
    <w:p w:rsidR="006F5312" w:rsidRPr="006F5312" w:rsidRDefault="006F5312" w:rsidP="006F5312">
      <w:pPr>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 xml:space="preserve">Nelson, D, (1991). Conditional Heteroskedasticity in Asset Return: A New Approach. </w:t>
      </w:r>
      <w:r w:rsidRPr="006F5312">
        <w:rPr>
          <w:rFonts w:ascii="Times New Roman" w:hAnsi="Times New Roman" w:cs="Times New Roman"/>
          <w:i/>
          <w:sz w:val="24"/>
          <w:szCs w:val="24"/>
        </w:rPr>
        <w:t>Econometrica 59, 347–370.</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bCs/>
          <w:i/>
          <w:sz w:val="24"/>
          <w:szCs w:val="24"/>
        </w:rPr>
      </w:pPr>
      <w:r w:rsidRPr="006F5312">
        <w:rPr>
          <w:rFonts w:ascii="Times New Roman" w:hAnsi="Times New Roman" w:cs="Times New Roman"/>
          <w:sz w:val="24"/>
          <w:szCs w:val="24"/>
        </w:rPr>
        <w:t>Obi, B., Abayomi, A and Ogwuche, D (2016), “</w:t>
      </w:r>
      <w:r w:rsidRPr="006F5312">
        <w:rPr>
          <w:rFonts w:ascii="Times New Roman" w:hAnsi="Times New Roman" w:cs="Times New Roman"/>
          <w:bCs/>
          <w:sz w:val="24"/>
          <w:szCs w:val="24"/>
        </w:rPr>
        <w:t xml:space="preserve">Oil Price Shock and Macroeconomic Performance in Nigeria”. </w:t>
      </w:r>
      <w:r w:rsidRPr="006F5312">
        <w:rPr>
          <w:rFonts w:ascii="Times New Roman" w:hAnsi="Times New Roman" w:cs="Times New Roman"/>
          <w:i/>
          <w:sz w:val="24"/>
          <w:szCs w:val="24"/>
        </w:rPr>
        <w:t>Journal of Economics and Sustainable Development, Vol.7, No.24, pp.137</w:t>
      </w:r>
    </w:p>
    <w:p w:rsidR="006F5312" w:rsidRPr="006F5312" w:rsidRDefault="006F5312" w:rsidP="006F5312">
      <w:pPr>
        <w:spacing w:after="0" w:line="240" w:lineRule="auto"/>
        <w:ind w:left="720" w:hanging="720"/>
        <w:jc w:val="both"/>
        <w:rPr>
          <w:rFonts w:ascii="Times New Roman" w:eastAsia="Times New Roman" w:hAnsi="Times New Roman" w:cs="Times New Roman"/>
          <w:sz w:val="24"/>
          <w:szCs w:val="24"/>
        </w:rPr>
      </w:pPr>
      <w:r w:rsidRPr="006F5312">
        <w:rPr>
          <w:rFonts w:ascii="Times New Roman" w:eastAsia="Times New Roman" w:hAnsi="Times New Roman" w:cs="Times New Roman"/>
          <w:sz w:val="24"/>
          <w:szCs w:val="24"/>
        </w:rPr>
        <w:t xml:space="preserve">Ogundipe, O. M., Ojeaga, P and Ogundipe, A. </w:t>
      </w:r>
      <w:r w:rsidR="00C12F16" w:rsidRPr="006F5312">
        <w:rPr>
          <w:rFonts w:ascii="Times New Roman" w:eastAsia="Times New Roman" w:hAnsi="Times New Roman" w:cs="Times New Roman"/>
          <w:sz w:val="24"/>
          <w:szCs w:val="24"/>
        </w:rPr>
        <w:t>A (</w:t>
      </w:r>
      <w:r w:rsidRPr="006F5312">
        <w:rPr>
          <w:rFonts w:ascii="Times New Roman" w:eastAsia="Times New Roman" w:hAnsi="Times New Roman" w:cs="Times New Roman"/>
          <w:sz w:val="24"/>
          <w:szCs w:val="24"/>
        </w:rPr>
        <w:t>2014), “Oil Price and Exchange Rate Volatility in Nigeria”. IOSR Journal of Economics and Finance. Volume 5, Issue 4, pp. 01-09</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Olomola and Adejumo (2006), “Oil price shock and macroeconomic activities in Nigeria”, </w:t>
      </w:r>
      <w:r w:rsidRPr="006F5312">
        <w:rPr>
          <w:rFonts w:ascii="Times New Roman" w:hAnsi="Times New Roman" w:cs="Times New Roman"/>
          <w:i/>
          <w:sz w:val="24"/>
          <w:szCs w:val="24"/>
        </w:rPr>
        <w:t>International Research Journal of Finance and Economics. Issue 3</w:t>
      </w:r>
    </w:p>
    <w:p w:rsidR="006F5312" w:rsidRPr="006F5312" w:rsidRDefault="006F5312" w:rsidP="006F5312">
      <w:pPr>
        <w:spacing w:after="0" w:line="240" w:lineRule="auto"/>
        <w:ind w:left="720" w:hanging="720"/>
        <w:jc w:val="both"/>
        <w:rPr>
          <w:rFonts w:ascii="Times New Roman" w:hAnsi="Times New Roman" w:cs="Times New Roman"/>
          <w:i/>
          <w:sz w:val="24"/>
          <w:szCs w:val="24"/>
        </w:rPr>
      </w:pPr>
      <w:r w:rsidRPr="006F5312">
        <w:rPr>
          <w:rFonts w:ascii="Times New Roman" w:hAnsi="Times New Roman" w:cs="Times New Roman"/>
          <w:sz w:val="24"/>
          <w:szCs w:val="24"/>
        </w:rPr>
        <w:t xml:space="preserve">Olomola, P., (2006), “Oil price shocks and aggregate economic activity in Nigeria”, </w:t>
      </w:r>
      <w:r w:rsidRPr="006F5312">
        <w:rPr>
          <w:rFonts w:ascii="Times New Roman" w:hAnsi="Times New Roman" w:cs="Times New Roman"/>
          <w:i/>
          <w:sz w:val="24"/>
          <w:szCs w:val="24"/>
        </w:rPr>
        <w:t>African Economic and Business Review, 4(2): pp.40-45.</w:t>
      </w:r>
    </w:p>
    <w:p w:rsidR="006F5312" w:rsidRPr="006F5312" w:rsidRDefault="006F5312" w:rsidP="006F5312">
      <w:pPr>
        <w:spacing w:after="0" w:line="240" w:lineRule="auto"/>
        <w:ind w:left="720" w:hanging="720"/>
        <w:jc w:val="both"/>
        <w:rPr>
          <w:rFonts w:ascii="Times New Roman" w:eastAsia="Times New Roman" w:hAnsi="Times New Roman" w:cs="Times New Roman"/>
          <w:sz w:val="24"/>
          <w:szCs w:val="24"/>
        </w:rPr>
      </w:pPr>
      <w:r w:rsidRPr="006F5312">
        <w:rPr>
          <w:rFonts w:ascii="Times New Roman" w:hAnsi="Times New Roman" w:cs="Times New Roman"/>
          <w:bCs/>
          <w:sz w:val="24"/>
          <w:szCs w:val="24"/>
        </w:rPr>
        <w:t>Oriakhi D.E and Osaze, I. D (2013), “Oil price volatility and its consequences on the growth of the Nigerian economy: an examination (1970-2010)”, Asian Economic and Financial Review, 2013, 3(5):683-702</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bCs/>
          <w:sz w:val="24"/>
          <w:szCs w:val="24"/>
        </w:rPr>
        <w:t>Oyeyemi, A. M (2010), “</w:t>
      </w:r>
      <w:r w:rsidRPr="006F5312">
        <w:rPr>
          <w:rFonts w:ascii="Times New Roman" w:hAnsi="Times New Roman" w:cs="Times New Roman"/>
          <w:sz w:val="24"/>
          <w:szCs w:val="24"/>
        </w:rPr>
        <w:t>The Growth Implications of Oil Price Shock in Nigeria”</w:t>
      </w:r>
      <w:r w:rsidRPr="006F5312">
        <w:rPr>
          <w:rFonts w:ascii="Times New Roman" w:hAnsi="Times New Roman" w:cs="Times New Roman"/>
          <w:bCs/>
          <w:sz w:val="24"/>
          <w:szCs w:val="24"/>
        </w:rPr>
        <w:t xml:space="preserve"> </w:t>
      </w:r>
      <w:r w:rsidRPr="006F5312">
        <w:rPr>
          <w:rFonts w:ascii="Times New Roman" w:hAnsi="Times New Roman" w:cs="Times New Roman"/>
          <w:i/>
          <w:sz w:val="24"/>
          <w:szCs w:val="24"/>
        </w:rPr>
        <w:t>Journal of Emerging Trends in Economics and Management Sciences (JETEMS) 4(3):343-34.</w:t>
      </w:r>
    </w:p>
    <w:p w:rsidR="006F5312" w:rsidRPr="006F5312" w:rsidRDefault="006F5312" w:rsidP="006F5312">
      <w:pPr>
        <w:pStyle w:val="suggested-citation"/>
        <w:spacing w:before="0" w:beforeAutospacing="0" w:after="0" w:afterAutospacing="0"/>
        <w:ind w:left="720" w:hanging="720"/>
        <w:jc w:val="both"/>
      </w:pPr>
      <w:r w:rsidRPr="006F5312">
        <w:lastRenderedPageBreak/>
        <w:t xml:space="preserve">Ozsoz, E and Akinkunmi, M. A (2011) “An evaluation of price based determinants of Nigeria’s real exchange rate”. Center for international policy studies (CIPS), available at ssrn: </w:t>
      </w:r>
      <w:hyperlink r:id="rId28" w:tgtFrame="_blank" w:history="1">
        <w:r w:rsidRPr="006F5312">
          <w:rPr>
            <w:rStyle w:val="Hyperlink"/>
            <w:color w:val="auto"/>
            <w:u w:val="none"/>
          </w:rPr>
          <w:t>https://ssrn.com/abstract=1807163</w:t>
        </w:r>
      </w:hyperlink>
      <w:r w:rsidRPr="006F5312">
        <w:t xml:space="preserve"> </w:t>
      </w:r>
    </w:p>
    <w:p w:rsidR="006F5312" w:rsidRPr="006F5312" w:rsidRDefault="006F5312" w:rsidP="006F5312">
      <w:pPr>
        <w:autoSpaceDE w:val="0"/>
        <w:autoSpaceDN w:val="0"/>
        <w:adjustRightInd w:val="0"/>
        <w:spacing w:after="0" w:line="240" w:lineRule="auto"/>
        <w:ind w:left="720"/>
        <w:jc w:val="both"/>
        <w:rPr>
          <w:rFonts w:ascii="Times New Roman" w:hAnsi="Times New Roman" w:cs="Times New Roman"/>
          <w:sz w:val="24"/>
          <w:szCs w:val="24"/>
        </w:rPr>
      </w:pPr>
      <w:r w:rsidRPr="006F5312">
        <w:rPr>
          <w:rFonts w:ascii="Times New Roman" w:hAnsi="Times New Roman" w:cs="Times New Roman"/>
          <w:sz w:val="24"/>
          <w:szCs w:val="24"/>
        </w:rPr>
        <w:t>Paper Number 95-8.</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Patti, K and Ratti, R (2007), “Oil Shocks and the Macroeconomy: The Role of the Price Variability.” Energy </w:t>
      </w:r>
      <w:r w:rsidRPr="006F5312">
        <w:rPr>
          <w:rFonts w:ascii="Times New Roman" w:hAnsi="Times New Roman" w:cs="Times New Roman"/>
          <w:i/>
          <w:iCs/>
          <w:sz w:val="24"/>
          <w:szCs w:val="24"/>
        </w:rPr>
        <w:t xml:space="preserve">Journal volume </w:t>
      </w:r>
      <w:r w:rsidRPr="006F5312">
        <w:rPr>
          <w:rFonts w:ascii="Times New Roman" w:hAnsi="Times New Roman" w:cs="Times New Roman"/>
          <w:sz w:val="24"/>
          <w:szCs w:val="24"/>
        </w:rPr>
        <w:t>3, pp.3-12</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iCs/>
          <w:sz w:val="24"/>
          <w:szCs w:val="24"/>
        </w:rPr>
      </w:pPr>
      <w:r w:rsidRPr="006F5312">
        <w:rPr>
          <w:rFonts w:ascii="Times New Roman" w:hAnsi="Times New Roman" w:cs="Times New Roman"/>
          <w:sz w:val="24"/>
          <w:szCs w:val="24"/>
        </w:rPr>
        <w:t>Plante, M (2008), “</w:t>
      </w:r>
      <w:r w:rsidRPr="006F5312">
        <w:rPr>
          <w:rFonts w:ascii="Times New Roman" w:hAnsi="Times New Roman" w:cs="Times New Roman"/>
          <w:i/>
          <w:iCs/>
          <w:sz w:val="24"/>
          <w:szCs w:val="24"/>
        </w:rPr>
        <w:t>Oil price shocks and Exchange rate management: the implications of consumer durables for the small open economy”</w:t>
      </w:r>
    </w:p>
    <w:p w:rsidR="006F5312" w:rsidRPr="006F5312" w:rsidRDefault="006F5312" w:rsidP="006F5312">
      <w:pPr>
        <w:autoSpaceDE w:val="0"/>
        <w:autoSpaceDN w:val="0"/>
        <w:adjustRightInd w:val="0"/>
        <w:spacing w:after="0" w:line="240" w:lineRule="auto"/>
        <w:ind w:left="720"/>
        <w:jc w:val="both"/>
        <w:rPr>
          <w:rFonts w:ascii="Times New Roman" w:hAnsi="Times New Roman" w:cs="Times New Roman"/>
          <w:i/>
          <w:sz w:val="24"/>
          <w:szCs w:val="24"/>
        </w:rPr>
      </w:pPr>
      <w:r w:rsidRPr="006F5312">
        <w:rPr>
          <w:rFonts w:ascii="Times New Roman" w:hAnsi="Times New Roman" w:cs="Times New Roman"/>
          <w:i/>
          <w:sz w:val="24"/>
          <w:szCs w:val="24"/>
        </w:rPr>
        <w:t>pp. 390-404</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Schnabl, G (2007), “</w:t>
      </w:r>
      <w:r w:rsidRPr="006F5312">
        <w:rPr>
          <w:rFonts w:ascii="Times New Roman" w:hAnsi="Times New Roman" w:cs="Times New Roman"/>
          <w:iCs/>
          <w:sz w:val="24"/>
          <w:szCs w:val="24"/>
        </w:rPr>
        <w:t xml:space="preserve">Exchange Rate Volatility and Growth in Small Open Economies at the </w:t>
      </w:r>
      <w:r w:rsidRPr="006F5312">
        <w:rPr>
          <w:rFonts w:ascii="Times New Roman" w:hAnsi="Times New Roman" w:cs="Times New Roman"/>
          <w:sz w:val="24"/>
          <w:szCs w:val="24"/>
        </w:rPr>
        <w:t xml:space="preserve">EMU Periphery” </w:t>
      </w:r>
      <w:r w:rsidRPr="006F5312">
        <w:rPr>
          <w:rFonts w:ascii="Times New Roman" w:hAnsi="Times New Roman" w:cs="Times New Roman"/>
          <w:i/>
          <w:sz w:val="24"/>
          <w:szCs w:val="24"/>
        </w:rPr>
        <w:t>Working Paper Series, No. 773</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iCs/>
          <w:sz w:val="24"/>
          <w:szCs w:val="24"/>
        </w:rPr>
      </w:pPr>
      <w:r w:rsidRPr="006F5312">
        <w:rPr>
          <w:rFonts w:ascii="Times New Roman" w:hAnsi="Times New Roman" w:cs="Times New Roman"/>
          <w:sz w:val="24"/>
          <w:szCs w:val="24"/>
        </w:rPr>
        <w:t xml:space="preserve">Serven, L. and Solimano, A (1993), </w:t>
      </w:r>
      <w:r w:rsidRPr="006F5312">
        <w:rPr>
          <w:rFonts w:ascii="Times New Roman" w:hAnsi="Times New Roman" w:cs="Times New Roman"/>
          <w:i/>
          <w:iCs/>
          <w:sz w:val="24"/>
          <w:szCs w:val="24"/>
        </w:rPr>
        <w:t>striving for Growth after adjustment: The Role of Capital Formation</w:t>
      </w:r>
    </w:p>
    <w:p w:rsidR="006F5312" w:rsidRPr="006F5312" w:rsidRDefault="006F5312" w:rsidP="006F5312">
      <w:pPr>
        <w:spacing w:after="0" w:line="240" w:lineRule="auto"/>
        <w:jc w:val="both"/>
        <w:rPr>
          <w:rFonts w:ascii="Times New Roman" w:hAnsi="Times New Roman" w:cs="Times New Roman"/>
          <w:sz w:val="24"/>
          <w:szCs w:val="24"/>
        </w:rPr>
      </w:pPr>
      <w:r w:rsidRPr="006F5312">
        <w:rPr>
          <w:rFonts w:ascii="Times New Roman" w:hAnsi="Times New Roman" w:cs="Times New Roman"/>
          <w:sz w:val="24"/>
          <w:szCs w:val="24"/>
        </w:rPr>
        <w:t>Sill, A. R (2009), “Oil shocks redux”, sources; VoxEU.org,</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Spatafora, N and Stavrev, E (2003), “</w:t>
      </w:r>
      <w:r w:rsidRPr="006F5312">
        <w:rPr>
          <w:rFonts w:ascii="Times New Roman" w:hAnsi="Times New Roman" w:cs="Times New Roman"/>
          <w:iCs/>
          <w:sz w:val="24"/>
          <w:szCs w:val="24"/>
        </w:rPr>
        <w:t>The Equilibrium Real Exchange Rate in a Commodity Exporting Country: The Case of Russia”</w:t>
      </w:r>
      <w:r w:rsidRPr="006F5312">
        <w:rPr>
          <w:rFonts w:ascii="Times New Roman" w:hAnsi="Times New Roman" w:cs="Times New Roman"/>
          <w:sz w:val="24"/>
          <w:szCs w:val="24"/>
        </w:rPr>
        <w:t xml:space="preserve">, </w:t>
      </w:r>
      <w:r w:rsidRPr="006F5312">
        <w:rPr>
          <w:rFonts w:ascii="Times New Roman" w:hAnsi="Times New Roman" w:cs="Times New Roman"/>
          <w:i/>
          <w:sz w:val="24"/>
          <w:szCs w:val="24"/>
        </w:rPr>
        <w:t>IMF Working Paper 93</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b/>
          <w:bCs/>
          <w:sz w:val="24"/>
          <w:szCs w:val="24"/>
        </w:rPr>
      </w:pPr>
      <w:r w:rsidRPr="006F5312">
        <w:rPr>
          <w:rFonts w:ascii="Times New Roman" w:hAnsi="Times New Roman" w:cs="Times New Roman"/>
          <w:sz w:val="24"/>
          <w:szCs w:val="24"/>
        </w:rPr>
        <w:t xml:space="preserve">Suleman, M. T (2012), “Stock Market Reaction to Good and Bad Political News” </w:t>
      </w:r>
      <w:r w:rsidRPr="006F5312">
        <w:rPr>
          <w:rFonts w:ascii="Times New Roman" w:hAnsi="Times New Roman" w:cs="Times New Roman"/>
          <w:bCs/>
          <w:sz w:val="24"/>
          <w:szCs w:val="24"/>
        </w:rPr>
        <w:t>Asian Journal of finance and accounting,</w:t>
      </w:r>
      <w:r w:rsidRPr="006F5312">
        <w:rPr>
          <w:rFonts w:ascii="Times New Roman" w:hAnsi="Times New Roman" w:cs="Times New Roman"/>
          <w:b/>
          <w:bCs/>
          <w:sz w:val="24"/>
          <w:szCs w:val="24"/>
        </w:rPr>
        <w:t xml:space="preserve"> </w:t>
      </w:r>
      <w:r w:rsidRPr="006F5312">
        <w:rPr>
          <w:rFonts w:ascii="Times New Roman" w:hAnsi="Times New Roman" w:cs="Times New Roman"/>
          <w:sz w:val="24"/>
          <w:szCs w:val="24"/>
        </w:rPr>
        <w:t>2012, Vol. 4, No. 1, pp. 299</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Trung, L. V and Vinh, N. T. T (2011), “The impact of oil price, real effective exchange rate and inflation on economic activity: Novel evidence for Vietnam”. Discussion paper series, DP2011-109</w:t>
      </w:r>
    </w:p>
    <w:p w:rsidR="006F5312" w:rsidRPr="006F5312" w:rsidRDefault="006F5312" w:rsidP="006F5312">
      <w:pPr>
        <w:autoSpaceDE w:val="0"/>
        <w:autoSpaceDN w:val="0"/>
        <w:adjustRightInd w:val="0"/>
        <w:spacing w:after="0" w:line="240" w:lineRule="auto"/>
        <w:ind w:left="720" w:hanging="720"/>
        <w:jc w:val="both"/>
        <w:rPr>
          <w:rFonts w:ascii="Times New Roman" w:hAnsi="Times New Roman" w:cs="Times New Roman"/>
          <w:i/>
          <w:iCs/>
          <w:sz w:val="24"/>
          <w:szCs w:val="24"/>
        </w:rPr>
      </w:pPr>
      <w:r w:rsidRPr="006F5312">
        <w:rPr>
          <w:rFonts w:ascii="Times New Roman" w:hAnsi="Times New Roman" w:cs="Times New Roman"/>
          <w:sz w:val="24"/>
          <w:szCs w:val="24"/>
        </w:rPr>
        <w:t xml:space="preserve">Umar, A and Soliu, U (2009), </w:t>
      </w:r>
      <w:r w:rsidRPr="006F5312">
        <w:rPr>
          <w:rFonts w:ascii="Times New Roman" w:hAnsi="Times New Roman" w:cs="Times New Roman"/>
          <w:i/>
          <w:iCs/>
          <w:sz w:val="24"/>
          <w:szCs w:val="24"/>
        </w:rPr>
        <w:t xml:space="preserve">The Foreign Exchange rates in Nigeria: Convergence and Divergence </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Varela G. (2007), “Real Exchange Rate Volatility and Output: A Sectoral Analysis”, Accessed </w:t>
      </w:r>
      <w:hyperlink r:id="rId29" w:history="1">
        <w:r w:rsidRPr="006F5312">
          <w:rPr>
            <w:rStyle w:val="Hyperlink"/>
            <w:rFonts w:ascii="Times New Roman" w:hAnsi="Times New Roman" w:cs="Times New Roman"/>
            <w:color w:val="auto"/>
            <w:sz w:val="24"/>
            <w:szCs w:val="24"/>
            <w:u w:val="none"/>
          </w:rPr>
          <w:t>http://www.eclac.cl/redima</w:t>
        </w:r>
      </w:hyperlink>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Varga R.F. (2012), “Multiple Asymmetries and Exchange Rate Exposure at Firm Level: Evidence from Taiwan Stock Market”, </w:t>
      </w:r>
      <w:r w:rsidRPr="006F5312">
        <w:rPr>
          <w:rFonts w:ascii="Times New Roman" w:hAnsi="Times New Roman" w:cs="Times New Roman"/>
          <w:i/>
          <w:iCs/>
          <w:sz w:val="24"/>
          <w:szCs w:val="24"/>
        </w:rPr>
        <w:t>International Journal of Economics and Finance</w:t>
      </w:r>
      <w:r w:rsidRPr="006F5312">
        <w:rPr>
          <w:rFonts w:ascii="Times New Roman" w:hAnsi="Times New Roman" w:cs="Times New Roman"/>
          <w:sz w:val="24"/>
          <w:szCs w:val="24"/>
        </w:rPr>
        <w:t>, Vol. 4, No. 10, pp 26-40.</w:t>
      </w:r>
    </w:p>
    <w:p w:rsidR="006F5312" w:rsidRPr="006F5312" w:rsidRDefault="006F5312" w:rsidP="006F5312">
      <w:pPr>
        <w:spacing w:after="0" w:line="240" w:lineRule="auto"/>
        <w:ind w:left="720" w:hanging="720"/>
        <w:jc w:val="both"/>
        <w:rPr>
          <w:rFonts w:ascii="Times New Roman" w:hAnsi="Times New Roman" w:cs="Times New Roman"/>
          <w:sz w:val="24"/>
          <w:szCs w:val="24"/>
        </w:rPr>
      </w:pPr>
      <w:r w:rsidRPr="006F5312">
        <w:rPr>
          <w:rFonts w:ascii="Times New Roman" w:hAnsi="Times New Roman" w:cs="Times New Roman"/>
          <w:sz w:val="24"/>
          <w:szCs w:val="24"/>
        </w:rPr>
        <w:t xml:space="preserve">Wakeford J. (2006), “The impact of oil price Shocks on the South African Macro economy: History and Prospects”, in </w:t>
      </w:r>
      <w:r w:rsidRPr="006F5312">
        <w:rPr>
          <w:rFonts w:ascii="Times New Roman" w:hAnsi="Times New Roman" w:cs="Times New Roman"/>
          <w:i/>
          <w:iCs/>
          <w:sz w:val="24"/>
          <w:szCs w:val="24"/>
        </w:rPr>
        <w:t>Accelerated and Shared Growth in South Africa: Determinants, constraints and opportunities</w:t>
      </w:r>
      <w:r w:rsidRPr="006F5312">
        <w:rPr>
          <w:rFonts w:ascii="Times New Roman" w:hAnsi="Times New Roman" w:cs="Times New Roman"/>
          <w:sz w:val="24"/>
          <w:szCs w:val="24"/>
        </w:rPr>
        <w:t xml:space="preserve">. 18-20 October </w:t>
      </w:r>
    </w:p>
    <w:p w:rsidR="006F5312" w:rsidRPr="006F5312" w:rsidRDefault="006F5312" w:rsidP="006F5312">
      <w:pPr>
        <w:spacing w:after="0" w:line="240" w:lineRule="auto"/>
        <w:ind w:left="720" w:hanging="720"/>
        <w:rPr>
          <w:rFonts w:ascii="Times New Roman" w:hAnsi="Times New Roman" w:cs="Times New Roman"/>
          <w:sz w:val="24"/>
          <w:szCs w:val="24"/>
        </w:rPr>
      </w:pPr>
      <w:r w:rsidRPr="006F5312">
        <w:rPr>
          <w:rFonts w:ascii="Times New Roman" w:hAnsi="Times New Roman" w:cs="Times New Roman"/>
          <w:sz w:val="24"/>
          <w:szCs w:val="24"/>
        </w:rPr>
        <w:t>Wang, P (2003), “</w:t>
      </w:r>
      <w:r w:rsidRPr="006F5312">
        <w:rPr>
          <w:rFonts w:ascii="Times New Roman" w:hAnsi="Times New Roman" w:cs="Times New Roman"/>
          <w:iCs/>
          <w:sz w:val="24"/>
          <w:szCs w:val="24"/>
        </w:rPr>
        <w:t>Financial Econometrics: Methods and Models”</w:t>
      </w:r>
      <w:r w:rsidRPr="006F5312">
        <w:rPr>
          <w:rFonts w:ascii="Times New Roman" w:hAnsi="Times New Roman" w:cs="Times New Roman"/>
          <w:i/>
          <w:iCs/>
          <w:sz w:val="24"/>
          <w:szCs w:val="24"/>
        </w:rPr>
        <w:t xml:space="preserve"> London</w:t>
      </w:r>
      <w:r w:rsidRPr="006F5312">
        <w:rPr>
          <w:rFonts w:ascii="Times New Roman" w:hAnsi="Times New Roman" w:cs="Times New Roman"/>
          <w:i/>
          <w:sz w:val="24"/>
          <w:szCs w:val="24"/>
        </w:rPr>
        <w:t>: Routledge advanced texts in economics and finance.</w:t>
      </w:r>
    </w:p>
    <w:p w:rsidR="008B334D" w:rsidRPr="008B2D53" w:rsidRDefault="008B334D" w:rsidP="008B2D53">
      <w:pPr>
        <w:autoSpaceDE w:val="0"/>
        <w:autoSpaceDN w:val="0"/>
        <w:adjustRightInd w:val="0"/>
        <w:spacing w:after="0" w:line="240" w:lineRule="auto"/>
        <w:ind w:left="720" w:hanging="720"/>
        <w:jc w:val="both"/>
        <w:rPr>
          <w:rFonts w:ascii="Times New Roman" w:hAnsi="Times New Roman" w:cs="Times New Roman"/>
          <w:color w:val="FF0000"/>
          <w:sz w:val="24"/>
          <w:szCs w:val="24"/>
        </w:rPr>
      </w:pPr>
    </w:p>
    <w:p w:rsidR="00972622" w:rsidRPr="00321B5E" w:rsidRDefault="00972622" w:rsidP="00972622">
      <w:pPr>
        <w:pStyle w:val="suggested-citation"/>
        <w:spacing w:before="0" w:beforeAutospacing="0" w:after="0" w:afterAutospacing="0"/>
        <w:ind w:left="720" w:hanging="720"/>
        <w:jc w:val="both"/>
        <w:rPr>
          <w:color w:val="FF0000"/>
        </w:rPr>
      </w:pPr>
    </w:p>
    <w:p w:rsidR="00FA73A3" w:rsidRPr="00FA73A3" w:rsidRDefault="00FA73A3" w:rsidP="00702EC3">
      <w:pPr>
        <w:autoSpaceDE w:val="0"/>
        <w:autoSpaceDN w:val="0"/>
        <w:adjustRightInd w:val="0"/>
        <w:spacing w:after="0" w:line="240" w:lineRule="auto"/>
        <w:ind w:left="720" w:hanging="720"/>
        <w:jc w:val="both"/>
        <w:rPr>
          <w:rFonts w:ascii="Times New Roman" w:hAnsi="Times New Roman" w:cs="Times New Roman"/>
          <w:color w:val="FF0000"/>
          <w:sz w:val="24"/>
          <w:szCs w:val="24"/>
        </w:rPr>
      </w:pPr>
    </w:p>
    <w:sectPr w:rsidR="00FA73A3" w:rsidRPr="00FA73A3" w:rsidSect="00503912">
      <w:headerReference w:type="default" r:id="rId30"/>
      <w:footerReference w:type="default" r:id="rId31"/>
      <w:pgSz w:w="12240" w:h="15840"/>
      <w:pgMar w:top="1440" w:right="108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17D" w:rsidRDefault="009A117D" w:rsidP="003E1247">
      <w:pPr>
        <w:spacing w:after="0" w:line="240" w:lineRule="auto"/>
      </w:pPr>
      <w:r>
        <w:separator/>
      </w:r>
    </w:p>
  </w:endnote>
  <w:endnote w:type="continuationSeparator" w:id="1">
    <w:p w:rsidR="009A117D" w:rsidRDefault="009A117D" w:rsidP="003E1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Italic">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B2C" w:rsidRPr="00174485" w:rsidRDefault="00CA7B2C" w:rsidP="00174485">
    <w:pPr>
      <w:autoSpaceDE w:val="0"/>
      <w:autoSpaceDN w:val="0"/>
      <w:adjustRightInd w:val="0"/>
      <w:spacing w:after="0" w:line="240" w:lineRule="auto"/>
      <w:rPr>
        <w:rFonts w:ascii="Minion Pro" w:hAnsi="Minion Pro" w:cs="Minion Pro"/>
        <w:color w:val="000000"/>
        <w:sz w:val="24"/>
        <w:szCs w:val="24"/>
      </w:rPr>
    </w:pPr>
  </w:p>
  <w:p w:rsidR="00CA7B2C" w:rsidRDefault="00CA7B2C" w:rsidP="00174485">
    <w:pPr>
      <w:pStyle w:val="Footer"/>
    </w:pPr>
    <w:r w:rsidRPr="00174485">
      <w:rPr>
        <w:rFonts w:ascii="Minion Pro" w:hAnsi="Minion Pro"/>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17D" w:rsidRDefault="009A117D" w:rsidP="003E1247">
      <w:pPr>
        <w:spacing w:after="0" w:line="240" w:lineRule="auto"/>
      </w:pPr>
      <w:r>
        <w:separator/>
      </w:r>
    </w:p>
  </w:footnote>
  <w:footnote w:type="continuationSeparator" w:id="1">
    <w:p w:rsidR="009A117D" w:rsidRDefault="009A117D" w:rsidP="003E12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1846"/>
      <w:docPartObj>
        <w:docPartGallery w:val="Page Numbers (Top of Page)"/>
        <w:docPartUnique/>
      </w:docPartObj>
    </w:sdtPr>
    <w:sdtContent>
      <w:p w:rsidR="00CA7B2C" w:rsidRDefault="00A3597D">
        <w:pPr>
          <w:pStyle w:val="Header"/>
          <w:jc w:val="right"/>
        </w:pPr>
        <w:fldSimple w:instr=" PAGE   \* MERGEFORMAT ">
          <w:r w:rsidR="004B722D">
            <w:rPr>
              <w:noProof/>
            </w:rPr>
            <w:t>1</w:t>
          </w:r>
        </w:fldSimple>
      </w:p>
    </w:sdtContent>
  </w:sdt>
  <w:p w:rsidR="00CA7B2C" w:rsidRDefault="00CA7B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48B"/>
    <w:multiLevelType w:val="multilevel"/>
    <w:tmpl w:val="F8C646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DE42F6"/>
    <w:multiLevelType w:val="multilevel"/>
    <w:tmpl w:val="215E93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DDF663A"/>
    <w:multiLevelType w:val="multilevel"/>
    <w:tmpl w:val="24B20A4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E91503"/>
    <w:multiLevelType w:val="multilevel"/>
    <w:tmpl w:val="6B46BF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121890"/>
    <w:multiLevelType w:val="multilevel"/>
    <w:tmpl w:val="ADA081A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2C07FE"/>
    <w:multiLevelType w:val="hybridMultilevel"/>
    <w:tmpl w:val="8C96E4E6"/>
    <w:lvl w:ilvl="0" w:tplc="9B4662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F5C1F"/>
    <w:multiLevelType w:val="multilevel"/>
    <w:tmpl w:val="BC4064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8D23BAC"/>
    <w:multiLevelType w:val="multilevel"/>
    <w:tmpl w:val="601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137A5B"/>
    <w:multiLevelType w:val="multilevel"/>
    <w:tmpl w:val="73947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E3F95"/>
    <w:multiLevelType w:val="multilevel"/>
    <w:tmpl w:val="17D81D68"/>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7E3A92"/>
    <w:multiLevelType w:val="multilevel"/>
    <w:tmpl w:val="4D7269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DB70BC"/>
    <w:multiLevelType w:val="multilevel"/>
    <w:tmpl w:val="721C3B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9005981"/>
    <w:multiLevelType w:val="multilevel"/>
    <w:tmpl w:val="F03816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04416E"/>
    <w:multiLevelType w:val="multilevel"/>
    <w:tmpl w:val="D7FC9A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E828B0"/>
    <w:multiLevelType w:val="multilevel"/>
    <w:tmpl w:val="3434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E27480"/>
    <w:multiLevelType w:val="hybridMultilevel"/>
    <w:tmpl w:val="68CC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3A7749"/>
    <w:multiLevelType w:val="multilevel"/>
    <w:tmpl w:val="F0B6F4D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2C1760"/>
    <w:multiLevelType w:val="multilevel"/>
    <w:tmpl w:val="F5BE17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713B4310"/>
    <w:multiLevelType w:val="multilevel"/>
    <w:tmpl w:val="1B9443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8B2122"/>
    <w:multiLevelType w:val="multilevel"/>
    <w:tmpl w:val="8B0274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1B27C65"/>
    <w:multiLevelType w:val="multilevel"/>
    <w:tmpl w:val="27F8E0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4A65C43"/>
    <w:multiLevelType w:val="multilevel"/>
    <w:tmpl w:val="0A583B3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754F2576"/>
    <w:multiLevelType w:val="multilevel"/>
    <w:tmpl w:val="94D2ACA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5633963"/>
    <w:multiLevelType w:val="multilevel"/>
    <w:tmpl w:val="9E12C9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A211BDB"/>
    <w:multiLevelType w:val="hybridMultilevel"/>
    <w:tmpl w:val="9AD21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03B9D"/>
    <w:multiLevelType w:val="hybridMultilevel"/>
    <w:tmpl w:val="C032C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4"/>
  </w:num>
  <w:num w:numId="3">
    <w:abstractNumId w:val="15"/>
  </w:num>
  <w:num w:numId="4">
    <w:abstractNumId w:val="9"/>
  </w:num>
  <w:num w:numId="5">
    <w:abstractNumId w:val="19"/>
  </w:num>
  <w:num w:numId="6">
    <w:abstractNumId w:val="5"/>
  </w:num>
  <w:num w:numId="7">
    <w:abstractNumId w:val="8"/>
  </w:num>
  <w:num w:numId="8">
    <w:abstractNumId w:val="21"/>
  </w:num>
  <w:num w:numId="9">
    <w:abstractNumId w:val="25"/>
  </w:num>
  <w:num w:numId="10">
    <w:abstractNumId w:val="2"/>
  </w:num>
  <w:num w:numId="11">
    <w:abstractNumId w:val="24"/>
  </w:num>
  <w:num w:numId="12">
    <w:abstractNumId w:val="23"/>
  </w:num>
  <w:num w:numId="13">
    <w:abstractNumId w:val="17"/>
  </w:num>
  <w:num w:numId="14">
    <w:abstractNumId w:val="22"/>
  </w:num>
  <w:num w:numId="15">
    <w:abstractNumId w:val="11"/>
  </w:num>
  <w:num w:numId="16">
    <w:abstractNumId w:val="18"/>
  </w:num>
  <w:num w:numId="17">
    <w:abstractNumId w:val="3"/>
  </w:num>
  <w:num w:numId="18">
    <w:abstractNumId w:val="10"/>
  </w:num>
  <w:num w:numId="19">
    <w:abstractNumId w:val="16"/>
  </w:num>
  <w:num w:numId="20">
    <w:abstractNumId w:val="20"/>
  </w:num>
  <w:num w:numId="21">
    <w:abstractNumId w:val="13"/>
  </w:num>
  <w:num w:numId="22">
    <w:abstractNumId w:val="12"/>
  </w:num>
  <w:num w:numId="23">
    <w:abstractNumId w:val="0"/>
  </w:num>
  <w:num w:numId="24">
    <w:abstractNumId w:val="6"/>
  </w:num>
  <w:num w:numId="25">
    <w:abstractNumId w:val="1"/>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6D1C"/>
    <w:rsid w:val="000036A7"/>
    <w:rsid w:val="00004250"/>
    <w:rsid w:val="0000531B"/>
    <w:rsid w:val="00005A95"/>
    <w:rsid w:val="00005F44"/>
    <w:rsid w:val="0001002C"/>
    <w:rsid w:val="0001248A"/>
    <w:rsid w:val="00012A86"/>
    <w:rsid w:val="00013120"/>
    <w:rsid w:val="00014630"/>
    <w:rsid w:val="000154CA"/>
    <w:rsid w:val="00025182"/>
    <w:rsid w:val="00025A17"/>
    <w:rsid w:val="00027653"/>
    <w:rsid w:val="000302D8"/>
    <w:rsid w:val="00031BE4"/>
    <w:rsid w:val="00035A74"/>
    <w:rsid w:val="00037932"/>
    <w:rsid w:val="000423FA"/>
    <w:rsid w:val="00042A7A"/>
    <w:rsid w:val="0004315D"/>
    <w:rsid w:val="0004696A"/>
    <w:rsid w:val="0004741D"/>
    <w:rsid w:val="00047CEF"/>
    <w:rsid w:val="00047EAC"/>
    <w:rsid w:val="00050D70"/>
    <w:rsid w:val="00051C6B"/>
    <w:rsid w:val="00052AA6"/>
    <w:rsid w:val="000548BE"/>
    <w:rsid w:val="00056D0F"/>
    <w:rsid w:val="0006044F"/>
    <w:rsid w:val="00060AAF"/>
    <w:rsid w:val="000654F1"/>
    <w:rsid w:val="000660E2"/>
    <w:rsid w:val="0006618F"/>
    <w:rsid w:val="0007009D"/>
    <w:rsid w:val="00074619"/>
    <w:rsid w:val="00074A7E"/>
    <w:rsid w:val="00080C07"/>
    <w:rsid w:val="0008497D"/>
    <w:rsid w:val="00085107"/>
    <w:rsid w:val="00086476"/>
    <w:rsid w:val="000869E3"/>
    <w:rsid w:val="00086DC8"/>
    <w:rsid w:val="0008712B"/>
    <w:rsid w:val="000910A3"/>
    <w:rsid w:val="00091DFB"/>
    <w:rsid w:val="0009221F"/>
    <w:rsid w:val="00093F22"/>
    <w:rsid w:val="000941CB"/>
    <w:rsid w:val="00094C07"/>
    <w:rsid w:val="00097080"/>
    <w:rsid w:val="00097440"/>
    <w:rsid w:val="00097446"/>
    <w:rsid w:val="00097A94"/>
    <w:rsid w:val="000A24E9"/>
    <w:rsid w:val="000A5242"/>
    <w:rsid w:val="000A67D9"/>
    <w:rsid w:val="000A728B"/>
    <w:rsid w:val="000A751F"/>
    <w:rsid w:val="000A7F13"/>
    <w:rsid w:val="000B1D7F"/>
    <w:rsid w:val="000B1F57"/>
    <w:rsid w:val="000B2777"/>
    <w:rsid w:val="000B5078"/>
    <w:rsid w:val="000B552B"/>
    <w:rsid w:val="000B7A31"/>
    <w:rsid w:val="000C3C21"/>
    <w:rsid w:val="000C55C3"/>
    <w:rsid w:val="000D2D2B"/>
    <w:rsid w:val="000D3E90"/>
    <w:rsid w:val="000D5292"/>
    <w:rsid w:val="000D665A"/>
    <w:rsid w:val="000E2C73"/>
    <w:rsid w:val="000E2F97"/>
    <w:rsid w:val="000E52FD"/>
    <w:rsid w:val="000E6505"/>
    <w:rsid w:val="000F1303"/>
    <w:rsid w:val="000F1681"/>
    <w:rsid w:val="000F1F19"/>
    <w:rsid w:val="000F3D68"/>
    <w:rsid w:val="000F4101"/>
    <w:rsid w:val="000F5CF2"/>
    <w:rsid w:val="000F7993"/>
    <w:rsid w:val="0010039D"/>
    <w:rsid w:val="00105620"/>
    <w:rsid w:val="0011141D"/>
    <w:rsid w:val="001121AD"/>
    <w:rsid w:val="001147CD"/>
    <w:rsid w:val="00117109"/>
    <w:rsid w:val="00120685"/>
    <w:rsid w:val="00122A58"/>
    <w:rsid w:val="00122B47"/>
    <w:rsid w:val="00124558"/>
    <w:rsid w:val="00124A5A"/>
    <w:rsid w:val="00124CE4"/>
    <w:rsid w:val="0012570F"/>
    <w:rsid w:val="00127308"/>
    <w:rsid w:val="00127D61"/>
    <w:rsid w:val="00131231"/>
    <w:rsid w:val="001320B0"/>
    <w:rsid w:val="00132104"/>
    <w:rsid w:val="0013490F"/>
    <w:rsid w:val="00135144"/>
    <w:rsid w:val="00140E7A"/>
    <w:rsid w:val="00141D5A"/>
    <w:rsid w:val="001463AF"/>
    <w:rsid w:val="001538E4"/>
    <w:rsid w:val="00154FAA"/>
    <w:rsid w:val="00157E90"/>
    <w:rsid w:val="0016142B"/>
    <w:rsid w:val="00161F91"/>
    <w:rsid w:val="00166D1C"/>
    <w:rsid w:val="00172B59"/>
    <w:rsid w:val="00174433"/>
    <w:rsid w:val="00174485"/>
    <w:rsid w:val="00175C9A"/>
    <w:rsid w:val="001770DE"/>
    <w:rsid w:val="0018011E"/>
    <w:rsid w:val="0018399B"/>
    <w:rsid w:val="00183E2D"/>
    <w:rsid w:val="00185439"/>
    <w:rsid w:val="00190FBD"/>
    <w:rsid w:val="00191665"/>
    <w:rsid w:val="0019212A"/>
    <w:rsid w:val="00193C4E"/>
    <w:rsid w:val="00195429"/>
    <w:rsid w:val="0019545D"/>
    <w:rsid w:val="00196CB8"/>
    <w:rsid w:val="00197071"/>
    <w:rsid w:val="001A009C"/>
    <w:rsid w:val="001A29AC"/>
    <w:rsid w:val="001A5AB8"/>
    <w:rsid w:val="001B143A"/>
    <w:rsid w:val="001B3B52"/>
    <w:rsid w:val="001B3D74"/>
    <w:rsid w:val="001B44A4"/>
    <w:rsid w:val="001B61B8"/>
    <w:rsid w:val="001C1103"/>
    <w:rsid w:val="001C17F6"/>
    <w:rsid w:val="001C6101"/>
    <w:rsid w:val="001D5B6E"/>
    <w:rsid w:val="001D61DB"/>
    <w:rsid w:val="001E14B1"/>
    <w:rsid w:val="001E16C3"/>
    <w:rsid w:val="001E2471"/>
    <w:rsid w:val="001E3B77"/>
    <w:rsid w:val="001E4A89"/>
    <w:rsid w:val="001F4326"/>
    <w:rsid w:val="001F4577"/>
    <w:rsid w:val="001F4853"/>
    <w:rsid w:val="0020551C"/>
    <w:rsid w:val="00211549"/>
    <w:rsid w:val="002132D3"/>
    <w:rsid w:val="002133F0"/>
    <w:rsid w:val="0021384F"/>
    <w:rsid w:val="0021573E"/>
    <w:rsid w:val="00217245"/>
    <w:rsid w:val="002172DD"/>
    <w:rsid w:val="0022038B"/>
    <w:rsid w:val="00221B80"/>
    <w:rsid w:val="00222259"/>
    <w:rsid w:val="00224692"/>
    <w:rsid w:val="00226AA8"/>
    <w:rsid w:val="00231180"/>
    <w:rsid w:val="0023334D"/>
    <w:rsid w:val="002350CB"/>
    <w:rsid w:val="00235DE4"/>
    <w:rsid w:val="002372A3"/>
    <w:rsid w:val="00237CA5"/>
    <w:rsid w:val="0024031B"/>
    <w:rsid w:val="00243662"/>
    <w:rsid w:val="0024524F"/>
    <w:rsid w:val="00262F57"/>
    <w:rsid w:val="00265081"/>
    <w:rsid w:val="00265DD9"/>
    <w:rsid w:val="002670E4"/>
    <w:rsid w:val="0027065F"/>
    <w:rsid w:val="00275B45"/>
    <w:rsid w:val="00275DED"/>
    <w:rsid w:val="00277FE7"/>
    <w:rsid w:val="002816D9"/>
    <w:rsid w:val="00281D0C"/>
    <w:rsid w:val="0028249E"/>
    <w:rsid w:val="0028282C"/>
    <w:rsid w:val="00283C1F"/>
    <w:rsid w:val="00285B85"/>
    <w:rsid w:val="002865FC"/>
    <w:rsid w:val="00287358"/>
    <w:rsid w:val="00287569"/>
    <w:rsid w:val="00287DC6"/>
    <w:rsid w:val="002920FF"/>
    <w:rsid w:val="00292681"/>
    <w:rsid w:val="00293830"/>
    <w:rsid w:val="0029656C"/>
    <w:rsid w:val="00296A1C"/>
    <w:rsid w:val="00297ECA"/>
    <w:rsid w:val="002A107E"/>
    <w:rsid w:val="002A32D7"/>
    <w:rsid w:val="002A3B6C"/>
    <w:rsid w:val="002A57E2"/>
    <w:rsid w:val="002A6C02"/>
    <w:rsid w:val="002A7D02"/>
    <w:rsid w:val="002B00C1"/>
    <w:rsid w:val="002B29C6"/>
    <w:rsid w:val="002B2FE9"/>
    <w:rsid w:val="002B317C"/>
    <w:rsid w:val="002B3BF7"/>
    <w:rsid w:val="002B46E8"/>
    <w:rsid w:val="002C00E7"/>
    <w:rsid w:val="002C0E70"/>
    <w:rsid w:val="002C0F1B"/>
    <w:rsid w:val="002C5F50"/>
    <w:rsid w:val="002C7C90"/>
    <w:rsid w:val="002D3F26"/>
    <w:rsid w:val="002D5557"/>
    <w:rsid w:val="002E05CA"/>
    <w:rsid w:val="002E104B"/>
    <w:rsid w:val="002E1461"/>
    <w:rsid w:val="002E42A9"/>
    <w:rsid w:val="002E71FC"/>
    <w:rsid w:val="002E7D59"/>
    <w:rsid w:val="002F275E"/>
    <w:rsid w:val="002F4000"/>
    <w:rsid w:val="002F4B50"/>
    <w:rsid w:val="002F53AB"/>
    <w:rsid w:val="002F59CD"/>
    <w:rsid w:val="002F745D"/>
    <w:rsid w:val="003000B7"/>
    <w:rsid w:val="003024AB"/>
    <w:rsid w:val="003046EF"/>
    <w:rsid w:val="00306126"/>
    <w:rsid w:val="00312FB8"/>
    <w:rsid w:val="00316C37"/>
    <w:rsid w:val="003171F4"/>
    <w:rsid w:val="003178BC"/>
    <w:rsid w:val="00317EE3"/>
    <w:rsid w:val="003233F0"/>
    <w:rsid w:val="00325E58"/>
    <w:rsid w:val="00326014"/>
    <w:rsid w:val="00332C2C"/>
    <w:rsid w:val="00333A20"/>
    <w:rsid w:val="00336F61"/>
    <w:rsid w:val="00340E44"/>
    <w:rsid w:val="0034132C"/>
    <w:rsid w:val="003430E8"/>
    <w:rsid w:val="00345536"/>
    <w:rsid w:val="003462DF"/>
    <w:rsid w:val="00354812"/>
    <w:rsid w:val="00360474"/>
    <w:rsid w:val="00362459"/>
    <w:rsid w:val="00363D44"/>
    <w:rsid w:val="0036667A"/>
    <w:rsid w:val="00366732"/>
    <w:rsid w:val="00367382"/>
    <w:rsid w:val="003700CB"/>
    <w:rsid w:val="00370105"/>
    <w:rsid w:val="0037260C"/>
    <w:rsid w:val="00373464"/>
    <w:rsid w:val="00376F79"/>
    <w:rsid w:val="003774F8"/>
    <w:rsid w:val="00377836"/>
    <w:rsid w:val="003806E2"/>
    <w:rsid w:val="00380AAF"/>
    <w:rsid w:val="003812F3"/>
    <w:rsid w:val="00384DC8"/>
    <w:rsid w:val="003851AC"/>
    <w:rsid w:val="00386319"/>
    <w:rsid w:val="00386526"/>
    <w:rsid w:val="003919FA"/>
    <w:rsid w:val="00391C45"/>
    <w:rsid w:val="00393FFA"/>
    <w:rsid w:val="0039656B"/>
    <w:rsid w:val="00397031"/>
    <w:rsid w:val="003A03B6"/>
    <w:rsid w:val="003A5642"/>
    <w:rsid w:val="003A59AA"/>
    <w:rsid w:val="003A7C1E"/>
    <w:rsid w:val="003B21A1"/>
    <w:rsid w:val="003B34B8"/>
    <w:rsid w:val="003B3EB1"/>
    <w:rsid w:val="003B4C8A"/>
    <w:rsid w:val="003B4DBB"/>
    <w:rsid w:val="003B69F4"/>
    <w:rsid w:val="003C45E4"/>
    <w:rsid w:val="003C512E"/>
    <w:rsid w:val="003C59CA"/>
    <w:rsid w:val="003C5E7C"/>
    <w:rsid w:val="003C6A34"/>
    <w:rsid w:val="003C7A94"/>
    <w:rsid w:val="003D03FB"/>
    <w:rsid w:val="003D1553"/>
    <w:rsid w:val="003D734B"/>
    <w:rsid w:val="003D7635"/>
    <w:rsid w:val="003E039E"/>
    <w:rsid w:val="003E0D7F"/>
    <w:rsid w:val="003E1247"/>
    <w:rsid w:val="003E2917"/>
    <w:rsid w:val="003E3A4C"/>
    <w:rsid w:val="003E46FB"/>
    <w:rsid w:val="003E512F"/>
    <w:rsid w:val="003E6901"/>
    <w:rsid w:val="003E7B9B"/>
    <w:rsid w:val="003F2424"/>
    <w:rsid w:val="003F3D6A"/>
    <w:rsid w:val="00401FEF"/>
    <w:rsid w:val="00402811"/>
    <w:rsid w:val="00403E5A"/>
    <w:rsid w:val="00405B98"/>
    <w:rsid w:val="00406F99"/>
    <w:rsid w:val="00406FBC"/>
    <w:rsid w:val="00412E38"/>
    <w:rsid w:val="0041672B"/>
    <w:rsid w:val="00420B91"/>
    <w:rsid w:val="00422B3E"/>
    <w:rsid w:val="00422EA6"/>
    <w:rsid w:val="00424613"/>
    <w:rsid w:val="00424B89"/>
    <w:rsid w:val="00426CFA"/>
    <w:rsid w:val="00434DFE"/>
    <w:rsid w:val="004356F3"/>
    <w:rsid w:val="00435FC6"/>
    <w:rsid w:val="00436F02"/>
    <w:rsid w:val="0043702F"/>
    <w:rsid w:val="00437CA2"/>
    <w:rsid w:val="00437F09"/>
    <w:rsid w:val="00442AC4"/>
    <w:rsid w:val="00444680"/>
    <w:rsid w:val="00444E94"/>
    <w:rsid w:val="004470F5"/>
    <w:rsid w:val="004477EF"/>
    <w:rsid w:val="00450612"/>
    <w:rsid w:val="00450D09"/>
    <w:rsid w:val="00450EEC"/>
    <w:rsid w:val="004561F3"/>
    <w:rsid w:val="00457A0B"/>
    <w:rsid w:val="0046034C"/>
    <w:rsid w:val="00462418"/>
    <w:rsid w:val="0046345B"/>
    <w:rsid w:val="00465D32"/>
    <w:rsid w:val="00466ECB"/>
    <w:rsid w:val="00467A51"/>
    <w:rsid w:val="0047066B"/>
    <w:rsid w:val="00471346"/>
    <w:rsid w:val="004721D4"/>
    <w:rsid w:val="00477329"/>
    <w:rsid w:val="00484554"/>
    <w:rsid w:val="004854CF"/>
    <w:rsid w:val="004917D2"/>
    <w:rsid w:val="00495E36"/>
    <w:rsid w:val="004A7A1C"/>
    <w:rsid w:val="004B1371"/>
    <w:rsid w:val="004B3958"/>
    <w:rsid w:val="004B54A9"/>
    <w:rsid w:val="004B722D"/>
    <w:rsid w:val="004B7DEB"/>
    <w:rsid w:val="004C18D8"/>
    <w:rsid w:val="004C3F83"/>
    <w:rsid w:val="004C55F0"/>
    <w:rsid w:val="004C6EA1"/>
    <w:rsid w:val="004C7BCF"/>
    <w:rsid w:val="004D0E92"/>
    <w:rsid w:val="004D3E97"/>
    <w:rsid w:val="004D4632"/>
    <w:rsid w:val="004D4A05"/>
    <w:rsid w:val="004D6B61"/>
    <w:rsid w:val="004E03F8"/>
    <w:rsid w:val="004E041C"/>
    <w:rsid w:val="004E054D"/>
    <w:rsid w:val="004E207F"/>
    <w:rsid w:val="004E3C85"/>
    <w:rsid w:val="004E3E0F"/>
    <w:rsid w:val="004E51B9"/>
    <w:rsid w:val="004E5A54"/>
    <w:rsid w:val="004E7BA2"/>
    <w:rsid w:val="004F0AF8"/>
    <w:rsid w:val="004F4A00"/>
    <w:rsid w:val="004F772A"/>
    <w:rsid w:val="0050091F"/>
    <w:rsid w:val="00500F85"/>
    <w:rsid w:val="005010EF"/>
    <w:rsid w:val="00503912"/>
    <w:rsid w:val="00505951"/>
    <w:rsid w:val="0050613C"/>
    <w:rsid w:val="00506A1B"/>
    <w:rsid w:val="00511F18"/>
    <w:rsid w:val="005131C7"/>
    <w:rsid w:val="005140A4"/>
    <w:rsid w:val="0051433C"/>
    <w:rsid w:val="005143EB"/>
    <w:rsid w:val="00515FAF"/>
    <w:rsid w:val="0051631E"/>
    <w:rsid w:val="005172FA"/>
    <w:rsid w:val="00517986"/>
    <w:rsid w:val="005223F3"/>
    <w:rsid w:val="0052295A"/>
    <w:rsid w:val="0052586E"/>
    <w:rsid w:val="005328A5"/>
    <w:rsid w:val="00534855"/>
    <w:rsid w:val="005428A3"/>
    <w:rsid w:val="00543135"/>
    <w:rsid w:val="00544CF1"/>
    <w:rsid w:val="00544F42"/>
    <w:rsid w:val="00546F30"/>
    <w:rsid w:val="005472F8"/>
    <w:rsid w:val="005544DE"/>
    <w:rsid w:val="005606F7"/>
    <w:rsid w:val="00563139"/>
    <w:rsid w:val="00564744"/>
    <w:rsid w:val="005671DA"/>
    <w:rsid w:val="00567442"/>
    <w:rsid w:val="005704D9"/>
    <w:rsid w:val="00570AC5"/>
    <w:rsid w:val="005716C5"/>
    <w:rsid w:val="0057295E"/>
    <w:rsid w:val="00572AA4"/>
    <w:rsid w:val="00573214"/>
    <w:rsid w:val="00574597"/>
    <w:rsid w:val="0057465C"/>
    <w:rsid w:val="00575D40"/>
    <w:rsid w:val="00575DCC"/>
    <w:rsid w:val="00575E3C"/>
    <w:rsid w:val="005776CB"/>
    <w:rsid w:val="00577CB4"/>
    <w:rsid w:val="005816E2"/>
    <w:rsid w:val="00585150"/>
    <w:rsid w:val="00585AFA"/>
    <w:rsid w:val="00586AE4"/>
    <w:rsid w:val="00587547"/>
    <w:rsid w:val="00590A8D"/>
    <w:rsid w:val="00593A50"/>
    <w:rsid w:val="00593CCC"/>
    <w:rsid w:val="005A2656"/>
    <w:rsid w:val="005A3D66"/>
    <w:rsid w:val="005A4D16"/>
    <w:rsid w:val="005B0227"/>
    <w:rsid w:val="005B0F24"/>
    <w:rsid w:val="005B2CCA"/>
    <w:rsid w:val="005B476C"/>
    <w:rsid w:val="005B7D69"/>
    <w:rsid w:val="005C050D"/>
    <w:rsid w:val="005C3D2E"/>
    <w:rsid w:val="005C3E43"/>
    <w:rsid w:val="005C4C16"/>
    <w:rsid w:val="005C6C5F"/>
    <w:rsid w:val="005D1057"/>
    <w:rsid w:val="005D60D5"/>
    <w:rsid w:val="005E214D"/>
    <w:rsid w:val="005E2E28"/>
    <w:rsid w:val="005E3CA9"/>
    <w:rsid w:val="005E584C"/>
    <w:rsid w:val="005E6FE7"/>
    <w:rsid w:val="005E6FFF"/>
    <w:rsid w:val="005E7F45"/>
    <w:rsid w:val="005F07C9"/>
    <w:rsid w:val="005F5365"/>
    <w:rsid w:val="005F5FD7"/>
    <w:rsid w:val="005F6343"/>
    <w:rsid w:val="005F6628"/>
    <w:rsid w:val="00601B13"/>
    <w:rsid w:val="00601EB3"/>
    <w:rsid w:val="0060467D"/>
    <w:rsid w:val="006052EF"/>
    <w:rsid w:val="00606A86"/>
    <w:rsid w:val="00607570"/>
    <w:rsid w:val="006126EE"/>
    <w:rsid w:val="00612DD2"/>
    <w:rsid w:val="00614850"/>
    <w:rsid w:val="00614D31"/>
    <w:rsid w:val="006173B4"/>
    <w:rsid w:val="00617B1C"/>
    <w:rsid w:val="00620A93"/>
    <w:rsid w:val="00622040"/>
    <w:rsid w:val="00622722"/>
    <w:rsid w:val="00623E06"/>
    <w:rsid w:val="006268A2"/>
    <w:rsid w:val="0062726E"/>
    <w:rsid w:val="006339FD"/>
    <w:rsid w:val="00635C09"/>
    <w:rsid w:val="006378C8"/>
    <w:rsid w:val="00640AE7"/>
    <w:rsid w:val="006430A7"/>
    <w:rsid w:val="00644FFA"/>
    <w:rsid w:val="00645743"/>
    <w:rsid w:val="00653321"/>
    <w:rsid w:val="006537D2"/>
    <w:rsid w:val="00656940"/>
    <w:rsid w:val="00661E61"/>
    <w:rsid w:val="00663C8F"/>
    <w:rsid w:val="00664505"/>
    <w:rsid w:val="00666007"/>
    <w:rsid w:val="00670B1D"/>
    <w:rsid w:val="00670DBF"/>
    <w:rsid w:val="00672A40"/>
    <w:rsid w:val="00680D95"/>
    <w:rsid w:val="00680F8C"/>
    <w:rsid w:val="00682E9F"/>
    <w:rsid w:val="00682EFD"/>
    <w:rsid w:val="00683061"/>
    <w:rsid w:val="006852D9"/>
    <w:rsid w:val="00685F63"/>
    <w:rsid w:val="00686381"/>
    <w:rsid w:val="006919C0"/>
    <w:rsid w:val="00693EAC"/>
    <w:rsid w:val="00695219"/>
    <w:rsid w:val="00695971"/>
    <w:rsid w:val="006A28AB"/>
    <w:rsid w:val="006A2955"/>
    <w:rsid w:val="006A3222"/>
    <w:rsid w:val="006A32E7"/>
    <w:rsid w:val="006A4517"/>
    <w:rsid w:val="006A45DA"/>
    <w:rsid w:val="006A4E21"/>
    <w:rsid w:val="006A60AA"/>
    <w:rsid w:val="006B11BE"/>
    <w:rsid w:val="006B45CE"/>
    <w:rsid w:val="006B5247"/>
    <w:rsid w:val="006B5892"/>
    <w:rsid w:val="006C138B"/>
    <w:rsid w:val="006C1DCB"/>
    <w:rsid w:val="006C2604"/>
    <w:rsid w:val="006C524E"/>
    <w:rsid w:val="006D0B1E"/>
    <w:rsid w:val="006D1F2B"/>
    <w:rsid w:val="006E1FEA"/>
    <w:rsid w:val="006E4589"/>
    <w:rsid w:val="006E60B6"/>
    <w:rsid w:val="006E6117"/>
    <w:rsid w:val="006F150C"/>
    <w:rsid w:val="006F480E"/>
    <w:rsid w:val="006F5312"/>
    <w:rsid w:val="00700883"/>
    <w:rsid w:val="007017FB"/>
    <w:rsid w:val="007018BE"/>
    <w:rsid w:val="0070229C"/>
    <w:rsid w:val="00702EC3"/>
    <w:rsid w:val="0071096B"/>
    <w:rsid w:val="0071153B"/>
    <w:rsid w:val="00712305"/>
    <w:rsid w:val="00712DBD"/>
    <w:rsid w:val="007139C2"/>
    <w:rsid w:val="00714950"/>
    <w:rsid w:val="0071565F"/>
    <w:rsid w:val="007157B8"/>
    <w:rsid w:val="0071633C"/>
    <w:rsid w:val="00721860"/>
    <w:rsid w:val="00721F25"/>
    <w:rsid w:val="007245ED"/>
    <w:rsid w:val="0072636D"/>
    <w:rsid w:val="00726382"/>
    <w:rsid w:val="007263B9"/>
    <w:rsid w:val="00727958"/>
    <w:rsid w:val="00730B54"/>
    <w:rsid w:val="007323E1"/>
    <w:rsid w:val="00735FB4"/>
    <w:rsid w:val="007439D6"/>
    <w:rsid w:val="00752E05"/>
    <w:rsid w:val="00755068"/>
    <w:rsid w:val="00757658"/>
    <w:rsid w:val="00757BDC"/>
    <w:rsid w:val="00763634"/>
    <w:rsid w:val="00763BF5"/>
    <w:rsid w:val="007644EA"/>
    <w:rsid w:val="00766161"/>
    <w:rsid w:val="00766579"/>
    <w:rsid w:val="00773A06"/>
    <w:rsid w:val="00774EB1"/>
    <w:rsid w:val="00776A63"/>
    <w:rsid w:val="00777983"/>
    <w:rsid w:val="00777A84"/>
    <w:rsid w:val="007801EC"/>
    <w:rsid w:val="0078163E"/>
    <w:rsid w:val="007827CA"/>
    <w:rsid w:val="00784320"/>
    <w:rsid w:val="00785FB7"/>
    <w:rsid w:val="00786BBF"/>
    <w:rsid w:val="007900CF"/>
    <w:rsid w:val="00790771"/>
    <w:rsid w:val="007943CB"/>
    <w:rsid w:val="00794D22"/>
    <w:rsid w:val="0079539B"/>
    <w:rsid w:val="0079681D"/>
    <w:rsid w:val="007978E7"/>
    <w:rsid w:val="00797C8E"/>
    <w:rsid w:val="007A2896"/>
    <w:rsid w:val="007A36DB"/>
    <w:rsid w:val="007A4191"/>
    <w:rsid w:val="007A58EE"/>
    <w:rsid w:val="007A5EF2"/>
    <w:rsid w:val="007A7F32"/>
    <w:rsid w:val="007B1ECE"/>
    <w:rsid w:val="007B2B1F"/>
    <w:rsid w:val="007B362D"/>
    <w:rsid w:val="007B408E"/>
    <w:rsid w:val="007B56D4"/>
    <w:rsid w:val="007B62F9"/>
    <w:rsid w:val="007B6582"/>
    <w:rsid w:val="007B7D86"/>
    <w:rsid w:val="007C3CA8"/>
    <w:rsid w:val="007C4B9A"/>
    <w:rsid w:val="007D182A"/>
    <w:rsid w:val="007D267D"/>
    <w:rsid w:val="007D51A0"/>
    <w:rsid w:val="007D5857"/>
    <w:rsid w:val="007D66DC"/>
    <w:rsid w:val="007D68B9"/>
    <w:rsid w:val="007D6BF2"/>
    <w:rsid w:val="007D7A51"/>
    <w:rsid w:val="007E0C88"/>
    <w:rsid w:val="007E10D4"/>
    <w:rsid w:val="007E53DA"/>
    <w:rsid w:val="007E6395"/>
    <w:rsid w:val="007E6D4C"/>
    <w:rsid w:val="007E7F3C"/>
    <w:rsid w:val="007F5671"/>
    <w:rsid w:val="007F5877"/>
    <w:rsid w:val="007F58C1"/>
    <w:rsid w:val="00800D19"/>
    <w:rsid w:val="008019EE"/>
    <w:rsid w:val="00802FB5"/>
    <w:rsid w:val="00803157"/>
    <w:rsid w:val="008072C9"/>
    <w:rsid w:val="008078E7"/>
    <w:rsid w:val="00810E2D"/>
    <w:rsid w:val="0081202E"/>
    <w:rsid w:val="00812E92"/>
    <w:rsid w:val="00815D82"/>
    <w:rsid w:val="00816926"/>
    <w:rsid w:val="00820193"/>
    <w:rsid w:val="00820ACE"/>
    <w:rsid w:val="00821BF4"/>
    <w:rsid w:val="00825C0B"/>
    <w:rsid w:val="00833834"/>
    <w:rsid w:val="00835206"/>
    <w:rsid w:val="00837249"/>
    <w:rsid w:val="00837B37"/>
    <w:rsid w:val="00840B18"/>
    <w:rsid w:val="0084153F"/>
    <w:rsid w:val="00845B83"/>
    <w:rsid w:val="00850E45"/>
    <w:rsid w:val="008541D6"/>
    <w:rsid w:val="00855B7B"/>
    <w:rsid w:val="00856D3C"/>
    <w:rsid w:val="00861867"/>
    <w:rsid w:val="00863EBC"/>
    <w:rsid w:val="0086441D"/>
    <w:rsid w:val="00864596"/>
    <w:rsid w:val="00864DB0"/>
    <w:rsid w:val="00865BC7"/>
    <w:rsid w:val="00866C16"/>
    <w:rsid w:val="008676A1"/>
    <w:rsid w:val="00875734"/>
    <w:rsid w:val="0087664D"/>
    <w:rsid w:val="008776C8"/>
    <w:rsid w:val="00882355"/>
    <w:rsid w:val="00887576"/>
    <w:rsid w:val="0089085B"/>
    <w:rsid w:val="008917BE"/>
    <w:rsid w:val="008929C0"/>
    <w:rsid w:val="00896395"/>
    <w:rsid w:val="0089750E"/>
    <w:rsid w:val="008A0DC9"/>
    <w:rsid w:val="008A0E0A"/>
    <w:rsid w:val="008A1635"/>
    <w:rsid w:val="008A5AD7"/>
    <w:rsid w:val="008A6763"/>
    <w:rsid w:val="008A77EF"/>
    <w:rsid w:val="008A7E23"/>
    <w:rsid w:val="008B2D53"/>
    <w:rsid w:val="008B334D"/>
    <w:rsid w:val="008B56FF"/>
    <w:rsid w:val="008B602C"/>
    <w:rsid w:val="008B774A"/>
    <w:rsid w:val="008C1701"/>
    <w:rsid w:val="008C36EC"/>
    <w:rsid w:val="008C5099"/>
    <w:rsid w:val="008C6635"/>
    <w:rsid w:val="008D30E1"/>
    <w:rsid w:val="008D406E"/>
    <w:rsid w:val="008D44A1"/>
    <w:rsid w:val="008D691D"/>
    <w:rsid w:val="008D6ACD"/>
    <w:rsid w:val="008E3313"/>
    <w:rsid w:val="008E78EE"/>
    <w:rsid w:val="008F14F6"/>
    <w:rsid w:val="008F1E21"/>
    <w:rsid w:val="008F2BF3"/>
    <w:rsid w:val="008F6CAA"/>
    <w:rsid w:val="009002EF"/>
    <w:rsid w:val="00901E32"/>
    <w:rsid w:val="00902287"/>
    <w:rsid w:val="00904456"/>
    <w:rsid w:val="00907AA5"/>
    <w:rsid w:val="00914990"/>
    <w:rsid w:val="0092105B"/>
    <w:rsid w:val="0092377C"/>
    <w:rsid w:val="00930DFF"/>
    <w:rsid w:val="00934BB7"/>
    <w:rsid w:val="00935FDE"/>
    <w:rsid w:val="00936943"/>
    <w:rsid w:val="00937419"/>
    <w:rsid w:val="00940E85"/>
    <w:rsid w:val="00941AEE"/>
    <w:rsid w:val="0094356E"/>
    <w:rsid w:val="0094378A"/>
    <w:rsid w:val="00944A0C"/>
    <w:rsid w:val="0094557E"/>
    <w:rsid w:val="009474CC"/>
    <w:rsid w:val="00951851"/>
    <w:rsid w:val="00951C47"/>
    <w:rsid w:val="009555A9"/>
    <w:rsid w:val="00960057"/>
    <w:rsid w:val="00964DF2"/>
    <w:rsid w:val="0096764F"/>
    <w:rsid w:val="00970366"/>
    <w:rsid w:val="00970775"/>
    <w:rsid w:val="0097079F"/>
    <w:rsid w:val="00971D62"/>
    <w:rsid w:val="00972622"/>
    <w:rsid w:val="009746D2"/>
    <w:rsid w:val="00974CEF"/>
    <w:rsid w:val="009770E6"/>
    <w:rsid w:val="009819F0"/>
    <w:rsid w:val="00982B9A"/>
    <w:rsid w:val="00983E3E"/>
    <w:rsid w:val="00984183"/>
    <w:rsid w:val="0098460C"/>
    <w:rsid w:val="00990E1A"/>
    <w:rsid w:val="0099501B"/>
    <w:rsid w:val="009A0512"/>
    <w:rsid w:val="009A117D"/>
    <w:rsid w:val="009A48E2"/>
    <w:rsid w:val="009A4E36"/>
    <w:rsid w:val="009A67D5"/>
    <w:rsid w:val="009B0423"/>
    <w:rsid w:val="009B0C13"/>
    <w:rsid w:val="009B2A5D"/>
    <w:rsid w:val="009B441C"/>
    <w:rsid w:val="009B4CEB"/>
    <w:rsid w:val="009B537D"/>
    <w:rsid w:val="009B5DA8"/>
    <w:rsid w:val="009B7F69"/>
    <w:rsid w:val="009C22B7"/>
    <w:rsid w:val="009C2661"/>
    <w:rsid w:val="009C2EE6"/>
    <w:rsid w:val="009C5BD4"/>
    <w:rsid w:val="009C7097"/>
    <w:rsid w:val="009D1730"/>
    <w:rsid w:val="009D4B08"/>
    <w:rsid w:val="009D504A"/>
    <w:rsid w:val="009D7F2C"/>
    <w:rsid w:val="009E2F7B"/>
    <w:rsid w:val="009F0699"/>
    <w:rsid w:val="009F179E"/>
    <w:rsid w:val="009F1F9D"/>
    <w:rsid w:val="009F37A5"/>
    <w:rsid w:val="009F3E1E"/>
    <w:rsid w:val="009F55FF"/>
    <w:rsid w:val="009F64C0"/>
    <w:rsid w:val="009F6A31"/>
    <w:rsid w:val="009F704D"/>
    <w:rsid w:val="00A00CEF"/>
    <w:rsid w:val="00A01FF8"/>
    <w:rsid w:val="00A04925"/>
    <w:rsid w:val="00A07885"/>
    <w:rsid w:val="00A148C0"/>
    <w:rsid w:val="00A14C49"/>
    <w:rsid w:val="00A15A1E"/>
    <w:rsid w:val="00A15C8B"/>
    <w:rsid w:val="00A20E6A"/>
    <w:rsid w:val="00A22273"/>
    <w:rsid w:val="00A2350F"/>
    <w:rsid w:val="00A24429"/>
    <w:rsid w:val="00A255C8"/>
    <w:rsid w:val="00A2629E"/>
    <w:rsid w:val="00A265E3"/>
    <w:rsid w:val="00A27790"/>
    <w:rsid w:val="00A27F3C"/>
    <w:rsid w:val="00A30B9C"/>
    <w:rsid w:val="00A317C9"/>
    <w:rsid w:val="00A3597D"/>
    <w:rsid w:val="00A35A6C"/>
    <w:rsid w:val="00A35A98"/>
    <w:rsid w:val="00A3774A"/>
    <w:rsid w:val="00A45E89"/>
    <w:rsid w:val="00A47A2F"/>
    <w:rsid w:val="00A50DB7"/>
    <w:rsid w:val="00A53BD4"/>
    <w:rsid w:val="00A56284"/>
    <w:rsid w:val="00A57D40"/>
    <w:rsid w:val="00A61AE5"/>
    <w:rsid w:val="00A6296C"/>
    <w:rsid w:val="00A63A0C"/>
    <w:rsid w:val="00A645EF"/>
    <w:rsid w:val="00A64F32"/>
    <w:rsid w:val="00A66950"/>
    <w:rsid w:val="00A67FBF"/>
    <w:rsid w:val="00A707A6"/>
    <w:rsid w:val="00A711A3"/>
    <w:rsid w:val="00A716F1"/>
    <w:rsid w:val="00A73E8F"/>
    <w:rsid w:val="00A747BF"/>
    <w:rsid w:val="00A747E5"/>
    <w:rsid w:val="00A74EE7"/>
    <w:rsid w:val="00A75AF8"/>
    <w:rsid w:val="00A76C18"/>
    <w:rsid w:val="00A778AA"/>
    <w:rsid w:val="00A80531"/>
    <w:rsid w:val="00A823D0"/>
    <w:rsid w:val="00A8426B"/>
    <w:rsid w:val="00A84F29"/>
    <w:rsid w:val="00A85C79"/>
    <w:rsid w:val="00A87C0D"/>
    <w:rsid w:val="00A90F62"/>
    <w:rsid w:val="00AA1AC7"/>
    <w:rsid w:val="00AA1DA3"/>
    <w:rsid w:val="00AA39C2"/>
    <w:rsid w:val="00AA527F"/>
    <w:rsid w:val="00AA5E38"/>
    <w:rsid w:val="00AB0559"/>
    <w:rsid w:val="00AB1735"/>
    <w:rsid w:val="00AB3173"/>
    <w:rsid w:val="00AB45F2"/>
    <w:rsid w:val="00AB6DAA"/>
    <w:rsid w:val="00AB6F2C"/>
    <w:rsid w:val="00AB798F"/>
    <w:rsid w:val="00AB7F8B"/>
    <w:rsid w:val="00AC2423"/>
    <w:rsid w:val="00AC24A0"/>
    <w:rsid w:val="00AC31B6"/>
    <w:rsid w:val="00AC3EF0"/>
    <w:rsid w:val="00AD3DC0"/>
    <w:rsid w:val="00AE0D52"/>
    <w:rsid w:val="00AE0DE3"/>
    <w:rsid w:val="00AE43E7"/>
    <w:rsid w:val="00AF49E7"/>
    <w:rsid w:val="00AF6D80"/>
    <w:rsid w:val="00AF7CDF"/>
    <w:rsid w:val="00B02E9C"/>
    <w:rsid w:val="00B03394"/>
    <w:rsid w:val="00B03BD6"/>
    <w:rsid w:val="00B15054"/>
    <w:rsid w:val="00B219EB"/>
    <w:rsid w:val="00B23DBE"/>
    <w:rsid w:val="00B24114"/>
    <w:rsid w:val="00B24783"/>
    <w:rsid w:val="00B3081D"/>
    <w:rsid w:val="00B31C1F"/>
    <w:rsid w:val="00B339AD"/>
    <w:rsid w:val="00B343C3"/>
    <w:rsid w:val="00B35156"/>
    <w:rsid w:val="00B41501"/>
    <w:rsid w:val="00B4179F"/>
    <w:rsid w:val="00B42655"/>
    <w:rsid w:val="00B42A20"/>
    <w:rsid w:val="00B455B5"/>
    <w:rsid w:val="00B506D1"/>
    <w:rsid w:val="00B53176"/>
    <w:rsid w:val="00B534BF"/>
    <w:rsid w:val="00B535A7"/>
    <w:rsid w:val="00B56612"/>
    <w:rsid w:val="00B56E43"/>
    <w:rsid w:val="00B6732D"/>
    <w:rsid w:val="00B7070F"/>
    <w:rsid w:val="00B70D59"/>
    <w:rsid w:val="00B72BBA"/>
    <w:rsid w:val="00B75BD1"/>
    <w:rsid w:val="00B8265F"/>
    <w:rsid w:val="00B8476B"/>
    <w:rsid w:val="00B873CB"/>
    <w:rsid w:val="00B87D00"/>
    <w:rsid w:val="00B9275D"/>
    <w:rsid w:val="00B95169"/>
    <w:rsid w:val="00B9579F"/>
    <w:rsid w:val="00BA098F"/>
    <w:rsid w:val="00BA2F85"/>
    <w:rsid w:val="00BA71FE"/>
    <w:rsid w:val="00BB162E"/>
    <w:rsid w:val="00BB29CE"/>
    <w:rsid w:val="00BB4002"/>
    <w:rsid w:val="00BB5BC1"/>
    <w:rsid w:val="00BB7E0B"/>
    <w:rsid w:val="00BC0900"/>
    <w:rsid w:val="00BC17AE"/>
    <w:rsid w:val="00BC21C4"/>
    <w:rsid w:val="00BC2281"/>
    <w:rsid w:val="00BC28E4"/>
    <w:rsid w:val="00BC318F"/>
    <w:rsid w:val="00BC32DC"/>
    <w:rsid w:val="00BC4E3A"/>
    <w:rsid w:val="00BC72C7"/>
    <w:rsid w:val="00BD0DAC"/>
    <w:rsid w:val="00BD3A5B"/>
    <w:rsid w:val="00BD55AC"/>
    <w:rsid w:val="00BD5FDC"/>
    <w:rsid w:val="00BE13F4"/>
    <w:rsid w:val="00BE401D"/>
    <w:rsid w:val="00BE666F"/>
    <w:rsid w:val="00BF1C1F"/>
    <w:rsid w:val="00BF27A0"/>
    <w:rsid w:val="00BF34AE"/>
    <w:rsid w:val="00BF43E2"/>
    <w:rsid w:val="00BF5236"/>
    <w:rsid w:val="00BF6359"/>
    <w:rsid w:val="00BF659C"/>
    <w:rsid w:val="00C00F7D"/>
    <w:rsid w:val="00C03C0A"/>
    <w:rsid w:val="00C07609"/>
    <w:rsid w:val="00C118A8"/>
    <w:rsid w:val="00C12890"/>
    <w:rsid w:val="00C12F16"/>
    <w:rsid w:val="00C135FE"/>
    <w:rsid w:val="00C15AC9"/>
    <w:rsid w:val="00C165A1"/>
    <w:rsid w:val="00C16CE6"/>
    <w:rsid w:val="00C16F1D"/>
    <w:rsid w:val="00C17BBA"/>
    <w:rsid w:val="00C2527C"/>
    <w:rsid w:val="00C26E8C"/>
    <w:rsid w:val="00C277C7"/>
    <w:rsid w:val="00C27970"/>
    <w:rsid w:val="00C302DB"/>
    <w:rsid w:val="00C3338B"/>
    <w:rsid w:val="00C33867"/>
    <w:rsid w:val="00C35DE8"/>
    <w:rsid w:val="00C373D0"/>
    <w:rsid w:val="00C41000"/>
    <w:rsid w:val="00C4356F"/>
    <w:rsid w:val="00C44B54"/>
    <w:rsid w:val="00C465A8"/>
    <w:rsid w:val="00C5535A"/>
    <w:rsid w:val="00C5721A"/>
    <w:rsid w:val="00C604D0"/>
    <w:rsid w:val="00C606DB"/>
    <w:rsid w:val="00C60BD8"/>
    <w:rsid w:val="00C62F80"/>
    <w:rsid w:val="00C63141"/>
    <w:rsid w:val="00C647E7"/>
    <w:rsid w:val="00C65441"/>
    <w:rsid w:val="00C65665"/>
    <w:rsid w:val="00C66EEE"/>
    <w:rsid w:val="00C67A39"/>
    <w:rsid w:val="00C704A4"/>
    <w:rsid w:val="00C707F0"/>
    <w:rsid w:val="00C71880"/>
    <w:rsid w:val="00C71FE6"/>
    <w:rsid w:val="00C72A55"/>
    <w:rsid w:val="00C73AC2"/>
    <w:rsid w:val="00C73C7C"/>
    <w:rsid w:val="00C741FD"/>
    <w:rsid w:val="00C74C8D"/>
    <w:rsid w:val="00C81944"/>
    <w:rsid w:val="00C83067"/>
    <w:rsid w:val="00C90079"/>
    <w:rsid w:val="00C94F5E"/>
    <w:rsid w:val="00C95D28"/>
    <w:rsid w:val="00C95E24"/>
    <w:rsid w:val="00C961A4"/>
    <w:rsid w:val="00C975C9"/>
    <w:rsid w:val="00CA206D"/>
    <w:rsid w:val="00CA22B9"/>
    <w:rsid w:val="00CA2A42"/>
    <w:rsid w:val="00CA45DE"/>
    <w:rsid w:val="00CA71BB"/>
    <w:rsid w:val="00CA7B2C"/>
    <w:rsid w:val="00CB15DA"/>
    <w:rsid w:val="00CB4832"/>
    <w:rsid w:val="00CB5929"/>
    <w:rsid w:val="00CB763D"/>
    <w:rsid w:val="00CC2DEE"/>
    <w:rsid w:val="00CC542B"/>
    <w:rsid w:val="00CC562A"/>
    <w:rsid w:val="00CC5FD4"/>
    <w:rsid w:val="00CD2322"/>
    <w:rsid w:val="00CD2D53"/>
    <w:rsid w:val="00CD44A9"/>
    <w:rsid w:val="00CD5946"/>
    <w:rsid w:val="00CD68E6"/>
    <w:rsid w:val="00CD7B82"/>
    <w:rsid w:val="00CD7F9E"/>
    <w:rsid w:val="00CE0524"/>
    <w:rsid w:val="00CE052F"/>
    <w:rsid w:val="00CE08C0"/>
    <w:rsid w:val="00CE3137"/>
    <w:rsid w:val="00CE53CF"/>
    <w:rsid w:val="00CE54CB"/>
    <w:rsid w:val="00CE5876"/>
    <w:rsid w:val="00CE5D4F"/>
    <w:rsid w:val="00CE71AF"/>
    <w:rsid w:val="00CF0E3A"/>
    <w:rsid w:val="00CF3FA0"/>
    <w:rsid w:val="00CF4E8B"/>
    <w:rsid w:val="00CF5375"/>
    <w:rsid w:val="00CF641D"/>
    <w:rsid w:val="00CF766F"/>
    <w:rsid w:val="00D01E26"/>
    <w:rsid w:val="00D0201B"/>
    <w:rsid w:val="00D028B0"/>
    <w:rsid w:val="00D03B26"/>
    <w:rsid w:val="00D045FD"/>
    <w:rsid w:val="00D0564B"/>
    <w:rsid w:val="00D074D0"/>
    <w:rsid w:val="00D07931"/>
    <w:rsid w:val="00D1173D"/>
    <w:rsid w:val="00D11E9F"/>
    <w:rsid w:val="00D1446E"/>
    <w:rsid w:val="00D14966"/>
    <w:rsid w:val="00D1682F"/>
    <w:rsid w:val="00D22BE0"/>
    <w:rsid w:val="00D237C6"/>
    <w:rsid w:val="00D23B75"/>
    <w:rsid w:val="00D25E36"/>
    <w:rsid w:val="00D26BE4"/>
    <w:rsid w:val="00D26C5D"/>
    <w:rsid w:val="00D3118B"/>
    <w:rsid w:val="00D331C4"/>
    <w:rsid w:val="00D35355"/>
    <w:rsid w:val="00D36606"/>
    <w:rsid w:val="00D41017"/>
    <w:rsid w:val="00D425E0"/>
    <w:rsid w:val="00D448DE"/>
    <w:rsid w:val="00D45685"/>
    <w:rsid w:val="00D463EC"/>
    <w:rsid w:val="00D46915"/>
    <w:rsid w:val="00D53C9A"/>
    <w:rsid w:val="00D54C13"/>
    <w:rsid w:val="00D56D0C"/>
    <w:rsid w:val="00D611A2"/>
    <w:rsid w:val="00D61503"/>
    <w:rsid w:val="00D62692"/>
    <w:rsid w:val="00D62B05"/>
    <w:rsid w:val="00D675D3"/>
    <w:rsid w:val="00D67F88"/>
    <w:rsid w:val="00D70B92"/>
    <w:rsid w:val="00D72596"/>
    <w:rsid w:val="00D84E02"/>
    <w:rsid w:val="00D86568"/>
    <w:rsid w:val="00D86781"/>
    <w:rsid w:val="00D90561"/>
    <w:rsid w:val="00D9641B"/>
    <w:rsid w:val="00DA12B0"/>
    <w:rsid w:val="00DA2154"/>
    <w:rsid w:val="00DA50B1"/>
    <w:rsid w:val="00DA5F99"/>
    <w:rsid w:val="00DA6B9A"/>
    <w:rsid w:val="00DA71E7"/>
    <w:rsid w:val="00DA7765"/>
    <w:rsid w:val="00DA7E0E"/>
    <w:rsid w:val="00DA7F86"/>
    <w:rsid w:val="00DB0955"/>
    <w:rsid w:val="00DB0F14"/>
    <w:rsid w:val="00DB494D"/>
    <w:rsid w:val="00DB4F93"/>
    <w:rsid w:val="00DB62A2"/>
    <w:rsid w:val="00DB66AF"/>
    <w:rsid w:val="00DC169D"/>
    <w:rsid w:val="00DC208C"/>
    <w:rsid w:val="00DC2376"/>
    <w:rsid w:val="00DC28D0"/>
    <w:rsid w:val="00DC4245"/>
    <w:rsid w:val="00DC7889"/>
    <w:rsid w:val="00DD57EF"/>
    <w:rsid w:val="00DF01E8"/>
    <w:rsid w:val="00DF0597"/>
    <w:rsid w:val="00DF11C7"/>
    <w:rsid w:val="00DF1A2E"/>
    <w:rsid w:val="00DF42DB"/>
    <w:rsid w:val="00DF44B8"/>
    <w:rsid w:val="00DF5B35"/>
    <w:rsid w:val="00DF6A86"/>
    <w:rsid w:val="00E0363C"/>
    <w:rsid w:val="00E0364F"/>
    <w:rsid w:val="00E0503F"/>
    <w:rsid w:val="00E05C2F"/>
    <w:rsid w:val="00E104E3"/>
    <w:rsid w:val="00E10950"/>
    <w:rsid w:val="00E10E17"/>
    <w:rsid w:val="00E117A6"/>
    <w:rsid w:val="00E121D4"/>
    <w:rsid w:val="00E168DA"/>
    <w:rsid w:val="00E1714E"/>
    <w:rsid w:val="00E17966"/>
    <w:rsid w:val="00E215D7"/>
    <w:rsid w:val="00E21A79"/>
    <w:rsid w:val="00E2449F"/>
    <w:rsid w:val="00E26E09"/>
    <w:rsid w:val="00E31824"/>
    <w:rsid w:val="00E31F7C"/>
    <w:rsid w:val="00E32A04"/>
    <w:rsid w:val="00E32A2C"/>
    <w:rsid w:val="00E41374"/>
    <w:rsid w:val="00E439AB"/>
    <w:rsid w:val="00E443D1"/>
    <w:rsid w:val="00E45C97"/>
    <w:rsid w:val="00E4733B"/>
    <w:rsid w:val="00E52678"/>
    <w:rsid w:val="00E53245"/>
    <w:rsid w:val="00E55A55"/>
    <w:rsid w:val="00E655C4"/>
    <w:rsid w:val="00E673EC"/>
    <w:rsid w:val="00E71FAB"/>
    <w:rsid w:val="00E72CCD"/>
    <w:rsid w:val="00E73382"/>
    <w:rsid w:val="00E767DD"/>
    <w:rsid w:val="00E76EB1"/>
    <w:rsid w:val="00E82D29"/>
    <w:rsid w:val="00E83E26"/>
    <w:rsid w:val="00E8436F"/>
    <w:rsid w:val="00E84730"/>
    <w:rsid w:val="00E86A09"/>
    <w:rsid w:val="00E877BD"/>
    <w:rsid w:val="00E9056C"/>
    <w:rsid w:val="00E92F41"/>
    <w:rsid w:val="00E93A3B"/>
    <w:rsid w:val="00E9412B"/>
    <w:rsid w:val="00E95379"/>
    <w:rsid w:val="00E966FB"/>
    <w:rsid w:val="00E9795E"/>
    <w:rsid w:val="00EA3D7C"/>
    <w:rsid w:val="00EA7D9B"/>
    <w:rsid w:val="00EB26BC"/>
    <w:rsid w:val="00EB48FD"/>
    <w:rsid w:val="00EB651C"/>
    <w:rsid w:val="00EB7B81"/>
    <w:rsid w:val="00EC1390"/>
    <w:rsid w:val="00EC6CA3"/>
    <w:rsid w:val="00EC6E3D"/>
    <w:rsid w:val="00EC7F1F"/>
    <w:rsid w:val="00ED0144"/>
    <w:rsid w:val="00ED051E"/>
    <w:rsid w:val="00ED0825"/>
    <w:rsid w:val="00ED0E64"/>
    <w:rsid w:val="00ED0F3E"/>
    <w:rsid w:val="00ED45AA"/>
    <w:rsid w:val="00ED4EF5"/>
    <w:rsid w:val="00ED6349"/>
    <w:rsid w:val="00ED6F7A"/>
    <w:rsid w:val="00EE29BF"/>
    <w:rsid w:val="00EE3C1C"/>
    <w:rsid w:val="00EE652A"/>
    <w:rsid w:val="00EE6893"/>
    <w:rsid w:val="00EF0C29"/>
    <w:rsid w:val="00EF0F8B"/>
    <w:rsid w:val="00EF23F9"/>
    <w:rsid w:val="00EF49CA"/>
    <w:rsid w:val="00EF6EA6"/>
    <w:rsid w:val="00EF6EB0"/>
    <w:rsid w:val="00EF7C99"/>
    <w:rsid w:val="00F048FE"/>
    <w:rsid w:val="00F06472"/>
    <w:rsid w:val="00F11363"/>
    <w:rsid w:val="00F12000"/>
    <w:rsid w:val="00F12F40"/>
    <w:rsid w:val="00F13374"/>
    <w:rsid w:val="00F1363D"/>
    <w:rsid w:val="00F17D44"/>
    <w:rsid w:val="00F20327"/>
    <w:rsid w:val="00F204B6"/>
    <w:rsid w:val="00F205DC"/>
    <w:rsid w:val="00F209B5"/>
    <w:rsid w:val="00F2267D"/>
    <w:rsid w:val="00F23FD3"/>
    <w:rsid w:val="00F27910"/>
    <w:rsid w:val="00F30358"/>
    <w:rsid w:val="00F31922"/>
    <w:rsid w:val="00F3390C"/>
    <w:rsid w:val="00F33F84"/>
    <w:rsid w:val="00F342B4"/>
    <w:rsid w:val="00F3580A"/>
    <w:rsid w:val="00F362A6"/>
    <w:rsid w:val="00F379DD"/>
    <w:rsid w:val="00F40B91"/>
    <w:rsid w:val="00F468A6"/>
    <w:rsid w:val="00F47DD5"/>
    <w:rsid w:val="00F509C2"/>
    <w:rsid w:val="00F51976"/>
    <w:rsid w:val="00F52F9C"/>
    <w:rsid w:val="00F544FB"/>
    <w:rsid w:val="00F54F1A"/>
    <w:rsid w:val="00F63395"/>
    <w:rsid w:val="00F64591"/>
    <w:rsid w:val="00F66E9D"/>
    <w:rsid w:val="00F70202"/>
    <w:rsid w:val="00F7059D"/>
    <w:rsid w:val="00F7113B"/>
    <w:rsid w:val="00F71188"/>
    <w:rsid w:val="00F7291D"/>
    <w:rsid w:val="00F73244"/>
    <w:rsid w:val="00F74D7A"/>
    <w:rsid w:val="00F7538F"/>
    <w:rsid w:val="00F76579"/>
    <w:rsid w:val="00F821FF"/>
    <w:rsid w:val="00F84782"/>
    <w:rsid w:val="00F85EB9"/>
    <w:rsid w:val="00F92A57"/>
    <w:rsid w:val="00F93C25"/>
    <w:rsid w:val="00F9797A"/>
    <w:rsid w:val="00F979E7"/>
    <w:rsid w:val="00F97B8E"/>
    <w:rsid w:val="00FA1860"/>
    <w:rsid w:val="00FA1A18"/>
    <w:rsid w:val="00FA5E1A"/>
    <w:rsid w:val="00FA64F6"/>
    <w:rsid w:val="00FA6A28"/>
    <w:rsid w:val="00FA722A"/>
    <w:rsid w:val="00FA73A3"/>
    <w:rsid w:val="00FB2FB6"/>
    <w:rsid w:val="00FB4A42"/>
    <w:rsid w:val="00FB4BA1"/>
    <w:rsid w:val="00FC0750"/>
    <w:rsid w:val="00FC1BD8"/>
    <w:rsid w:val="00FC1EA6"/>
    <w:rsid w:val="00FC7B46"/>
    <w:rsid w:val="00FD02B8"/>
    <w:rsid w:val="00FD2413"/>
    <w:rsid w:val="00FD611B"/>
    <w:rsid w:val="00FD7F23"/>
    <w:rsid w:val="00FE05F4"/>
    <w:rsid w:val="00FE37C7"/>
    <w:rsid w:val="00FE3C8A"/>
    <w:rsid w:val="00FE4345"/>
    <w:rsid w:val="00FE676F"/>
    <w:rsid w:val="00FE6985"/>
    <w:rsid w:val="00FE78CA"/>
    <w:rsid w:val="00FF339F"/>
    <w:rsid w:val="00FF4985"/>
    <w:rsid w:val="00FF7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ED"/>
  </w:style>
  <w:style w:type="paragraph" w:styleId="Heading1">
    <w:name w:val="heading 1"/>
    <w:basedOn w:val="Normal"/>
    <w:next w:val="Normal"/>
    <w:link w:val="Heading1Char"/>
    <w:uiPriority w:val="9"/>
    <w:qFormat/>
    <w:rsid w:val="00DA21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D1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E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47"/>
  </w:style>
  <w:style w:type="paragraph" w:styleId="Footer">
    <w:name w:val="footer"/>
    <w:basedOn w:val="Normal"/>
    <w:link w:val="FooterChar"/>
    <w:uiPriority w:val="99"/>
    <w:semiHidden/>
    <w:unhideWhenUsed/>
    <w:rsid w:val="003E12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1247"/>
  </w:style>
  <w:style w:type="character" w:customStyle="1" w:styleId="Heading1Char">
    <w:name w:val="Heading 1 Char"/>
    <w:basedOn w:val="DefaultParagraphFont"/>
    <w:link w:val="Heading1"/>
    <w:uiPriority w:val="9"/>
    <w:rsid w:val="00DA215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93A50"/>
    <w:pPr>
      <w:ind w:left="720"/>
      <w:contextualSpacing/>
    </w:pPr>
  </w:style>
  <w:style w:type="character" w:styleId="Hyperlink">
    <w:name w:val="Hyperlink"/>
    <w:basedOn w:val="DefaultParagraphFont"/>
    <w:uiPriority w:val="99"/>
    <w:unhideWhenUsed/>
    <w:rsid w:val="00122B47"/>
    <w:rPr>
      <w:color w:val="0000FF"/>
      <w:u w:val="single"/>
    </w:rPr>
  </w:style>
  <w:style w:type="character" w:customStyle="1" w:styleId="apple-converted-space">
    <w:name w:val="apple-converted-space"/>
    <w:basedOn w:val="DefaultParagraphFont"/>
    <w:rsid w:val="00122B47"/>
  </w:style>
  <w:style w:type="character" w:customStyle="1" w:styleId="initcap">
    <w:name w:val="initcap"/>
    <w:basedOn w:val="DefaultParagraphFont"/>
    <w:rsid w:val="00122B47"/>
  </w:style>
  <w:style w:type="paragraph" w:styleId="NormalWeb">
    <w:name w:val="Normal (Web)"/>
    <w:basedOn w:val="Normal"/>
    <w:uiPriority w:val="99"/>
    <w:unhideWhenUsed/>
    <w:rsid w:val="00122B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56D4"/>
    <w:rPr>
      <w:b/>
      <w:bCs/>
    </w:rPr>
  </w:style>
  <w:style w:type="paragraph" w:styleId="BalloonText">
    <w:name w:val="Balloon Text"/>
    <w:basedOn w:val="Normal"/>
    <w:link w:val="BalloonTextChar"/>
    <w:uiPriority w:val="99"/>
    <w:semiHidden/>
    <w:unhideWhenUsed/>
    <w:rsid w:val="007B5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6D4"/>
    <w:rPr>
      <w:rFonts w:ascii="Tahoma" w:hAnsi="Tahoma" w:cs="Tahoma"/>
      <w:sz w:val="16"/>
      <w:szCs w:val="16"/>
    </w:rPr>
  </w:style>
  <w:style w:type="paragraph" w:styleId="NoSpacing">
    <w:name w:val="No Spacing"/>
    <w:uiPriority w:val="1"/>
    <w:qFormat/>
    <w:rsid w:val="00471346"/>
    <w:pPr>
      <w:spacing w:after="0" w:line="240" w:lineRule="auto"/>
    </w:pPr>
  </w:style>
  <w:style w:type="character" w:styleId="Emphasis">
    <w:name w:val="Emphasis"/>
    <w:basedOn w:val="DefaultParagraphFont"/>
    <w:uiPriority w:val="20"/>
    <w:qFormat/>
    <w:rsid w:val="007263B9"/>
    <w:rPr>
      <w:i/>
      <w:iCs/>
    </w:rPr>
  </w:style>
  <w:style w:type="paragraph" w:styleId="Title">
    <w:name w:val="Title"/>
    <w:basedOn w:val="Normal"/>
    <w:next w:val="Normal"/>
    <w:link w:val="TitleChar"/>
    <w:uiPriority w:val="10"/>
    <w:qFormat/>
    <w:rsid w:val="00287D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7DC6"/>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045F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474CC"/>
    <w:rPr>
      <w:color w:val="808080"/>
    </w:rPr>
  </w:style>
  <w:style w:type="character" w:styleId="CommentReference">
    <w:name w:val="annotation reference"/>
    <w:basedOn w:val="DefaultParagraphFont"/>
    <w:uiPriority w:val="99"/>
    <w:semiHidden/>
    <w:unhideWhenUsed/>
    <w:rsid w:val="00E21A79"/>
    <w:rPr>
      <w:sz w:val="16"/>
      <w:szCs w:val="16"/>
    </w:rPr>
  </w:style>
  <w:style w:type="paragraph" w:styleId="CommentText">
    <w:name w:val="annotation text"/>
    <w:basedOn w:val="Normal"/>
    <w:link w:val="CommentTextChar"/>
    <w:uiPriority w:val="99"/>
    <w:semiHidden/>
    <w:unhideWhenUsed/>
    <w:rsid w:val="00E21A79"/>
    <w:pPr>
      <w:spacing w:line="240" w:lineRule="auto"/>
    </w:pPr>
    <w:rPr>
      <w:sz w:val="20"/>
      <w:szCs w:val="20"/>
    </w:rPr>
  </w:style>
  <w:style w:type="character" w:customStyle="1" w:styleId="CommentTextChar">
    <w:name w:val="Comment Text Char"/>
    <w:basedOn w:val="DefaultParagraphFont"/>
    <w:link w:val="CommentText"/>
    <w:uiPriority w:val="99"/>
    <w:semiHidden/>
    <w:rsid w:val="00E21A79"/>
    <w:rPr>
      <w:sz w:val="20"/>
      <w:szCs w:val="20"/>
    </w:rPr>
  </w:style>
  <w:style w:type="paragraph" w:styleId="CommentSubject">
    <w:name w:val="annotation subject"/>
    <w:basedOn w:val="CommentText"/>
    <w:next w:val="CommentText"/>
    <w:link w:val="CommentSubjectChar"/>
    <w:uiPriority w:val="99"/>
    <w:semiHidden/>
    <w:unhideWhenUsed/>
    <w:rsid w:val="00E21A79"/>
    <w:rPr>
      <w:b/>
      <w:bCs/>
    </w:rPr>
  </w:style>
  <w:style w:type="character" w:customStyle="1" w:styleId="CommentSubjectChar">
    <w:name w:val="Comment Subject Char"/>
    <w:basedOn w:val="CommentTextChar"/>
    <w:link w:val="CommentSubject"/>
    <w:uiPriority w:val="99"/>
    <w:semiHidden/>
    <w:rsid w:val="00E21A79"/>
    <w:rPr>
      <w:b/>
      <w:bCs/>
    </w:rPr>
  </w:style>
  <w:style w:type="table" w:customStyle="1" w:styleId="TableGrid1">
    <w:name w:val="Table Grid1"/>
    <w:basedOn w:val="TableNormal"/>
    <w:next w:val="TableGrid"/>
    <w:uiPriority w:val="59"/>
    <w:rsid w:val="00F33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2AC4"/>
    <w:rPr>
      <w:rFonts w:cs="Minion Pro"/>
      <w:color w:val="000000"/>
      <w:sz w:val="20"/>
      <w:szCs w:val="20"/>
    </w:rPr>
  </w:style>
  <w:style w:type="character" w:customStyle="1" w:styleId="st">
    <w:name w:val="st"/>
    <w:basedOn w:val="DefaultParagraphFont"/>
    <w:rsid w:val="00F92A57"/>
  </w:style>
  <w:style w:type="character" w:customStyle="1" w:styleId="gi">
    <w:name w:val="gi"/>
    <w:basedOn w:val="DefaultParagraphFont"/>
    <w:rsid w:val="00D3118B"/>
  </w:style>
  <w:style w:type="character" w:customStyle="1" w:styleId="t">
    <w:name w:val="t"/>
    <w:basedOn w:val="DefaultParagraphFont"/>
    <w:rsid w:val="00FA73A3"/>
  </w:style>
  <w:style w:type="paragraph" w:customStyle="1" w:styleId="suggested-citation">
    <w:name w:val="suggested-citation"/>
    <w:basedOn w:val="Normal"/>
    <w:rsid w:val="009726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390619">
      <w:bodyDiv w:val="1"/>
      <w:marLeft w:val="0"/>
      <w:marRight w:val="0"/>
      <w:marTop w:val="0"/>
      <w:marBottom w:val="0"/>
      <w:divBdr>
        <w:top w:val="none" w:sz="0" w:space="0" w:color="auto"/>
        <w:left w:val="none" w:sz="0" w:space="0" w:color="auto"/>
        <w:bottom w:val="none" w:sz="0" w:space="0" w:color="auto"/>
        <w:right w:val="none" w:sz="0" w:space="0" w:color="auto"/>
      </w:divBdr>
    </w:div>
    <w:div w:id="112864708">
      <w:bodyDiv w:val="1"/>
      <w:marLeft w:val="0"/>
      <w:marRight w:val="0"/>
      <w:marTop w:val="0"/>
      <w:marBottom w:val="0"/>
      <w:divBdr>
        <w:top w:val="none" w:sz="0" w:space="0" w:color="auto"/>
        <w:left w:val="none" w:sz="0" w:space="0" w:color="auto"/>
        <w:bottom w:val="none" w:sz="0" w:space="0" w:color="auto"/>
        <w:right w:val="none" w:sz="0" w:space="0" w:color="auto"/>
      </w:divBdr>
      <w:divsChild>
        <w:div w:id="1757940421">
          <w:marLeft w:val="0"/>
          <w:marRight w:val="0"/>
          <w:marTop w:val="0"/>
          <w:marBottom w:val="0"/>
          <w:divBdr>
            <w:top w:val="none" w:sz="0" w:space="0" w:color="auto"/>
            <w:left w:val="none" w:sz="0" w:space="0" w:color="auto"/>
            <w:bottom w:val="none" w:sz="0" w:space="0" w:color="auto"/>
            <w:right w:val="none" w:sz="0" w:space="0" w:color="auto"/>
          </w:divBdr>
        </w:div>
        <w:div w:id="941382567">
          <w:marLeft w:val="0"/>
          <w:marRight w:val="0"/>
          <w:marTop w:val="0"/>
          <w:marBottom w:val="0"/>
          <w:divBdr>
            <w:top w:val="none" w:sz="0" w:space="0" w:color="auto"/>
            <w:left w:val="none" w:sz="0" w:space="0" w:color="auto"/>
            <w:bottom w:val="none" w:sz="0" w:space="0" w:color="auto"/>
            <w:right w:val="none" w:sz="0" w:space="0" w:color="auto"/>
          </w:divBdr>
        </w:div>
        <w:div w:id="1037046111">
          <w:marLeft w:val="0"/>
          <w:marRight w:val="0"/>
          <w:marTop w:val="0"/>
          <w:marBottom w:val="0"/>
          <w:divBdr>
            <w:top w:val="none" w:sz="0" w:space="0" w:color="auto"/>
            <w:left w:val="none" w:sz="0" w:space="0" w:color="auto"/>
            <w:bottom w:val="none" w:sz="0" w:space="0" w:color="auto"/>
            <w:right w:val="none" w:sz="0" w:space="0" w:color="auto"/>
          </w:divBdr>
        </w:div>
        <w:div w:id="1939436558">
          <w:marLeft w:val="0"/>
          <w:marRight w:val="0"/>
          <w:marTop w:val="0"/>
          <w:marBottom w:val="0"/>
          <w:divBdr>
            <w:top w:val="none" w:sz="0" w:space="0" w:color="auto"/>
            <w:left w:val="none" w:sz="0" w:space="0" w:color="auto"/>
            <w:bottom w:val="none" w:sz="0" w:space="0" w:color="auto"/>
            <w:right w:val="none" w:sz="0" w:space="0" w:color="auto"/>
          </w:divBdr>
        </w:div>
        <w:div w:id="1943148098">
          <w:marLeft w:val="0"/>
          <w:marRight w:val="0"/>
          <w:marTop w:val="0"/>
          <w:marBottom w:val="0"/>
          <w:divBdr>
            <w:top w:val="none" w:sz="0" w:space="0" w:color="auto"/>
            <w:left w:val="none" w:sz="0" w:space="0" w:color="auto"/>
            <w:bottom w:val="none" w:sz="0" w:space="0" w:color="auto"/>
            <w:right w:val="none" w:sz="0" w:space="0" w:color="auto"/>
          </w:divBdr>
        </w:div>
        <w:div w:id="1639795033">
          <w:marLeft w:val="0"/>
          <w:marRight w:val="0"/>
          <w:marTop w:val="0"/>
          <w:marBottom w:val="0"/>
          <w:divBdr>
            <w:top w:val="none" w:sz="0" w:space="0" w:color="auto"/>
            <w:left w:val="none" w:sz="0" w:space="0" w:color="auto"/>
            <w:bottom w:val="none" w:sz="0" w:space="0" w:color="auto"/>
            <w:right w:val="none" w:sz="0" w:space="0" w:color="auto"/>
          </w:divBdr>
        </w:div>
        <w:div w:id="184682129">
          <w:marLeft w:val="0"/>
          <w:marRight w:val="0"/>
          <w:marTop w:val="0"/>
          <w:marBottom w:val="0"/>
          <w:divBdr>
            <w:top w:val="none" w:sz="0" w:space="0" w:color="auto"/>
            <w:left w:val="none" w:sz="0" w:space="0" w:color="auto"/>
            <w:bottom w:val="none" w:sz="0" w:space="0" w:color="auto"/>
            <w:right w:val="none" w:sz="0" w:space="0" w:color="auto"/>
          </w:divBdr>
        </w:div>
        <w:div w:id="1680548889">
          <w:marLeft w:val="0"/>
          <w:marRight w:val="0"/>
          <w:marTop w:val="0"/>
          <w:marBottom w:val="0"/>
          <w:divBdr>
            <w:top w:val="none" w:sz="0" w:space="0" w:color="auto"/>
            <w:left w:val="none" w:sz="0" w:space="0" w:color="auto"/>
            <w:bottom w:val="none" w:sz="0" w:space="0" w:color="auto"/>
            <w:right w:val="none" w:sz="0" w:space="0" w:color="auto"/>
          </w:divBdr>
        </w:div>
        <w:div w:id="1780443437">
          <w:marLeft w:val="0"/>
          <w:marRight w:val="0"/>
          <w:marTop w:val="0"/>
          <w:marBottom w:val="0"/>
          <w:divBdr>
            <w:top w:val="none" w:sz="0" w:space="0" w:color="auto"/>
            <w:left w:val="none" w:sz="0" w:space="0" w:color="auto"/>
            <w:bottom w:val="none" w:sz="0" w:space="0" w:color="auto"/>
            <w:right w:val="none" w:sz="0" w:space="0" w:color="auto"/>
          </w:divBdr>
        </w:div>
        <w:div w:id="109249873">
          <w:marLeft w:val="0"/>
          <w:marRight w:val="0"/>
          <w:marTop w:val="0"/>
          <w:marBottom w:val="0"/>
          <w:divBdr>
            <w:top w:val="none" w:sz="0" w:space="0" w:color="auto"/>
            <w:left w:val="none" w:sz="0" w:space="0" w:color="auto"/>
            <w:bottom w:val="none" w:sz="0" w:space="0" w:color="auto"/>
            <w:right w:val="none" w:sz="0" w:space="0" w:color="auto"/>
          </w:divBdr>
        </w:div>
        <w:div w:id="272789711">
          <w:marLeft w:val="0"/>
          <w:marRight w:val="0"/>
          <w:marTop w:val="0"/>
          <w:marBottom w:val="0"/>
          <w:divBdr>
            <w:top w:val="none" w:sz="0" w:space="0" w:color="auto"/>
            <w:left w:val="none" w:sz="0" w:space="0" w:color="auto"/>
            <w:bottom w:val="none" w:sz="0" w:space="0" w:color="auto"/>
            <w:right w:val="none" w:sz="0" w:space="0" w:color="auto"/>
          </w:divBdr>
        </w:div>
        <w:div w:id="1438982537">
          <w:marLeft w:val="0"/>
          <w:marRight w:val="0"/>
          <w:marTop w:val="0"/>
          <w:marBottom w:val="0"/>
          <w:divBdr>
            <w:top w:val="none" w:sz="0" w:space="0" w:color="auto"/>
            <w:left w:val="none" w:sz="0" w:space="0" w:color="auto"/>
            <w:bottom w:val="none" w:sz="0" w:space="0" w:color="auto"/>
            <w:right w:val="none" w:sz="0" w:space="0" w:color="auto"/>
          </w:divBdr>
        </w:div>
      </w:divsChild>
    </w:div>
    <w:div w:id="167796619">
      <w:bodyDiv w:val="1"/>
      <w:marLeft w:val="0"/>
      <w:marRight w:val="0"/>
      <w:marTop w:val="0"/>
      <w:marBottom w:val="0"/>
      <w:divBdr>
        <w:top w:val="none" w:sz="0" w:space="0" w:color="auto"/>
        <w:left w:val="none" w:sz="0" w:space="0" w:color="auto"/>
        <w:bottom w:val="none" w:sz="0" w:space="0" w:color="auto"/>
        <w:right w:val="none" w:sz="0" w:space="0" w:color="auto"/>
      </w:divBdr>
    </w:div>
    <w:div w:id="326638322">
      <w:bodyDiv w:val="1"/>
      <w:marLeft w:val="0"/>
      <w:marRight w:val="0"/>
      <w:marTop w:val="0"/>
      <w:marBottom w:val="0"/>
      <w:divBdr>
        <w:top w:val="none" w:sz="0" w:space="0" w:color="auto"/>
        <w:left w:val="none" w:sz="0" w:space="0" w:color="auto"/>
        <w:bottom w:val="none" w:sz="0" w:space="0" w:color="auto"/>
        <w:right w:val="none" w:sz="0" w:space="0" w:color="auto"/>
      </w:divBdr>
    </w:div>
    <w:div w:id="329456435">
      <w:bodyDiv w:val="1"/>
      <w:marLeft w:val="0"/>
      <w:marRight w:val="0"/>
      <w:marTop w:val="0"/>
      <w:marBottom w:val="0"/>
      <w:divBdr>
        <w:top w:val="none" w:sz="0" w:space="0" w:color="auto"/>
        <w:left w:val="none" w:sz="0" w:space="0" w:color="auto"/>
        <w:bottom w:val="none" w:sz="0" w:space="0" w:color="auto"/>
        <w:right w:val="none" w:sz="0" w:space="0" w:color="auto"/>
      </w:divBdr>
    </w:div>
    <w:div w:id="423379605">
      <w:bodyDiv w:val="1"/>
      <w:marLeft w:val="0"/>
      <w:marRight w:val="0"/>
      <w:marTop w:val="0"/>
      <w:marBottom w:val="0"/>
      <w:divBdr>
        <w:top w:val="none" w:sz="0" w:space="0" w:color="auto"/>
        <w:left w:val="none" w:sz="0" w:space="0" w:color="auto"/>
        <w:bottom w:val="none" w:sz="0" w:space="0" w:color="auto"/>
        <w:right w:val="none" w:sz="0" w:space="0" w:color="auto"/>
      </w:divBdr>
    </w:div>
    <w:div w:id="561257684">
      <w:bodyDiv w:val="1"/>
      <w:marLeft w:val="0"/>
      <w:marRight w:val="0"/>
      <w:marTop w:val="0"/>
      <w:marBottom w:val="0"/>
      <w:divBdr>
        <w:top w:val="none" w:sz="0" w:space="0" w:color="auto"/>
        <w:left w:val="none" w:sz="0" w:space="0" w:color="auto"/>
        <w:bottom w:val="none" w:sz="0" w:space="0" w:color="auto"/>
        <w:right w:val="none" w:sz="0" w:space="0" w:color="auto"/>
      </w:divBdr>
    </w:div>
    <w:div w:id="702361847">
      <w:bodyDiv w:val="1"/>
      <w:marLeft w:val="0"/>
      <w:marRight w:val="0"/>
      <w:marTop w:val="0"/>
      <w:marBottom w:val="0"/>
      <w:divBdr>
        <w:top w:val="none" w:sz="0" w:space="0" w:color="auto"/>
        <w:left w:val="none" w:sz="0" w:space="0" w:color="auto"/>
        <w:bottom w:val="none" w:sz="0" w:space="0" w:color="auto"/>
        <w:right w:val="none" w:sz="0" w:space="0" w:color="auto"/>
      </w:divBdr>
    </w:div>
    <w:div w:id="813644081">
      <w:bodyDiv w:val="1"/>
      <w:marLeft w:val="0"/>
      <w:marRight w:val="0"/>
      <w:marTop w:val="0"/>
      <w:marBottom w:val="0"/>
      <w:divBdr>
        <w:top w:val="none" w:sz="0" w:space="0" w:color="auto"/>
        <w:left w:val="none" w:sz="0" w:space="0" w:color="auto"/>
        <w:bottom w:val="none" w:sz="0" w:space="0" w:color="auto"/>
        <w:right w:val="none" w:sz="0" w:space="0" w:color="auto"/>
      </w:divBdr>
    </w:div>
    <w:div w:id="887573049">
      <w:bodyDiv w:val="1"/>
      <w:marLeft w:val="0"/>
      <w:marRight w:val="0"/>
      <w:marTop w:val="0"/>
      <w:marBottom w:val="0"/>
      <w:divBdr>
        <w:top w:val="none" w:sz="0" w:space="0" w:color="auto"/>
        <w:left w:val="none" w:sz="0" w:space="0" w:color="auto"/>
        <w:bottom w:val="none" w:sz="0" w:space="0" w:color="auto"/>
        <w:right w:val="none" w:sz="0" w:space="0" w:color="auto"/>
      </w:divBdr>
    </w:div>
    <w:div w:id="1075013432">
      <w:bodyDiv w:val="1"/>
      <w:marLeft w:val="0"/>
      <w:marRight w:val="0"/>
      <w:marTop w:val="0"/>
      <w:marBottom w:val="0"/>
      <w:divBdr>
        <w:top w:val="none" w:sz="0" w:space="0" w:color="auto"/>
        <w:left w:val="none" w:sz="0" w:space="0" w:color="auto"/>
        <w:bottom w:val="none" w:sz="0" w:space="0" w:color="auto"/>
        <w:right w:val="none" w:sz="0" w:space="0" w:color="auto"/>
      </w:divBdr>
    </w:div>
    <w:div w:id="1078550840">
      <w:bodyDiv w:val="1"/>
      <w:marLeft w:val="0"/>
      <w:marRight w:val="0"/>
      <w:marTop w:val="0"/>
      <w:marBottom w:val="0"/>
      <w:divBdr>
        <w:top w:val="none" w:sz="0" w:space="0" w:color="auto"/>
        <w:left w:val="none" w:sz="0" w:space="0" w:color="auto"/>
        <w:bottom w:val="none" w:sz="0" w:space="0" w:color="auto"/>
        <w:right w:val="none" w:sz="0" w:space="0" w:color="auto"/>
      </w:divBdr>
    </w:div>
    <w:div w:id="1529105401">
      <w:bodyDiv w:val="1"/>
      <w:marLeft w:val="0"/>
      <w:marRight w:val="0"/>
      <w:marTop w:val="0"/>
      <w:marBottom w:val="0"/>
      <w:divBdr>
        <w:top w:val="none" w:sz="0" w:space="0" w:color="auto"/>
        <w:left w:val="none" w:sz="0" w:space="0" w:color="auto"/>
        <w:bottom w:val="none" w:sz="0" w:space="0" w:color="auto"/>
        <w:right w:val="none" w:sz="0" w:space="0" w:color="auto"/>
      </w:divBdr>
    </w:div>
    <w:div w:id="1715621927">
      <w:bodyDiv w:val="1"/>
      <w:marLeft w:val="0"/>
      <w:marRight w:val="0"/>
      <w:marTop w:val="0"/>
      <w:marBottom w:val="0"/>
      <w:divBdr>
        <w:top w:val="none" w:sz="0" w:space="0" w:color="auto"/>
        <w:left w:val="none" w:sz="0" w:space="0" w:color="auto"/>
        <w:bottom w:val="none" w:sz="0" w:space="0" w:color="auto"/>
        <w:right w:val="none" w:sz="0" w:space="0" w:color="auto"/>
      </w:divBdr>
    </w:div>
    <w:div w:id="1929147103">
      <w:bodyDiv w:val="1"/>
      <w:marLeft w:val="0"/>
      <w:marRight w:val="0"/>
      <w:marTop w:val="0"/>
      <w:marBottom w:val="0"/>
      <w:divBdr>
        <w:top w:val="none" w:sz="0" w:space="0" w:color="auto"/>
        <w:left w:val="none" w:sz="0" w:space="0" w:color="auto"/>
        <w:bottom w:val="none" w:sz="0" w:space="0" w:color="auto"/>
        <w:right w:val="none" w:sz="0" w:space="0" w:color="auto"/>
      </w:divBdr>
      <w:divsChild>
        <w:div w:id="1274358960">
          <w:marLeft w:val="0"/>
          <w:marRight w:val="0"/>
          <w:marTop w:val="0"/>
          <w:marBottom w:val="0"/>
          <w:divBdr>
            <w:top w:val="single" w:sz="6" w:space="0" w:color="B0B0B0"/>
            <w:left w:val="single" w:sz="6" w:space="9" w:color="B0B0B0"/>
            <w:bottom w:val="single" w:sz="6" w:space="0" w:color="B0B0B0"/>
            <w:right w:val="single" w:sz="2" w:space="0" w:color="FFFFFF"/>
          </w:divBdr>
        </w:div>
      </w:divsChild>
    </w:div>
    <w:div w:id="1999453892">
      <w:bodyDiv w:val="1"/>
      <w:marLeft w:val="0"/>
      <w:marRight w:val="0"/>
      <w:marTop w:val="0"/>
      <w:marBottom w:val="0"/>
      <w:divBdr>
        <w:top w:val="none" w:sz="0" w:space="0" w:color="auto"/>
        <w:left w:val="none" w:sz="0" w:space="0" w:color="auto"/>
        <w:bottom w:val="none" w:sz="0" w:space="0" w:color="auto"/>
        <w:right w:val="none" w:sz="0" w:space="0" w:color="auto"/>
      </w:divBdr>
    </w:div>
    <w:div w:id="2057925735">
      <w:bodyDiv w:val="1"/>
      <w:marLeft w:val="0"/>
      <w:marRight w:val="0"/>
      <w:marTop w:val="0"/>
      <w:marBottom w:val="0"/>
      <w:divBdr>
        <w:top w:val="none" w:sz="0" w:space="0" w:color="auto"/>
        <w:left w:val="none" w:sz="0" w:space="0" w:color="auto"/>
        <w:bottom w:val="none" w:sz="0" w:space="0" w:color="auto"/>
        <w:right w:val="none" w:sz="0" w:space="0" w:color="auto"/>
      </w:divBdr>
    </w:div>
    <w:div w:id="2106803970">
      <w:bodyDiv w:val="1"/>
      <w:marLeft w:val="0"/>
      <w:marRight w:val="0"/>
      <w:marTop w:val="0"/>
      <w:marBottom w:val="0"/>
      <w:divBdr>
        <w:top w:val="none" w:sz="0" w:space="0" w:color="auto"/>
        <w:left w:val="none" w:sz="0" w:space="0" w:color="auto"/>
        <w:bottom w:val="none" w:sz="0" w:space="0" w:color="auto"/>
        <w:right w:val="none" w:sz="0" w:space="0" w:color="auto"/>
      </w:divBdr>
      <w:divsChild>
        <w:div w:id="679746926">
          <w:marLeft w:val="0"/>
          <w:marRight w:val="0"/>
          <w:marTop w:val="0"/>
          <w:marBottom w:val="0"/>
          <w:divBdr>
            <w:top w:val="none" w:sz="0" w:space="0" w:color="auto"/>
            <w:left w:val="none" w:sz="0" w:space="0" w:color="auto"/>
            <w:bottom w:val="none" w:sz="0" w:space="0" w:color="auto"/>
            <w:right w:val="none" w:sz="0" w:space="0" w:color="auto"/>
          </w:divBdr>
          <w:divsChild>
            <w:div w:id="1598824571">
              <w:marLeft w:val="0"/>
              <w:marRight w:val="0"/>
              <w:marTop w:val="0"/>
              <w:marBottom w:val="0"/>
              <w:divBdr>
                <w:top w:val="none" w:sz="0" w:space="0" w:color="auto"/>
                <w:left w:val="none" w:sz="0" w:space="0" w:color="auto"/>
                <w:bottom w:val="none" w:sz="0" w:space="0" w:color="auto"/>
                <w:right w:val="none" w:sz="0" w:space="0" w:color="auto"/>
              </w:divBdr>
              <w:divsChild>
                <w:div w:id="750548616">
                  <w:marLeft w:val="0"/>
                  <w:marRight w:val="0"/>
                  <w:marTop w:val="0"/>
                  <w:marBottom w:val="0"/>
                  <w:divBdr>
                    <w:top w:val="none" w:sz="0" w:space="0" w:color="auto"/>
                    <w:left w:val="none" w:sz="0" w:space="0" w:color="auto"/>
                    <w:bottom w:val="none" w:sz="0" w:space="0" w:color="auto"/>
                    <w:right w:val="none" w:sz="0" w:space="0" w:color="auto"/>
                  </w:divBdr>
                  <w:divsChild>
                    <w:div w:id="1936085385">
                      <w:marLeft w:val="0"/>
                      <w:marRight w:val="0"/>
                      <w:marTop w:val="0"/>
                      <w:marBottom w:val="0"/>
                      <w:divBdr>
                        <w:top w:val="none" w:sz="0" w:space="0" w:color="auto"/>
                        <w:left w:val="none" w:sz="0" w:space="0" w:color="auto"/>
                        <w:bottom w:val="none" w:sz="0" w:space="0" w:color="auto"/>
                        <w:right w:val="none" w:sz="0" w:space="0" w:color="auto"/>
                      </w:divBdr>
                    </w:div>
                    <w:div w:id="404955333">
                      <w:marLeft w:val="0"/>
                      <w:marRight w:val="0"/>
                      <w:marTop w:val="0"/>
                      <w:marBottom w:val="0"/>
                      <w:divBdr>
                        <w:top w:val="none" w:sz="0" w:space="0" w:color="auto"/>
                        <w:left w:val="none" w:sz="0" w:space="0" w:color="auto"/>
                        <w:bottom w:val="none" w:sz="0" w:space="0" w:color="auto"/>
                        <w:right w:val="none" w:sz="0" w:space="0" w:color="auto"/>
                      </w:divBdr>
                      <w:divsChild>
                        <w:div w:id="2683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354104">
          <w:marLeft w:val="0"/>
          <w:marRight w:val="0"/>
          <w:marTop w:val="0"/>
          <w:marBottom w:val="0"/>
          <w:divBdr>
            <w:top w:val="none" w:sz="0" w:space="0" w:color="auto"/>
            <w:left w:val="none" w:sz="0" w:space="0" w:color="auto"/>
            <w:bottom w:val="none" w:sz="0" w:space="0" w:color="auto"/>
            <w:right w:val="none" w:sz="0" w:space="0" w:color="auto"/>
          </w:divBdr>
          <w:divsChild>
            <w:div w:id="644554314">
              <w:marLeft w:val="0"/>
              <w:marRight w:val="0"/>
              <w:marTop w:val="0"/>
              <w:marBottom w:val="0"/>
              <w:divBdr>
                <w:top w:val="none" w:sz="0" w:space="0" w:color="auto"/>
                <w:left w:val="none" w:sz="0" w:space="0" w:color="auto"/>
                <w:bottom w:val="none" w:sz="0" w:space="0" w:color="auto"/>
                <w:right w:val="none" w:sz="0" w:space="0" w:color="auto"/>
              </w:divBdr>
            </w:div>
          </w:divsChild>
        </w:div>
        <w:div w:id="401177161">
          <w:marLeft w:val="0"/>
          <w:marRight w:val="0"/>
          <w:marTop w:val="0"/>
          <w:marBottom w:val="0"/>
          <w:divBdr>
            <w:top w:val="none" w:sz="0" w:space="0" w:color="auto"/>
            <w:left w:val="none" w:sz="0" w:space="0" w:color="auto"/>
            <w:bottom w:val="none" w:sz="0" w:space="0" w:color="auto"/>
            <w:right w:val="none" w:sz="0" w:space="0" w:color="auto"/>
          </w:divBdr>
          <w:divsChild>
            <w:div w:id="592592063">
              <w:marLeft w:val="0"/>
              <w:marRight w:val="0"/>
              <w:marTop w:val="0"/>
              <w:marBottom w:val="0"/>
              <w:divBdr>
                <w:top w:val="none" w:sz="0" w:space="0" w:color="auto"/>
                <w:left w:val="none" w:sz="0" w:space="0" w:color="auto"/>
                <w:bottom w:val="none" w:sz="0" w:space="0" w:color="auto"/>
                <w:right w:val="none" w:sz="0" w:space="0" w:color="auto"/>
              </w:divBdr>
              <w:divsChild>
                <w:div w:id="135143400">
                  <w:marLeft w:val="0"/>
                  <w:marRight w:val="0"/>
                  <w:marTop w:val="0"/>
                  <w:marBottom w:val="0"/>
                  <w:divBdr>
                    <w:top w:val="none" w:sz="0" w:space="0" w:color="auto"/>
                    <w:left w:val="none" w:sz="0" w:space="0" w:color="auto"/>
                    <w:bottom w:val="none" w:sz="0" w:space="0" w:color="auto"/>
                    <w:right w:val="none" w:sz="0" w:space="0" w:color="auto"/>
                  </w:divBdr>
                  <w:divsChild>
                    <w:div w:id="1630016030">
                      <w:marLeft w:val="0"/>
                      <w:marRight w:val="0"/>
                      <w:marTop w:val="0"/>
                      <w:marBottom w:val="0"/>
                      <w:divBdr>
                        <w:top w:val="none" w:sz="0" w:space="0" w:color="auto"/>
                        <w:left w:val="none" w:sz="0" w:space="0" w:color="auto"/>
                        <w:bottom w:val="none" w:sz="0" w:space="0" w:color="auto"/>
                        <w:right w:val="none" w:sz="0" w:space="0" w:color="auto"/>
                      </w:divBdr>
                      <w:divsChild>
                        <w:div w:id="622730592">
                          <w:marLeft w:val="0"/>
                          <w:marRight w:val="0"/>
                          <w:marTop w:val="0"/>
                          <w:marBottom w:val="0"/>
                          <w:divBdr>
                            <w:top w:val="none" w:sz="0" w:space="0" w:color="auto"/>
                            <w:left w:val="none" w:sz="0" w:space="0" w:color="auto"/>
                            <w:bottom w:val="none" w:sz="0" w:space="0" w:color="auto"/>
                            <w:right w:val="none" w:sz="0" w:space="0" w:color="auto"/>
                          </w:divBdr>
                          <w:divsChild>
                            <w:div w:id="2053144354">
                              <w:marLeft w:val="0"/>
                              <w:marRight w:val="0"/>
                              <w:marTop w:val="0"/>
                              <w:marBottom w:val="0"/>
                              <w:divBdr>
                                <w:top w:val="none" w:sz="0" w:space="0" w:color="auto"/>
                                <w:left w:val="none" w:sz="0" w:space="0" w:color="auto"/>
                                <w:bottom w:val="none" w:sz="0" w:space="0" w:color="auto"/>
                                <w:right w:val="none" w:sz="0" w:space="0" w:color="auto"/>
                              </w:divBdr>
                            </w:div>
                            <w:div w:id="1552109897">
                              <w:marLeft w:val="0"/>
                              <w:marRight w:val="0"/>
                              <w:marTop w:val="0"/>
                              <w:marBottom w:val="0"/>
                              <w:divBdr>
                                <w:top w:val="none" w:sz="0" w:space="0" w:color="auto"/>
                                <w:left w:val="none" w:sz="0" w:space="0" w:color="auto"/>
                                <w:bottom w:val="none" w:sz="0" w:space="0" w:color="auto"/>
                                <w:right w:val="none" w:sz="0" w:space="0" w:color="auto"/>
                              </w:divBdr>
                            </w:div>
                            <w:div w:id="72894006">
                              <w:marLeft w:val="0"/>
                              <w:marRight w:val="0"/>
                              <w:marTop w:val="0"/>
                              <w:marBottom w:val="0"/>
                              <w:divBdr>
                                <w:top w:val="none" w:sz="0" w:space="0" w:color="auto"/>
                                <w:left w:val="none" w:sz="0" w:space="0" w:color="auto"/>
                                <w:bottom w:val="none" w:sz="0" w:space="0" w:color="auto"/>
                                <w:right w:val="none" w:sz="0" w:space="0" w:color="auto"/>
                              </w:divBdr>
                              <w:divsChild>
                                <w:div w:id="1863476448">
                                  <w:marLeft w:val="0"/>
                                  <w:marRight w:val="0"/>
                                  <w:marTop w:val="0"/>
                                  <w:marBottom w:val="0"/>
                                  <w:divBdr>
                                    <w:top w:val="none" w:sz="0" w:space="0" w:color="auto"/>
                                    <w:left w:val="none" w:sz="0" w:space="0" w:color="auto"/>
                                    <w:bottom w:val="none" w:sz="0" w:space="0" w:color="auto"/>
                                    <w:right w:val="none" w:sz="0" w:space="0" w:color="auto"/>
                                  </w:divBdr>
                                  <w:divsChild>
                                    <w:div w:id="19120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0346">
                          <w:marLeft w:val="0"/>
                          <w:marRight w:val="0"/>
                          <w:marTop w:val="0"/>
                          <w:marBottom w:val="0"/>
                          <w:divBdr>
                            <w:top w:val="none" w:sz="0" w:space="0" w:color="auto"/>
                            <w:left w:val="none" w:sz="0" w:space="0" w:color="auto"/>
                            <w:bottom w:val="none" w:sz="0" w:space="0" w:color="auto"/>
                            <w:right w:val="none" w:sz="0" w:space="0" w:color="auto"/>
                          </w:divBdr>
                          <w:divsChild>
                            <w:div w:id="20224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ssille@gmail.com"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hyperlink" Target="http://mpra.ub.unimuenchen.de/18726/" TargetMode="Externa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www.researchgate.net/publication/4644678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www.eclac.cl/redi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emf"/><Relationship Id="rId28" Type="http://schemas.openxmlformats.org/officeDocument/2006/relationships/hyperlink" Target="https://ssrn.com/abstract=1807163" TargetMode="Externa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wmf"/><Relationship Id="rId22" Type="http://schemas.openxmlformats.org/officeDocument/2006/relationships/image" Target="media/image7.emf"/><Relationship Id="rId27" Type="http://schemas.openxmlformats.org/officeDocument/2006/relationships/hyperlink" Target="http://.www.cepr.org/pubs/dps/DP4496.asp"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Charles\AppData\Local\Temp\05-09-16%2007_47_40_theglobaleconom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42701041133725E-2"/>
          <c:y val="5.1400554097404488E-2"/>
          <c:w val="0.72070150974855274"/>
          <c:h val="0.74838582677165355"/>
        </c:manualLayout>
      </c:layout>
      <c:lineChart>
        <c:grouping val="standard"/>
        <c:ser>
          <c:idx val="0"/>
          <c:order val="0"/>
          <c:tx>
            <c:strRef>
              <c:f>Sheet1!$B$1</c:f>
              <c:strCache>
                <c:ptCount val="1"/>
                <c:pt idx="0">
                  <c:v>Gsp % of GDP</c:v>
                </c:pt>
              </c:strCache>
            </c:strRef>
          </c:tx>
          <c:marker>
            <c:symbol val="none"/>
          </c:marker>
          <c:cat>
            <c:numRef>
              <c:f>Sheet1!$A$2:$A$35</c:f>
              <c:numCache>
                <c:formatCode>General</c:formatCode>
                <c:ptCount val="34"/>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numCache>
            </c:numRef>
          </c:cat>
          <c:val>
            <c:numRef>
              <c:f>Sheet1!$B$2:$B$35</c:f>
              <c:numCache>
                <c:formatCode>General</c:formatCode>
                <c:ptCount val="34"/>
                <c:pt idx="0">
                  <c:v>14.66</c:v>
                </c:pt>
                <c:pt idx="1">
                  <c:v>15.67</c:v>
                </c:pt>
                <c:pt idx="2">
                  <c:v>15.34</c:v>
                </c:pt>
                <c:pt idx="3">
                  <c:v>13.15</c:v>
                </c:pt>
                <c:pt idx="4">
                  <c:v>12.729999999999999</c:v>
                </c:pt>
                <c:pt idx="5">
                  <c:v>12.58</c:v>
                </c:pt>
                <c:pt idx="6">
                  <c:v>7.21</c:v>
                </c:pt>
                <c:pt idx="7">
                  <c:v>7.6499999999999995</c:v>
                </c:pt>
                <c:pt idx="8">
                  <c:v>5.45</c:v>
                </c:pt>
                <c:pt idx="9">
                  <c:v>4.96</c:v>
                </c:pt>
                <c:pt idx="10">
                  <c:v>4.83</c:v>
                </c:pt>
                <c:pt idx="11">
                  <c:v>5.96</c:v>
                </c:pt>
                <c:pt idx="12">
                  <c:v>6.54</c:v>
                </c:pt>
                <c:pt idx="13">
                  <c:v>17.939999999999987</c:v>
                </c:pt>
                <c:pt idx="14">
                  <c:v>12.09</c:v>
                </c:pt>
                <c:pt idx="15">
                  <c:v>10.02</c:v>
                </c:pt>
                <c:pt idx="16">
                  <c:v>13</c:v>
                </c:pt>
                <c:pt idx="17">
                  <c:v>13.97</c:v>
                </c:pt>
                <c:pt idx="18">
                  <c:v>6.98</c:v>
                </c:pt>
                <c:pt idx="19">
                  <c:v>8.34</c:v>
                </c:pt>
                <c:pt idx="20">
                  <c:v>8.2100000000000009</c:v>
                </c:pt>
                <c:pt idx="21">
                  <c:v>6.71</c:v>
                </c:pt>
                <c:pt idx="22">
                  <c:v>5.1499999999999995</c:v>
                </c:pt>
                <c:pt idx="23">
                  <c:v>6.73</c:v>
                </c:pt>
                <c:pt idx="24">
                  <c:v>6.81</c:v>
                </c:pt>
                <c:pt idx="25">
                  <c:v>6.8599999999999985</c:v>
                </c:pt>
                <c:pt idx="26">
                  <c:v>10.18</c:v>
                </c:pt>
                <c:pt idx="27">
                  <c:v>11.639999999999999</c:v>
                </c:pt>
                <c:pt idx="28">
                  <c:v>12.96</c:v>
                </c:pt>
                <c:pt idx="29">
                  <c:v>8.7100000000000009</c:v>
                </c:pt>
                <c:pt idx="30">
                  <c:v>8.49</c:v>
                </c:pt>
                <c:pt idx="31">
                  <c:v>8.2000000000000011</c:v>
                </c:pt>
                <c:pt idx="32">
                  <c:v>7.1599999999999975</c:v>
                </c:pt>
                <c:pt idx="33">
                  <c:v>7.37</c:v>
                </c:pt>
              </c:numCache>
            </c:numRef>
          </c:val>
        </c:ser>
        <c:ser>
          <c:idx val="1"/>
          <c:order val="1"/>
          <c:tx>
            <c:strRef>
              <c:f>Sheet1!$C$1</c:f>
              <c:strCache>
                <c:ptCount val="1"/>
                <c:pt idx="0">
                  <c:v>Gsp in dollars</c:v>
                </c:pt>
              </c:strCache>
            </c:strRef>
          </c:tx>
          <c:marker>
            <c:symbol val="none"/>
          </c:marker>
          <c:cat>
            <c:numRef>
              <c:f>Sheet1!$A$2:$A$35</c:f>
              <c:numCache>
                <c:formatCode>General</c:formatCode>
                <c:ptCount val="34"/>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numCache>
            </c:numRef>
          </c:cat>
          <c:val>
            <c:numRef>
              <c:f>Sheet1!$C$2:$C$35</c:f>
              <c:numCache>
                <c:formatCode>General</c:formatCode>
                <c:ptCount val="34"/>
                <c:pt idx="0">
                  <c:v>8.9500000000000028</c:v>
                </c:pt>
                <c:pt idx="1">
                  <c:v>8.0500000000000007</c:v>
                </c:pt>
                <c:pt idx="2">
                  <c:v>5.44</c:v>
                </c:pt>
                <c:pt idx="3">
                  <c:v>3.75</c:v>
                </c:pt>
                <c:pt idx="4">
                  <c:v>3.68</c:v>
                </c:pt>
                <c:pt idx="5">
                  <c:v>2.61</c:v>
                </c:pt>
                <c:pt idx="6">
                  <c:v>1.7400000000000042</c:v>
                </c:pt>
                <c:pt idx="7">
                  <c:v>1.7800000000000049</c:v>
                </c:pt>
                <c:pt idx="8">
                  <c:v>1.32</c:v>
                </c:pt>
                <c:pt idx="9">
                  <c:v>1.53</c:v>
                </c:pt>
                <c:pt idx="10">
                  <c:v>1.32</c:v>
                </c:pt>
                <c:pt idx="11">
                  <c:v>1.7500000000000047</c:v>
                </c:pt>
                <c:pt idx="12">
                  <c:v>1.03</c:v>
                </c:pt>
                <c:pt idx="13">
                  <c:v>3.25</c:v>
                </c:pt>
                <c:pt idx="14">
                  <c:v>3.4499999999999997</c:v>
                </c:pt>
                <c:pt idx="15">
                  <c:v>3.5</c:v>
                </c:pt>
                <c:pt idx="16">
                  <c:v>4.6599999999999975</c:v>
                </c:pt>
                <c:pt idx="17">
                  <c:v>4.4700000000000024</c:v>
                </c:pt>
                <c:pt idx="18">
                  <c:v>2.5</c:v>
                </c:pt>
                <c:pt idx="19">
                  <c:v>3.8699999999999997</c:v>
                </c:pt>
                <c:pt idx="20">
                  <c:v>3.62</c:v>
                </c:pt>
                <c:pt idx="21">
                  <c:v>3.9699999999999998</c:v>
                </c:pt>
                <c:pt idx="22">
                  <c:v>3.4899999999999998</c:v>
                </c:pt>
                <c:pt idx="23">
                  <c:v>5.91</c:v>
                </c:pt>
                <c:pt idx="24">
                  <c:v>7.64</c:v>
                </c:pt>
                <c:pt idx="25">
                  <c:v>9.98</c:v>
                </c:pt>
                <c:pt idx="26">
                  <c:v>16.939999999999987</c:v>
                </c:pt>
                <c:pt idx="27">
                  <c:v>24.22</c:v>
                </c:pt>
                <c:pt idx="28">
                  <c:v>21.959999999999987</c:v>
                </c:pt>
                <c:pt idx="29">
                  <c:v>32.15</c:v>
                </c:pt>
                <c:pt idx="30">
                  <c:v>34.97</c:v>
                </c:pt>
                <c:pt idx="31">
                  <c:v>37.800000000000004</c:v>
                </c:pt>
                <c:pt idx="32">
                  <c:v>36.849999999999994</c:v>
                </c:pt>
                <c:pt idx="33">
                  <c:v>41.879999999999995</c:v>
                </c:pt>
              </c:numCache>
            </c:numRef>
          </c:val>
        </c:ser>
        <c:ser>
          <c:idx val="2"/>
          <c:order val="2"/>
          <c:tx>
            <c:strRef>
              <c:f>Sheet1!$D$1</c:f>
              <c:strCache>
                <c:ptCount val="1"/>
                <c:pt idx="0">
                  <c:v>Oil revenue</c:v>
                </c:pt>
              </c:strCache>
            </c:strRef>
          </c:tx>
          <c:marker>
            <c:symbol val="none"/>
          </c:marker>
          <c:cat>
            <c:numRef>
              <c:f>Sheet1!$A$2:$A$35</c:f>
              <c:numCache>
                <c:formatCode>General</c:formatCode>
                <c:ptCount val="34"/>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numCache>
            </c:numRef>
          </c:cat>
          <c:val>
            <c:numRef>
              <c:f>Sheet1!$D$2:$D$35</c:f>
              <c:numCache>
                <c:formatCode>General</c:formatCode>
                <c:ptCount val="34"/>
                <c:pt idx="0">
                  <c:v>28.35</c:v>
                </c:pt>
                <c:pt idx="1">
                  <c:v>26.89</c:v>
                </c:pt>
                <c:pt idx="2">
                  <c:v>33.18</c:v>
                </c:pt>
                <c:pt idx="3">
                  <c:v>44.56</c:v>
                </c:pt>
                <c:pt idx="4">
                  <c:v>43.8</c:v>
                </c:pt>
                <c:pt idx="5">
                  <c:v>27.23</c:v>
                </c:pt>
                <c:pt idx="6">
                  <c:v>30.04</c:v>
                </c:pt>
                <c:pt idx="7">
                  <c:v>26.17</c:v>
                </c:pt>
                <c:pt idx="8">
                  <c:v>37.980000000000004</c:v>
                </c:pt>
                <c:pt idx="9">
                  <c:v>43.03</c:v>
                </c:pt>
                <c:pt idx="10">
                  <c:v>41.260000000000012</c:v>
                </c:pt>
                <c:pt idx="11">
                  <c:v>38.47</c:v>
                </c:pt>
                <c:pt idx="12">
                  <c:v>62.21</c:v>
                </c:pt>
                <c:pt idx="13">
                  <c:v>50.02</c:v>
                </c:pt>
                <c:pt idx="14">
                  <c:v>34.949999999999996</c:v>
                </c:pt>
                <c:pt idx="15">
                  <c:v>37.83</c:v>
                </c:pt>
                <c:pt idx="16">
                  <c:v>36.86</c:v>
                </c:pt>
                <c:pt idx="17">
                  <c:v>22.650000000000031</c:v>
                </c:pt>
                <c:pt idx="18">
                  <c:v>28.16</c:v>
                </c:pt>
                <c:pt idx="19">
                  <c:v>40.49</c:v>
                </c:pt>
                <c:pt idx="20">
                  <c:v>36.620000000000012</c:v>
                </c:pt>
                <c:pt idx="21">
                  <c:v>25.67</c:v>
                </c:pt>
                <c:pt idx="22">
                  <c:v>28.6</c:v>
                </c:pt>
                <c:pt idx="23">
                  <c:v>32.630000000000003</c:v>
                </c:pt>
                <c:pt idx="24">
                  <c:v>38.24</c:v>
                </c:pt>
                <c:pt idx="25">
                  <c:v>34.17</c:v>
                </c:pt>
                <c:pt idx="26">
                  <c:v>31.130000000000031</c:v>
                </c:pt>
                <c:pt idx="27">
                  <c:v>32.04</c:v>
                </c:pt>
                <c:pt idx="28">
                  <c:v>23.73</c:v>
                </c:pt>
                <c:pt idx="29">
                  <c:v>16.27</c:v>
                </c:pt>
                <c:pt idx="30">
                  <c:v>19.05</c:v>
                </c:pt>
                <c:pt idx="31">
                  <c:v>16.350000000000001</c:v>
                </c:pt>
                <c:pt idx="32">
                  <c:v>13.5</c:v>
                </c:pt>
                <c:pt idx="33">
                  <c:v>10.84</c:v>
                </c:pt>
              </c:numCache>
            </c:numRef>
          </c:val>
        </c:ser>
        <c:marker val="1"/>
        <c:axId val="102777600"/>
        <c:axId val="102779136"/>
      </c:lineChart>
      <c:catAx>
        <c:axId val="102777600"/>
        <c:scaling>
          <c:orientation val="minMax"/>
        </c:scaling>
        <c:axPos val="b"/>
        <c:numFmt formatCode="General" sourceLinked="1"/>
        <c:tickLblPos val="nextTo"/>
        <c:spPr>
          <a:ln w="28575">
            <a:solidFill>
              <a:schemeClr val="tx1"/>
            </a:solidFill>
          </a:ln>
        </c:spPr>
        <c:crossAx val="102779136"/>
        <c:crosses val="autoZero"/>
        <c:auto val="1"/>
        <c:lblAlgn val="ctr"/>
        <c:lblOffset val="100"/>
      </c:catAx>
      <c:valAx>
        <c:axId val="102779136"/>
        <c:scaling>
          <c:orientation val="minMax"/>
        </c:scaling>
        <c:axPos val="l"/>
        <c:numFmt formatCode="General" sourceLinked="1"/>
        <c:tickLblPos val="nextTo"/>
        <c:spPr>
          <a:ln w="28575">
            <a:solidFill>
              <a:schemeClr val="tx1"/>
            </a:solidFill>
          </a:ln>
        </c:spPr>
        <c:crossAx val="102777600"/>
        <c:crosses val="autoZero"/>
        <c:crossBetween val="between"/>
      </c:valAx>
    </c:plotArea>
    <c:legend>
      <c:legendPos val="r"/>
      <c:layout>
        <c:manualLayout>
          <c:xMode val="edge"/>
          <c:yMode val="edge"/>
          <c:x val="0.16139976769039729"/>
          <c:y val="2.2572178477690739E-2"/>
          <c:w val="0.56979778815034654"/>
          <c:h val="8.4484908136484432E-2"/>
        </c:manualLayout>
      </c:layout>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8FCB5-D446-4E97-AEC1-6643FB87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9483</Words>
  <Characters>54055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 Charles</cp:lastModifiedBy>
  <cp:revision>2</cp:revision>
  <dcterms:created xsi:type="dcterms:W3CDTF">2017-12-22T01:17:00Z</dcterms:created>
  <dcterms:modified xsi:type="dcterms:W3CDTF">2017-12-22T01:17:00Z</dcterms:modified>
</cp:coreProperties>
</file>