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F2F80" w14:textId="35C96560" w:rsidR="001F302F" w:rsidRPr="00E452F7" w:rsidRDefault="00BF2A10" w:rsidP="00E452F7">
      <w:pPr>
        <w:spacing w:after="0" w:line="240" w:lineRule="auto"/>
        <w:jc w:val="center"/>
        <w:rPr>
          <w:rFonts w:ascii="Times New Roman" w:hAnsi="Times New Roman" w:cs="Times New Roman"/>
          <w:b/>
        </w:rPr>
      </w:pPr>
      <w:r w:rsidRPr="00E452F7">
        <w:rPr>
          <w:rFonts w:ascii="Times New Roman" w:hAnsi="Times New Roman" w:cs="Times New Roman"/>
          <w:b/>
        </w:rPr>
        <w:t>Oil Price Shock and Macroeconomic P</w:t>
      </w:r>
      <w:r w:rsidR="001F302F" w:rsidRPr="00E452F7">
        <w:rPr>
          <w:rFonts w:ascii="Times New Roman" w:hAnsi="Times New Roman" w:cs="Times New Roman"/>
          <w:b/>
        </w:rPr>
        <w:t>erformance</w:t>
      </w:r>
      <w:r w:rsidR="0058473F" w:rsidRPr="00E452F7">
        <w:rPr>
          <w:rFonts w:ascii="Times New Roman" w:hAnsi="Times New Roman" w:cs="Times New Roman"/>
          <w:b/>
        </w:rPr>
        <w:t xml:space="preserve"> in Nigeria: Implication on Employment</w:t>
      </w:r>
    </w:p>
    <w:p w14:paraId="754FE69F" w14:textId="77777777" w:rsidR="00FF6B62" w:rsidRPr="00E452F7" w:rsidRDefault="00FF6B62" w:rsidP="00E452F7">
      <w:pPr>
        <w:spacing w:after="0" w:line="240" w:lineRule="auto"/>
        <w:jc w:val="center"/>
        <w:rPr>
          <w:rFonts w:ascii="Times New Roman" w:hAnsi="Times New Roman" w:cs="Times New Roman"/>
          <w:b/>
        </w:rPr>
      </w:pPr>
    </w:p>
    <w:p w14:paraId="0F46A5D6" w14:textId="33E95E76" w:rsidR="00BF2A10" w:rsidRPr="00E452F7" w:rsidRDefault="00EC4B91" w:rsidP="00E452F7">
      <w:pPr>
        <w:spacing w:after="0" w:line="240" w:lineRule="auto"/>
        <w:jc w:val="center"/>
        <w:rPr>
          <w:rFonts w:ascii="Times New Roman" w:hAnsi="Times New Roman" w:cs="Times New Roman"/>
          <w:vertAlign w:val="superscript"/>
        </w:rPr>
      </w:pPr>
      <w:r w:rsidRPr="00E452F7">
        <w:rPr>
          <w:rFonts w:ascii="Times New Roman" w:hAnsi="Times New Roman" w:cs="Times New Roman"/>
        </w:rPr>
        <w:t>Abiola John Asaleye</w:t>
      </w:r>
      <w:r w:rsidRPr="00E452F7">
        <w:rPr>
          <w:rFonts w:ascii="Times New Roman" w:hAnsi="Times New Roman" w:cs="Times New Roman"/>
          <w:vertAlign w:val="superscript"/>
        </w:rPr>
        <w:t>1*</w:t>
      </w:r>
      <w:r w:rsidRPr="00E452F7">
        <w:rPr>
          <w:rFonts w:ascii="Times New Roman" w:hAnsi="Times New Roman" w:cs="Times New Roman"/>
        </w:rPr>
        <w:t xml:space="preserve">, </w:t>
      </w:r>
      <w:r w:rsidR="00BF2A10" w:rsidRPr="00E452F7">
        <w:rPr>
          <w:rFonts w:ascii="Times New Roman" w:hAnsi="Times New Roman" w:cs="Times New Roman"/>
        </w:rPr>
        <w:t>Charity Aremu</w:t>
      </w:r>
      <w:r w:rsidRPr="00E452F7">
        <w:rPr>
          <w:rFonts w:ascii="Times New Roman" w:hAnsi="Times New Roman" w:cs="Times New Roman"/>
          <w:vertAlign w:val="superscript"/>
        </w:rPr>
        <w:t>2</w:t>
      </w:r>
      <w:r w:rsidRPr="00E452F7">
        <w:rPr>
          <w:rFonts w:ascii="Times New Roman" w:hAnsi="Times New Roman" w:cs="Times New Roman"/>
        </w:rPr>
        <w:t xml:space="preserve">, </w:t>
      </w:r>
      <w:r w:rsidR="005439A7" w:rsidRPr="00E452F7">
        <w:rPr>
          <w:rFonts w:ascii="Times New Roman" w:hAnsi="Times New Roman" w:cs="Times New Roman"/>
        </w:rPr>
        <w:t>Adedoyin Lawal</w:t>
      </w:r>
      <w:r w:rsidRPr="00E452F7">
        <w:rPr>
          <w:rFonts w:ascii="Times New Roman" w:hAnsi="Times New Roman" w:cs="Times New Roman"/>
          <w:vertAlign w:val="superscript"/>
        </w:rPr>
        <w:t>3</w:t>
      </w:r>
      <w:r w:rsidRPr="00E452F7">
        <w:rPr>
          <w:rFonts w:ascii="Times New Roman" w:hAnsi="Times New Roman" w:cs="Times New Roman"/>
        </w:rPr>
        <w:t>,</w:t>
      </w:r>
      <w:r w:rsidRPr="00E452F7">
        <w:rPr>
          <w:rFonts w:ascii="Times New Roman" w:hAnsi="Times New Roman" w:cs="Times New Roman"/>
          <w:vertAlign w:val="superscript"/>
        </w:rPr>
        <w:t xml:space="preserve"> </w:t>
      </w:r>
      <w:r w:rsidR="00BF2A10" w:rsidRPr="00E452F7">
        <w:rPr>
          <w:rFonts w:ascii="Times New Roman" w:hAnsi="Times New Roman" w:cs="Times New Roman"/>
        </w:rPr>
        <w:t xml:space="preserve">Adeyemi </w:t>
      </w:r>
      <w:r w:rsidR="000518C2" w:rsidRPr="00E452F7">
        <w:rPr>
          <w:rFonts w:ascii="Times New Roman" w:hAnsi="Times New Roman" w:cs="Times New Roman"/>
        </w:rPr>
        <w:t xml:space="preserve">A. </w:t>
      </w:r>
      <w:r w:rsidR="00BF2A10" w:rsidRPr="00E452F7">
        <w:rPr>
          <w:rFonts w:ascii="Times New Roman" w:hAnsi="Times New Roman" w:cs="Times New Roman"/>
        </w:rPr>
        <w:t>Ogundipe</w:t>
      </w:r>
      <w:r w:rsidRPr="00E452F7">
        <w:rPr>
          <w:rFonts w:ascii="Times New Roman" w:hAnsi="Times New Roman" w:cs="Times New Roman"/>
          <w:vertAlign w:val="superscript"/>
        </w:rPr>
        <w:t>4</w:t>
      </w:r>
      <w:r w:rsidRPr="00E452F7">
        <w:rPr>
          <w:rFonts w:ascii="Times New Roman" w:hAnsi="Times New Roman" w:cs="Times New Roman"/>
        </w:rPr>
        <w:t xml:space="preserve">, </w:t>
      </w:r>
      <w:r w:rsidR="005439A7" w:rsidRPr="00E452F7">
        <w:rPr>
          <w:rFonts w:ascii="Times New Roman" w:hAnsi="Times New Roman" w:cs="Times New Roman"/>
        </w:rPr>
        <w:t>Henry</w:t>
      </w:r>
      <w:r w:rsidRPr="00E452F7">
        <w:rPr>
          <w:rFonts w:ascii="Times New Roman" w:hAnsi="Times New Roman" w:cs="Times New Roman"/>
        </w:rPr>
        <w:t xml:space="preserve"> </w:t>
      </w:r>
      <w:r w:rsidR="000518C2" w:rsidRPr="00E452F7">
        <w:rPr>
          <w:rFonts w:ascii="Times New Roman" w:hAnsi="Times New Roman" w:cs="Times New Roman"/>
        </w:rPr>
        <w:t>Inegbedion</w:t>
      </w:r>
      <w:r w:rsidRPr="00E452F7">
        <w:rPr>
          <w:rFonts w:ascii="Times New Roman" w:hAnsi="Times New Roman" w:cs="Times New Roman"/>
          <w:vertAlign w:val="superscript"/>
        </w:rPr>
        <w:t>5</w:t>
      </w:r>
      <w:r w:rsidRPr="00E452F7">
        <w:rPr>
          <w:rFonts w:ascii="Times New Roman" w:hAnsi="Times New Roman" w:cs="Times New Roman"/>
        </w:rPr>
        <w:t>, Olabisi Popoola</w:t>
      </w:r>
      <w:r w:rsidRPr="00E452F7">
        <w:rPr>
          <w:rFonts w:ascii="Times New Roman" w:hAnsi="Times New Roman" w:cs="Times New Roman"/>
          <w:vertAlign w:val="superscript"/>
        </w:rPr>
        <w:t>1</w:t>
      </w:r>
      <w:r w:rsidRPr="00E452F7">
        <w:rPr>
          <w:rFonts w:ascii="Times New Roman" w:hAnsi="Times New Roman" w:cs="Times New Roman"/>
        </w:rPr>
        <w:t xml:space="preserve">, </w:t>
      </w:r>
      <w:r w:rsidR="00AD7DA2" w:rsidRPr="00E452F7">
        <w:rPr>
          <w:rFonts w:ascii="Times New Roman" w:hAnsi="Times New Roman" w:cs="Times New Roman"/>
        </w:rPr>
        <w:t>Adewara</w:t>
      </w:r>
      <w:r w:rsidR="000518C2" w:rsidRPr="00E452F7">
        <w:rPr>
          <w:rFonts w:ascii="Times New Roman" w:hAnsi="Times New Roman" w:cs="Times New Roman"/>
        </w:rPr>
        <w:t xml:space="preserve"> Sunday</w:t>
      </w:r>
      <w:r w:rsidRPr="00E452F7">
        <w:rPr>
          <w:rFonts w:ascii="Times New Roman" w:hAnsi="Times New Roman" w:cs="Times New Roman"/>
          <w:vertAlign w:val="superscript"/>
        </w:rPr>
        <w:t>1</w:t>
      </w:r>
      <w:r w:rsidRPr="00E452F7">
        <w:rPr>
          <w:rFonts w:ascii="Times New Roman" w:hAnsi="Times New Roman" w:cs="Times New Roman"/>
        </w:rPr>
        <w:t xml:space="preserve">, </w:t>
      </w:r>
      <w:r w:rsidR="00BF2A10" w:rsidRPr="00E452F7">
        <w:rPr>
          <w:rFonts w:ascii="Times New Roman" w:hAnsi="Times New Roman" w:cs="Times New Roman"/>
        </w:rPr>
        <w:t xml:space="preserve">Olusegun </w:t>
      </w:r>
      <w:r w:rsidRPr="00E452F7">
        <w:rPr>
          <w:rFonts w:ascii="Times New Roman" w:hAnsi="Times New Roman" w:cs="Times New Roman"/>
        </w:rPr>
        <w:t xml:space="preserve">Barnabas </w:t>
      </w:r>
      <w:r w:rsidR="00BF2A10" w:rsidRPr="00E452F7">
        <w:rPr>
          <w:rFonts w:ascii="Times New Roman" w:hAnsi="Times New Roman" w:cs="Times New Roman"/>
        </w:rPr>
        <w:t>Obasaju</w:t>
      </w:r>
      <w:r w:rsidRPr="00E452F7">
        <w:rPr>
          <w:rFonts w:ascii="Times New Roman" w:hAnsi="Times New Roman" w:cs="Times New Roman"/>
          <w:vertAlign w:val="superscript"/>
        </w:rPr>
        <w:t>1</w:t>
      </w:r>
    </w:p>
    <w:p w14:paraId="75674CE2" w14:textId="0F276983" w:rsidR="00633272" w:rsidRPr="00E452F7" w:rsidRDefault="00633272" w:rsidP="00E452F7">
      <w:pPr>
        <w:autoSpaceDE w:val="0"/>
        <w:autoSpaceDN w:val="0"/>
        <w:adjustRightInd w:val="0"/>
        <w:spacing w:after="0" w:line="240" w:lineRule="auto"/>
        <w:jc w:val="both"/>
        <w:rPr>
          <w:rFonts w:ascii="Times New Roman" w:eastAsia="Calibri" w:hAnsi="Times New Roman" w:cs="Times New Roman"/>
        </w:rPr>
      </w:pPr>
    </w:p>
    <w:p w14:paraId="76078AEC" w14:textId="05090BF8" w:rsidR="00EC4B91" w:rsidRPr="00E452F7" w:rsidRDefault="00EC4B91" w:rsidP="00E452F7">
      <w:pPr>
        <w:autoSpaceDE w:val="0"/>
        <w:autoSpaceDN w:val="0"/>
        <w:adjustRightInd w:val="0"/>
        <w:spacing w:after="0" w:line="240" w:lineRule="auto"/>
        <w:jc w:val="both"/>
        <w:rPr>
          <w:rFonts w:ascii="Times New Roman" w:eastAsia="Calibri" w:hAnsi="Times New Roman" w:cs="Times New Roman"/>
        </w:rPr>
      </w:pPr>
      <w:r w:rsidRPr="00E452F7">
        <w:rPr>
          <w:rFonts w:ascii="Times New Roman" w:eastAsia="Calibri" w:hAnsi="Times New Roman" w:cs="Times New Roman"/>
          <w:vertAlign w:val="superscript"/>
        </w:rPr>
        <w:t>1</w:t>
      </w:r>
      <w:r w:rsidRPr="00E452F7">
        <w:rPr>
          <w:rFonts w:ascii="Times New Roman" w:eastAsia="Calibri" w:hAnsi="Times New Roman" w:cs="Times New Roman"/>
        </w:rPr>
        <w:t xml:space="preserve">Department of Economics, Landmark University, Nigeria, </w:t>
      </w:r>
      <w:r w:rsidRPr="00E452F7">
        <w:rPr>
          <w:rFonts w:ascii="Times New Roman" w:eastAsia="Calibri" w:hAnsi="Times New Roman" w:cs="Times New Roman"/>
          <w:vertAlign w:val="superscript"/>
        </w:rPr>
        <w:t>2</w:t>
      </w:r>
      <w:r w:rsidRPr="00E452F7">
        <w:rPr>
          <w:rFonts w:ascii="Times New Roman" w:eastAsia="Calibri" w:hAnsi="Times New Roman" w:cs="Times New Roman"/>
        </w:rPr>
        <w:t xml:space="preserve">Department of Crop and Social Sciences, Landmark University, </w:t>
      </w:r>
      <w:r w:rsidRPr="00E452F7">
        <w:rPr>
          <w:rFonts w:ascii="Times New Roman" w:eastAsia="Calibri" w:hAnsi="Times New Roman" w:cs="Times New Roman"/>
          <w:vertAlign w:val="superscript"/>
        </w:rPr>
        <w:t>3</w:t>
      </w:r>
      <w:r w:rsidRPr="00E452F7">
        <w:rPr>
          <w:rFonts w:ascii="Times New Roman" w:eastAsia="Calibri" w:hAnsi="Times New Roman" w:cs="Times New Roman"/>
        </w:rPr>
        <w:t xml:space="preserve">Department of Accounting and Finance, Landmark University, </w:t>
      </w:r>
      <w:r w:rsidRPr="00E452F7">
        <w:rPr>
          <w:rFonts w:ascii="Times New Roman" w:eastAsia="Calibri" w:hAnsi="Times New Roman" w:cs="Times New Roman"/>
          <w:vertAlign w:val="superscript"/>
        </w:rPr>
        <w:t>4</w:t>
      </w:r>
      <w:r w:rsidRPr="00E452F7">
        <w:rPr>
          <w:rFonts w:ascii="Times New Roman" w:eastAsia="Calibri" w:hAnsi="Times New Roman" w:cs="Times New Roman"/>
        </w:rPr>
        <w:t xml:space="preserve">Department of Economics, College of Business and Development Studies, Covenant University, Nigeria, </w:t>
      </w:r>
      <w:r w:rsidRPr="00E452F7">
        <w:rPr>
          <w:rFonts w:ascii="Times New Roman" w:eastAsia="Calibri" w:hAnsi="Times New Roman" w:cs="Times New Roman"/>
          <w:vertAlign w:val="superscript"/>
        </w:rPr>
        <w:t>5</w:t>
      </w:r>
      <w:r w:rsidRPr="00E452F7">
        <w:rPr>
          <w:rFonts w:ascii="Times New Roman" w:eastAsia="Calibri" w:hAnsi="Times New Roman" w:cs="Times New Roman"/>
        </w:rPr>
        <w:t xml:space="preserve">Department of Business Studies, Landmark University, Nigeria </w:t>
      </w:r>
      <w:hyperlink r:id="rId8" w:history="1">
        <w:r w:rsidRPr="00E452F7">
          <w:rPr>
            <w:rStyle w:val="Hyperlink"/>
            <w:rFonts w:ascii="Times New Roman" w:eastAsia="Calibri" w:hAnsi="Times New Roman" w:cs="Times New Roman"/>
          </w:rPr>
          <w:t>*asaleye.abiola@lmu.edu.ng</w:t>
        </w:r>
      </w:hyperlink>
    </w:p>
    <w:p w14:paraId="400680F1" w14:textId="77777777" w:rsidR="00EC4B91" w:rsidRPr="00E452F7" w:rsidRDefault="00EC4B91" w:rsidP="00E452F7">
      <w:pPr>
        <w:autoSpaceDE w:val="0"/>
        <w:autoSpaceDN w:val="0"/>
        <w:adjustRightInd w:val="0"/>
        <w:spacing w:after="0" w:line="240" w:lineRule="auto"/>
        <w:jc w:val="both"/>
        <w:rPr>
          <w:rFonts w:ascii="Times New Roman" w:eastAsia="Calibri" w:hAnsi="Times New Roman" w:cs="Times New Roman"/>
        </w:rPr>
      </w:pPr>
    </w:p>
    <w:p w14:paraId="42AF2229" w14:textId="77777777" w:rsidR="00EC4B91" w:rsidRPr="00E452F7" w:rsidRDefault="00EC4B91" w:rsidP="00E452F7">
      <w:pPr>
        <w:autoSpaceDE w:val="0"/>
        <w:autoSpaceDN w:val="0"/>
        <w:adjustRightInd w:val="0"/>
        <w:spacing w:line="240" w:lineRule="auto"/>
        <w:jc w:val="both"/>
        <w:rPr>
          <w:rFonts w:ascii="Times New Roman" w:eastAsia="Calibri" w:hAnsi="Times New Roman" w:cs="Times New Roman"/>
          <w:b/>
        </w:rPr>
      </w:pPr>
    </w:p>
    <w:p w14:paraId="5389B71F" w14:textId="0DFD1F86" w:rsidR="003A2542" w:rsidRPr="00E452F7" w:rsidRDefault="003A2542" w:rsidP="00E452F7">
      <w:pPr>
        <w:autoSpaceDE w:val="0"/>
        <w:autoSpaceDN w:val="0"/>
        <w:adjustRightInd w:val="0"/>
        <w:spacing w:line="240" w:lineRule="auto"/>
        <w:jc w:val="both"/>
        <w:rPr>
          <w:rFonts w:ascii="Times New Roman" w:eastAsia="Calibri" w:hAnsi="Times New Roman" w:cs="Times New Roman"/>
          <w:b/>
        </w:rPr>
      </w:pPr>
      <w:r w:rsidRPr="00E452F7">
        <w:rPr>
          <w:rFonts w:ascii="Times New Roman" w:eastAsia="Calibri" w:hAnsi="Times New Roman" w:cs="Times New Roman"/>
          <w:b/>
        </w:rPr>
        <w:t xml:space="preserve">Abstract </w:t>
      </w:r>
    </w:p>
    <w:p w14:paraId="77230996" w14:textId="2A2E2365" w:rsidR="003A2542" w:rsidRPr="00E452F7" w:rsidRDefault="003A2542" w:rsidP="00E452F7">
      <w:pPr>
        <w:autoSpaceDE w:val="0"/>
        <w:autoSpaceDN w:val="0"/>
        <w:adjustRightInd w:val="0"/>
        <w:spacing w:line="240" w:lineRule="auto"/>
        <w:jc w:val="both"/>
        <w:rPr>
          <w:rFonts w:ascii="Times New Roman" w:hAnsi="Times New Roman" w:cs="Times New Roman"/>
        </w:rPr>
      </w:pPr>
      <w:r w:rsidRPr="00E452F7">
        <w:rPr>
          <w:rFonts w:ascii="Times New Roman" w:hAnsi="Times New Roman" w:cs="Times New Roman"/>
        </w:rPr>
        <w:t>Reduction in oil price in the international market, coupled high demand of foreign goods and wide swings of oil prices in the international market has posed different challenges for policies to promote growth and development.</w:t>
      </w:r>
      <w:r w:rsidRPr="00E452F7">
        <w:rPr>
          <w:rFonts w:ascii="Times New Roman" w:eastAsia="Calibri" w:hAnsi="Times New Roman" w:cs="Times New Roman"/>
        </w:rPr>
        <w:t xml:space="preserve"> </w:t>
      </w:r>
      <w:r w:rsidRPr="00E452F7">
        <w:rPr>
          <w:rFonts w:ascii="Times New Roman" w:hAnsi="Times New Roman" w:cs="Times New Roman"/>
        </w:rPr>
        <w:t>This study investigates the impact of oil shock on macroeconomic performance</w:t>
      </w:r>
      <w:r w:rsidR="00275B32" w:rsidRPr="00E452F7">
        <w:rPr>
          <w:rFonts w:ascii="Times New Roman" w:hAnsi="Times New Roman" w:cs="Times New Roman"/>
        </w:rPr>
        <w:t xml:space="preserve"> in Nigeria</w:t>
      </w:r>
      <w:r w:rsidRPr="00E452F7">
        <w:rPr>
          <w:rFonts w:ascii="Times New Roman" w:hAnsi="Times New Roman" w:cs="Times New Roman"/>
        </w:rPr>
        <w:t xml:space="preserve"> using Structural Vector Autoregress</w:t>
      </w:r>
      <w:r w:rsidR="00275B32" w:rsidRPr="00E452F7">
        <w:rPr>
          <w:rFonts w:ascii="Times New Roman" w:hAnsi="Times New Roman" w:cs="Times New Roman"/>
        </w:rPr>
        <w:t xml:space="preserve">ion and normalized equation was </w:t>
      </w:r>
      <w:r w:rsidRPr="00E452F7">
        <w:rPr>
          <w:rFonts w:ascii="Times New Roman" w:hAnsi="Times New Roman" w:cs="Times New Roman"/>
        </w:rPr>
        <w:t xml:space="preserve">used to </w:t>
      </w:r>
      <w:r w:rsidR="00275B32" w:rsidRPr="00E452F7">
        <w:rPr>
          <w:rFonts w:ascii="Times New Roman" w:hAnsi="Times New Roman" w:cs="Times New Roman"/>
        </w:rPr>
        <w:t>establish</w:t>
      </w:r>
      <w:r w:rsidRPr="00E452F7">
        <w:rPr>
          <w:rFonts w:ascii="Times New Roman" w:hAnsi="Times New Roman" w:cs="Times New Roman"/>
        </w:rPr>
        <w:t xml:space="preserve"> the long-run equation. Evidence from the long-run relationship showed that employment has a negative relationship with aggregated output, exchange rate and oil prices. The interest rate and consumer price index has a positive relationship with employment. Variation in oil shock affects most of the macroeconomic variables. More explicitly, the oil price shock shows more variation across the time horizon for employment. The </w:t>
      </w:r>
      <w:r w:rsidR="00862570" w:rsidRPr="00E452F7">
        <w:rPr>
          <w:rFonts w:ascii="Times New Roman" w:hAnsi="Times New Roman" w:cs="Times New Roman"/>
        </w:rPr>
        <w:t>consequence</w:t>
      </w:r>
      <w:r w:rsidRPr="00E452F7">
        <w:rPr>
          <w:rFonts w:ascii="Times New Roman" w:hAnsi="Times New Roman" w:cs="Times New Roman"/>
        </w:rPr>
        <w:t xml:space="preserve"> of the result is that dependence on the oil sector has not promoted employment generation over time; there is a need to consider an alternative means to ensure sustainable growth and development.</w:t>
      </w:r>
    </w:p>
    <w:p w14:paraId="5D3C2879" w14:textId="1196774F" w:rsidR="00275B32" w:rsidRPr="00E452F7" w:rsidRDefault="00275B32" w:rsidP="00E452F7">
      <w:pPr>
        <w:autoSpaceDE w:val="0"/>
        <w:autoSpaceDN w:val="0"/>
        <w:adjustRightInd w:val="0"/>
        <w:spacing w:after="0" w:line="240" w:lineRule="auto"/>
        <w:jc w:val="both"/>
        <w:rPr>
          <w:rFonts w:ascii="Times New Roman" w:eastAsia="Calibri" w:hAnsi="Times New Roman" w:cs="Times New Roman"/>
        </w:rPr>
      </w:pPr>
      <w:r w:rsidRPr="00E452F7">
        <w:rPr>
          <w:rFonts w:ascii="Times New Roman" w:hAnsi="Times New Roman" w:cs="Times New Roman"/>
          <w:b/>
        </w:rPr>
        <w:t>Keywords</w:t>
      </w:r>
      <w:r w:rsidRPr="00E452F7">
        <w:rPr>
          <w:rFonts w:ascii="Times New Roman" w:hAnsi="Times New Roman" w:cs="Times New Roman"/>
        </w:rPr>
        <w:t>: Oil Price, Employment, Macroeconomic Performance</w:t>
      </w:r>
    </w:p>
    <w:p w14:paraId="63B9EA45" w14:textId="77777777" w:rsidR="003A2542" w:rsidRPr="00E452F7" w:rsidRDefault="003A2542" w:rsidP="00E452F7">
      <w:pPr>
        <w:autoSpaceDE w:val="0"/>
        <w:autoSpaceDN w:val="0"/>
        <w:adjustRightInd w:val="0"/>
        <w:spacing w:after="0" w:line="240" w:lineRule="auto"/>
        <w:jc w:val="both"/>
        <w:rPr>
          <w:rFonts w:ascii="Times New Roman" w:eastAsia="Calibri" w:hAnsi="Times New Roman" w:cs="Times New Roman"/>
        </w:rPr>
      </w:pPr>
    </w:p>
    <w:p w14:paraId="3C862FBD" w14:textId="5C39D1C7" w:rsidR="00633272" w:rsidRPr="00E452F7" w:rsidRDefault="00BF2A10" w:rsidP="00E452F7">
      <w:pPr>
        <w:pStyle w:val="ListParagraph"/>
        <w:numPr>
          <w:ilvl w:val="0"/>
          <w:numId w:val="13"/>
        </w:numPr>
        <w:spacing w:after="0" w:line="240" w:lineRule="auto"/>
        <w:ind w:hanging="720"/>
        <w:rPr>
          <w:rFonts w:ascii="Times New Roman" w:hAnsi="Times New Roman" w:cs="Times New Roman"/>
          <w:b/>
        </w:rPr>
      </w:pPr>
      <w:r w:rsidRPr="00E452F7">
        <w:rPr>
          <w:rFonts w:ascii="Times New Roman" w:hAnsi="Times New Roman" w:cs="Times New Roman"/>
          <w:b/>
        </w:rPr>
        <w:t xml:space="preserve">Introduction </w:t>
      </w:r>
    </w:p>
    <w:p w14:paraId="20F0DFDD" w14:textId="346F3078" w:rsidR="0058473F" w:rsidRPr="00E452F7" w:rsidRDefault="005439A7" w:rsidP="00E452F7">
      <w:pPr>
        <w:spacing w:line="240" w:lineRule="auto"/>
        <w:jc w:val="both"/>
        <w:rPr>
          <w:rFonts w:ascii="Times New Roman" w:hAnsi="Times New Roman" w:cs="Times New Roman"/>
        </w:rPr>
      </w:pPr>
      <w:r w:rsidRPr="00E452F7">
        <w:rPr>
          <w:rFonts w:ascii="Times New Roman" w:hAnsi="Times New Roman" w:cs="Times New Roman"/>
        </w:rPr>
        <w:t>Ever since the discovery of oil in 1970s, the Nigerian economy has depended on the sector as the m</w:t>
      </w:r>
      <w:r w:rsidR="00D47448" w:rsidRPr="00E452F7">
        <w:rPr>
          <w:rFonts w:ascii="Times New Roman" w:hAnsi="Times New Roman" w:cs="Times New Roman"/>
        </w:rPr>
        <w:t>ain source of revenue. T</w:t>
      </w:r>
      <w:r w:rsidR="00F71882" w:rsidRPr="00E452F7">
        <w:rPr>
          <w:rFonts w:ascii="Times New Roman" w:hAnsi="Times New Roman" w:cs="Times New Roman"/>
        </w:rPr>
        <w:t>he heavy dependence on the oil sector</w:t>
      </w:r>
      <w:r w:rsidR="001409A7" w:rsidRPr="00E452F7">
        <w:rPr>
          <w:rFonts w:ascii="Times New Roman" w:hAnsi="Times New Roman" w:cs="Times New Roman"/>
        </w:rPr>
        <w:t xml:space="preserve">, </w:t>
      </w:r>
      <w:r w:rsidR="00EB5079" w:rsidRPr="00E452F7">
        <w:rPr>
          <w:rFonts w:ascii="Times New Roman" w:hAnsi="Times New Roman" w:cs="Times New Roman"/>
        </w:rPr>
        <w:t>which accounted</w:t>
      </w:r>
      <w:r w:rsidR="001409A7" w:rsidRPr="00E452F7">
        <w:rPr>
          <w:rFonts w:ascii="Times New Roman" w:hAnsi="Times New Roman" w:cs="Times New Roman"/>
        </w:rPr>
        <w:t xml:space="preserve"> for about 95 per cent of export earnings and more than 85 per cent of government revenue has</w:t>
      </w:r>
      <w:r w:rsidR="00B1753F" w:rsidRPr="00E452F7">
        <w:rPr>
          <w:rFonts w:ascii="Times New Roman" w:hAnsi="Times New Roman" w:cs="Times New Roman"/>
        </w:rPr>
        <w:t xml:space="preserve"> exposed</w:t>
      </w:r>
      <w:r w:rsidRPr="00E452F7">
        <w:rPr>
          <w:rFonts w:ascii="Times New Roman" w:hAnsi="Times New Roman" w:cs="Times New Roman"/>
        </w:rPr>
        <w:t xml:space="preserve"> the country to</w:t>
      </w:r>
      <w:r w:rsidR="00EB5079" w:rsidRPr="00E452F7">
        <w:rPr>
          <w:rFonts w:ascii="Times New Roman" w:hAnsi="Times New Roman" w:cs="Times New Roman"/>
        </w:rPr>
        <w:t xml:space="preserve"> both</w:t>
      </w:r>
      <w:r w:rsidRPr="00E452F7">
        <w:rPr>
          <w:rFonts w:ascii="Times New Roman" w:hAnsi="Times New Roman" w:cs="Times New Roman"/>
        </w:rPr>
        <w:t xml:space="preserve"> internal and external shocks affecting the macroeconomic performance.</w:t>
      </w:r>
      <w:r w:rsidR="00F71882" w:rsidRPr="00E452F7">
        <w:rPr>
          <w:rFonts w:ascii="Times New Roman" w:hAnsi="Times New Roman" w:cs="Times New Roman"/>
        </w:rPr>
        <w:t xml:space="preserve"> Kim and Loughani (1992) stressed </w:t>
      </w:r>
      <w:r w:rsidR="001409A7" w:rsidRPr="00E452F7">
        <w:rPr>
          <w:rFonts w:ascii="Times New Roman" w:hAnsi="Times New Roman" w:cs="Times New Roman"/>
        </w:rPr>
        <w:t>continuous oil shock could have a negative implications on the economy. Likewise, the wide swings of oil prices in the international market has posed different challenges for policies to promote growth and development (Asaleye, Lawal, Popoola, Alege &amp; Oyetade, 2019</w:t>
      </w:r>
      <w:r w:rsidR="00BF73C3" w:rsidRPr="00E452F7">
        <w:rPr>
          <w:rFonts w:ascii="Times New Roman" w:hAnsi="Times New Roman" w:cs="Times New Roman"/>
        </w:rPr>
        <w:t xml:space="preserve">; </w:t>
      </w:r>
      <w:r w:rsidR="00BF73C3" w:rsidRPr="00E452F7">
        <w:rPr>
          <w:rFonts w:ascii="Times New Roman" w:hAnsi="Times New Roman" w:cs="Times New Roman"/>
          <w:iCs/>
        </w:rPr>
        <w:t>Obadiaru, Oloyede, Omankhanlen &amp; Asaleye, 2018</w:t>
      </w:r>
      <w:r w:rsidR="001409A7" w:rsidRPr="00E452F7">
        <w:rPr>
          <w:rFonts w:ascii="Times New Roman" w:hAnsi="Times New Roman" w:cs="Times New Roman"/>
        </w:rPr>
        <w:t xml:space="preserve">). In </w:t>
      </w:r>
      <w:r w:rsidR="00862570" w:rsidRPr="00E452F7">
        <w:rPr>
          <w:rFonts w:ascii="Times New Roman" w:hAnsi="Times New Roman" w:cs="Times New Roman"/>
        </w:rPr>
        <w:t>current</w:t>
      </w:r>
      <w:r w:rsidR="001409A7" w:rsidRPr="00E452F7">
        <w:rPr>
          <w:rFonts w:ascii="Times New Roman" w:hAnsi="Times New Roman" w:cs="Times New Roman"/>
        </w:rPr>
        <w:t xml:space="preserve"> time, </w:t>
      </w:r>
      <w:r w:rsidR="00EB5079" w:rsidRPr="00E452F7">
        <w:rPr>
          <w:rFonts w:ascii="Times New Roman" w:hAnsi="Times New Roman" w:cs="Times New Roman"/>
        </w:rPr>
        <w:t>the Nigerian government has emphasised on the diversification of the economy, one of the main reasons for this call is as the result of uncertainty in the oil sector. Sustaining macroeconomic stability is imperative to improve the macroeconomic problems the country is facing for decades such as high unemployment rate, poverty rate and low standard of living (Asaleye, Lawal, Popoola, Ogundipe &amp; Ezenwoke, 2018; Asa</w:t>
      </w:r>
      <w:r w:rsidR="00AA2C30" w:rsidRPr="00E452F7">
        <w:rPr>
          <w:rFonts w:ascii="Times New Roman" w:hAnsi="Times New Roman" w:cs="Times New Roman"/>
        </w:rPr>
        <w:t xml:space="preserve">leye, Adama &amp; Ogunjobi, 2018).  Majidi (2006) opine that positive relationship exist between oil price and instability of </w:t>
      </w:r>
      <w:r w:rsidR="004262AF" w:rsidRPr="00E452F7">
        <w:rPr>
          <w:rFonts w:ascii="Times New Roman" w:hAnsi="Times New Roman" w:cs="Times New Roman"/>
        </w:rPr>
        <w:t>macroeconomic</w:t>
      </w:r>
      <w:r w:rsidR="00AA2C30" w:rsidRPr="00E452F7">
        <w:rPr>
          <w:rFonts w:ascii="Times New Roman" w:hAnsi="Times New Roman" w:cs="Times New Roman"/>
        </w:rPr>
        <w:t xml:space="preserve"> variables</w:t>
      </w:r>
      <w:r w:rsidR="004262AF" w:rsidRPr="00E452F7">
        <w:rPr>
          <w:rFonts w:ascii="Times New Roman" w:hAnsi="Times New Roman" w:cs="Times New Roman"/>
        </w:rPr>
        <w:t xml:space="preserve">. </w:t>
      </w:r>
      <w:r w:rsidR="00A16537" w:rsidRPr="00E452F7">
        <w:rPr>
          <w:rFonts w:ascii="Times New Roman" w:hAnsi="Times New Roman" w:cs="Times New Roman"/>
        </w:rPr>
        <w:t xml:space="preserve">The first requirement to achieve sustainable growth and development has identified in </w:t>
      </w:r>
      <w:r w:rsidR="00D47448" w:rsidRPr="00E452F7">
        <w:rPr>
          <w:rFonts w:ascii="Times New Roman" w:hAnsi="Times New Roman" w:cs="Times New Roman"/>
        </w:rPr>
        <w:t xml:space="preserve">the Nigerian </w:t>
      </w:r>
      <w:r w:rsidR="00CB4B20" w:rsidRPr="00E452F7">
        <w:rPr>
          <w:rFonts w:ascii="Times New Roman" w:hAnsi="Times New Roman" w:cs="Times New Roman"/>
        </w:rPr>
        <w:t>Economic Recovery G</w:t>
      </w:r>
      <w:r w:rsidR="00A16537" w:rsidRPr="00E452F7">
        <w:rPr>
          <w:rFonts w:ascii="Times New Roman" w:hAnsi="Times New Roman" w:cs="Times New Roman"/>
        </w:rPr>
        <w:t xml:space="preserve">rowth Plan (2017) is to maintain stable macroeconomic environment characterized with low inflation, favorable exchange rate and sustainable fiscal and external balances. </w:t>
      </w:r>
    </w:p>
    <w:p w14:paraId="21269EA6" w14:textId="35EA83C0" w:rsidR="0058473F" w:rsidRPr="00E452F7" w:rsidRDefault="00A16537" w:rsidP="00E452F7">
      <w:pPr>
        <w:spacing w:line="240" w:lineRule="auto"/>
        <w:jc w:val="both"/>
        <w:rPr>
          <w:rFonts w:ascii="Times New Roman" w:hAnsi="Times New Roman" w:cs="Times New Roman"/>
        </w:rPr>
      </w:pPr>
      <w:r w:rsidRPr="00E452F7">
        <w:rPr>
          <w:rFonts w:ascii="Times New Roman" w:hAnsi="Times New Roman" w:cs="Times New Roman"/>
        </w:rPr>
        <w:t>In the last decade, the glob</w:t>
      </w:r>
      <w:r w:rsidR="00661DBB" w:rsidRPr="00E452F7">
        <w:rPr>
          <w:rFonts w:ascii="Times New Roman" w:hAnsi="Times New Roman" w:cs="Times New Roman"/>
        </w:rPr>
        <w:t>al economy has crumbled</w:t>
      </w:r>
      <w:r w:rsidRPr="00E452F7">
        <w:rPr>
          <w:rFonts w:ascii="Times New Roman" w:hAnsi="Times New Roman" w:cs="Times New Roman"/>
        </w:rPr>
        <w:t xml:space="preserve"> due to the global financial crisis in 2008. Consequently, the oil price in the international market dropping from 114 US dollar per barrel to 28 US dollar per barrel in the period of 2014 and 2016</w:t>
      </w:r>
      <w:r w:rsidR="00992A0E" w:rsidRPr="00E452F7">
        <w:rPr>
          <w:rFonts w:ascii="Times New Roman" w:hAnsi="Times New Roman" w:cs="Times New Roman"/>
        </w:rPr>
        <w:t>, coupled high demand of foreign goods. Many policy makers view this as the main source of economic fluctuation in recent times as well as a paradigm of high unemployment rate, inflation rate, poverty rate and low standard</w:t>
      </w:r>
      <w:r w:rsidR="0058473F" w:rsidRPr="00E452F7">
        <w:rPr>
          <w:rFonts w:ascii="Times New Roman" w:hAnsi="Times New Roman" w:cs="Times New Roman"/>
        </w:rPr>
        <w:t xml:space="preserve"> of living.</w:t>
      </w:r>
      <w:r w:rsidR="00690C22" w:rsidRPr="00E452F7">
        <w:rPr>
          <w:rFonts w:ascii="Times New Roman" w:hAnsi="Times New Roman" w:cs="Times New Roman"/>
        </w:rPr>
        <w:t xml:space="preserve"> Likewise, scholars have stressed that Nigeria has enjoyed continually economy growth before the recession in the second quarter </w:t>
      </w:r>
      <w:r w:rsidR="00690C22" w:rsidRPr="00E452F7">
        <w:rPr>
          <w:rFonts w:ascii="Times New Roman" w:hAnsi="Times New Roman" w:cs="Times New Roman"/>
        </w:rPr>
        <w:lastRenderedPageBreak/>
        <w:t xml:space="preserve">of 2016. However, the growth witnessed has not improved the employment and welfare situation in the country (Adama, Asaleye, Oye &amp; Ogunjobi, 2017; </w:t>
      </w:r>
      <w:r w:rsidR="00BF73C3" w:rsidRPr="00E452F7">
        <w:rPr>
          <w:rFonts w:ascii="Times New Roman" w:hAnsi="Times New Roman" w:cs="Times New Roman"/>
          <w:color w:val="000000"/>
        </w:rPr>
        <w:t xml:space="preserve">Asaleye, Isoha, Asamu, Inegbedion, Arisukwu &amp; Popoola, 2018; </w:t>
      </w:r>
      <w:r w:rsidR="00BF73C3" w:rsidRPr="00E452F7">
        <w:rPr>
          <w:rFonts w:ascii="Times New Roman" w:hAnsi="Times New Roman" w:cs="Times New Roman"/>
          <w:iCs/>
        </w:rPr>
        <w:t>Asaleye, Ogala, Aremu, Ogala, Lawal, Inegbedion &amp; Popoola, 2019)</w:t>
      </w:r>
      <w:r w:rsidR="00690C22" w:rsidRPr="00E452F7">
        <w:rPr>
          <w:rFonts w:ascii="Times New Roman" w:hAnsi="Times New Roman" w:cs="Times New Roman"/>
        </w:rPr>
        <w:t>.</w:t>
      </w:r>
      <w:r w:rsidR="00D61FA3" w:rsidRPr="00E452F7">
        <w:rPr>
          <w:rFonts w:ascii="Times New Roman" w:hAnsi="Times New Roman" w:cs="Times New Roman"/>
        </w:rPr>
        <w:t xml:space="preserve"> Before the discovery of oil in the 1970s, agricultural sector has been the main sour</w:t>
      </w:r>
      <w:r w:rsidR="00661DBB" w:rsidRPr="00E452F7">
        <w:rPr>
          <w:rFonts w:ascii="Times New Roman" w:hAnsi="Times New Roman" w:cs="Times New Roman"/>
        </w:rPr>
        <w:t>ce of employment generation. T</w:t>
      </w:r>
      <w:r w:rsidR="00D61FA3" w:rsidRPr="00E452F7">
        <w:rPr>
          <w:rFonts w:ascii="Times New Roman" w:hAnsi="Times New Roman" w:cs="Times New Roman"/>
        </w:rPr>
        <w:t xml:space="preserve">he aftermath of the oil shock in 1973-74 resulted in the movement of huge capital to Nigeria. During this period, Nigerian government expenditure increases compared to previous eras due to the influence of international capital market. In addition, the country witnessed the ‘Dutch disease’, which resulted in decline of agricultural output and export, increase the inflation, interest and unemployment rate. The low performance of macroeconomic variables </w:t>
      </w:r>
      <w:r w:rsidR="000236AB" w:rsidRPr="00E452F7">
        <w:rPr>
          <w:rFonts w:ascii="Times New Roman" w:hAnsi="Times New Roman" w:cs="Times New Roman"/>
        </w:rPr>
        <w:t xml:space="preserve">during the period is not only traceable </w:t>
      </w:r>
      <w:r w:rsidR="00D61FA3" w:rsidRPr="00E452F7">
        <w:rPr>
          <w:rFonts w:ascii="Times New Roman" w:hAnsi="Times New Roman" w:cs="Times New Roman"/>
        </w:rPr>
        <w:t xml:space="preserve">to the effect of the ‘Dutch disease’ but the collapse of the oil price in 1982. </w:t>
      </w:r>
    </w:p>
    <w:p w14:paraId="211F2C3D" w14:textId="423D3CB0" w:rsidR="009C7945" w:rsidRPr="00E452F7" w:rsidRDefault="000236AB" w:rsidP="00E452F7">
      <w:pPr>
        <w:spacing w:line="240" w:lineRule="auto"/>
        <w:jc w:val="both"/>
        <w:rPr>
          <w:rFonts w:ascii="Times New Roman" w:hAnsi="Times New Roman" w:cs="Times New Roman"/>
        </w:rPr>
      </w:pPr>
      <w:r w:rsidRPr="00E452F7">
        <w:rPr>
          <w:rFonts w:ascii="Times New Roman" w:hAnsi="Times New Roman" w:cs="Times New Roman"/>
        </w:rPr>
        <w:t xml:space="preserve">It is believe that there is connection between oil price shock and employment. </w:t>
      </w:r>
      <w:r w:rsidR="00C862CE" w:rsidRPr="00E452F7">
        <w:rPr>
          <w:rFonts w:ascii="Times New Roman" w:hAnsi="Times New Roman" w:cs="Times New Roman"/>
        </w:rPr>
        <w:t xml:space="preserve"> Ahmad (2013) documented that negative relationship exist between oil price and employment. According to the scholar, an increase in oil price will cause negative impact on output, whi</w:t>
      </w:r>
      <w:r w:rsidR="00661DBB" w:rsidRPr="00E452F7">
        <w:rPr>
          <w:rFonts w:ascii="Times New Roman" w:hAnsi="Times New Roman" w:cs="Times New Roman"/>
        </w:rPr>
        <w:t>ch on the other hand will</w:t>
      </w:r>
      <w:r w:rsidR="00C862CE" w:rsidRPr="00E452F7">
        <w:rPr>
          <w:rFonts w:ascii="Times New Roman" w:hAnsi="Times New Roman" w:cs="Times New Roman"/>
        </w:rPr>
        <w:t xml:space="preserve"> affect employment negatively. Conversely, the scholars also argued that the positive impact only exist on the supply side. On the demand side, it was pointed out by Ahmad (2013) that oil price have positive relationship with employment. This argument was also supported by the study of Keane and Prasad (1990) that reported positive relationship between oil price and employment in developing economies. T</w:t>
      </w:r>
      <w:r w:rsidR="00B1753F" w:rsidRPr="00E452F7">
        <w:rPr>
          <w:rFonts w:ascii="Times New Roman" w:hAnsi="Times New Roman" w:cs="Times New Roman"/>
        </w:rPr>
        <w:t xml:space="preserve">here is vast of empirical works </w:t>
      </w:r>
      <w:r w:rsidR="005439A7" w:rsidRPr="00E452F7">
        <w:rPr>
          <w:rFonts w:ascii="Times New Roman" w:hAnsi="Times New Roman" w:cs="Times New Roman"/>
        </w:rPr>
        <w:t>in relation to oil shoc</w:t>
      </w:r>
      <w:r w:rsidR="00EB5079" w:rsidRPr="00E452F7">
        <w:rPr>
          <w:rFonts w:ascii="Times New Roman" w:hAnsi="Times New Roman" w:cs="Times New Roman"/>
        </w:rPr>
        <w:t>k and macroeconomic performance, most of these studies focused on the developed and emerging economies</w:t>
      </w:r>
      <w:r w:rsidR="0058473F" w:rsidRPr="00E452F7">
        <w:rPr>
          <w:rFonts w:ascii="Times New Roman" w:hAnsi="Times New Roman" w:cs="Times New Roman"/>
        </w:rPr>
        <w:t xml:space="preserve"> with less emphasis on </w:t>
      </w:r>
      <w:r w:rsidR="00690C22" w:rsidRPr="00E452F7">
        <w:rPr>
          <w:rFonts w:ascii="Times New Roman" w:hAnsi="Times New Roman" w:cs="Times New Roman"/>
        </w:rPr>
        <w:t xml:space="preserve">the </w:t>
      </w:r>
      <w:r w:rsidR="0058473F" w:rsidRPr="00E452F7">
        <w:rPr>
          <w:rFonts w:ascii="Times New Roman" w:hAnsi="Times New Roman" w:cs="Times New Roman"/>
        </w:rPr>
        <w:t>implication</w:t>
      </w:r>
      <w:r w:rsidR="00690C22" w:rsidRPr="00E452F7">
        <w:rPr>
          <w:rFonts w:ascii="Times New Roman" w:hAnsi="Times New Roman" w:cs="Times New Roman"/>
        </w:rPr>
        <w:t>s</w:t>
      </w:r>
      <w:r w:rsidR="0058473F" w:rsidRPr="00E452F7">
        <w:rPr>
          <w:rFonts w:ascii="Times New Roman" w:hAnsi="Times New Roman" w:cs="Times New Roman"/>
        </w:rPr>
        <w:t xml:space="preserve"> on employment</w:t>
      </w:r>
      <w:r w:rsidR="00EB5079" w:rsidRPr="00E452F7">
        <w:rPr>
          <w:rFonts w:ascii="Times New Roman" w:hAnsi="Times New Roman" w:cs="Times New Roman"/>
        </w:rPr>
        <w:t xml:space="preserve">. </w:t>
      </w:r>
      <w:r w:rsidR="00B1753F" w:rsidRPr="00E452F7">
        <w:rPr>
          <w:rFonts w:ascii="Times New Roman" w:hAnsi="Times New Roman" w:cs="Times New Roman"/>
        </w:rPr>
        <w:t xml:space="preserve"> Few among the studies by </w:t>
      </w:r>
      <w:r w:rsidR="00754145" w:rsidRPr="00E452F7">
        <w:rPr>
          <w:rFonts w:ascii="Times New Roman" w:hAnsi="Times New Roman" w:cs="Times New Roman"/>
        </w:rPr>
        <w:t>Lorusso and Pieroni (2018)</w:t>
      </w:r>
      <w:r w:rsidR="005439A7" w:rsidRPr="00E452F7">
        <w:rPr>
          <w:rFonts w:ascii="Times New Roman" w:hAnsi="Times New Roman" w:cs="Times New Roman"/>
        </w:rPr>
        <w:t xml:space="preserve"> examined the implication of oil shock on the United Kingdom economy. The scholars reported </w:t>
      </w:r>
      <w:r w:rsidR="006E40E1" w:rsidRPr="00E452F7">
        <w:rPr>
          <w:rFonts w:ascii="Times New Roman" w:hAnsi="Times New Roman" w:cs="Times New Roman"/>
        </w:rPr>
        <w:t>that the effect of oil fluctuations affect the macroeconomic performance, most especially the GDP growt</w:t>
      </w:r>
      <w:r w:rsidR="00B1753F" w:rsidRPr="00E452F7">
        <w:rPr>
          <w:rFonts w:ascii="Times New Roman" w:hAnsi="Times New Roman" w:cs="Times New Roman"/>
        </w:rPr>
        <w:t xml:space="preserve">h, inflation, interest rate and </w:t>
      </w:r>
      <w:r w:rsidR="006E40E1" w:rsidRPr="00E452F7">
        <w:rPr>
          <w:rFonts w:ascii="Times New Roman" w:hAnsi="Times New Roman" w:cs="Times New Roman"/>
        </w:rPr>
        <w:t xml:space="preserve">unemployment rate. </w:t>
      </w:r>
      <w:r w:rsidR="00B1753F" w:rsidRPr="00E452F7">
        <w:rPr>
          <w:rFonts w:ascii="Times New Roman" w:hAnsi="Times New Roman" w:cs="Times New Roman"/>
        </w:rPr>
        <w:t>In a similar study</w:t>
      </w:r>
      <w:r w:rsidR="00754145" w:rsidRPr="00E452F7">
        <w:rPr>
          <w:rFonts w:ascii="Times New Roman" w:hAnsi="Times New Roman" w:cs="Times New Roman"/>
        </w:rPr>
        <w:t>,</w:t>
      </w:r>
      <w:r w:rsidR="00B1753F" w:rsidRPr="00E452F7">
        <w:rPr>
          <w:rFonts w:ascii="Times New Roman" w:hAnsi="Times New Roman" w:cs="Times New Roman"/>
        </w:rPr>
        <w:t xml:space="preserve"> </w:t>
      </w:r>
      <w:r w:rsidR="006E40E1" w:rsidRPr="00E452F7">
        <w:rPr>
          <w:rFonts w:ascii="Times New Roman" w:hAnsi="Times New Roman" w:cs="Times New Roman"/>
        </w:rPr>
        <w:t xml:space="preserve">Caldara, Cavalleo and Lacoviello (2018) investigated the effect of oil price elasticities and oil price fluctuations on the economy using Structural Vector Autoregression (SVAR). The findings of the scholars showed that supply and demand shocks explained the variation in oil prices and oil quantities. </w:t>
      </w:r>
      <w:r w:rsidR="00B1753F" w:rsidRPr="00E452F7">
        <w:rPr>
          <w:rFonts w:ascii="Times New Roman" w:hAnsi="Times New Roman" w:cs="Times New Roman"/>
        </w:rPr>
        <w:t xml:space="preserve"> </w:t>
      </w:r>
      <w:r w:rsidR="006E40E1" w:rsidRPr="00E452F7">
        <w:rPr>
          <w:rFonts w:ascii="Times New Roman" w:hAnsi="Times New Roman" w:cs="Times New Roman"/>
        </w:rPr>
        <w:t>Ratti and Vespignani (2016) analysed the effect of oil prices on global macroeconomics variables using global factor-augmented error c</w:t>
      </w:r>
      <w:r w:rsidR="00B1753F" w:rsidRPr="00E452F7">
        <w:rPr>
          <w:rFonts w:ascii="Times New Roman" w:hAnsi="Times New Roman" w:cs="Times New Roman"/>
        </w:rPr>
        <w:t>orrection model. It was report</w:t>
      </w:r>
      <w:r w:rsidR="006E40E1" w:rsidRPr="00E452F7">
        <w:rPr>
          <w:rFonts w:ascii="Times New Roman" w:hAnsi="Times New Roman" w:cs="Times New Roman"/>
        </w:rPr>
        <w:t xml:space="preserve"> by the study of Ratti and Vespigani (2016) that there is a long-run relationship between money, industrial production and prices. Also, it was further stressed by the scholars that there is a positive relationship between global oil price and global interest rate </w:t>
      </w:r>
      <w:r w:rsidR="009C7945" w:rsidRPr="00E452F7">
        <w:rPr>
          <w:rFonts w:ascii="Times New Roman" w:hAnsi="Times New Roman" w:cs="Times New Roman"/>
        </w:rPr>
        <w:t>tightening</w:t>
      </w:r>
      <w:r w:rsidR="006E40E1" w:rsidRPr="00E452F7">
        <w:rPr>
          <w:rFonts w:ascii="Times New Roman" w:hAnsi="Times New Roman" w:cs="Times New Roman"/>
        </w:rPr>
        <w:t xml:space="preserve"> while increase in oil price are argued to be caused by positive innovation in global money, price level and industrial production.    </w:t>
      </w:r>
      <w:r w:rsidR="005439A7" w:rsidRPr="00E452F7">
        <w:rPr>
          <w:rFonts w:ascii="Times New Roman" w:hAnsi="Times New Roman" w:cs="Times New Roman"/>
        </w:rPr>
        <w:t xml:space="preserve">  </w:t>
      </w:r>
    </w:p>
    <w:p w14:paraId="157F9D08" w14:textId="00BAD549" w:rsidR="00B03FB4" w:rsidRPr="00E452F7" w:rsidRDefault="00B1753F" w:rsidP="00E452F7">
      <w:pPr>
        <w:spacing w:line="240" w:lineRule="auto"/>
        <w:jc w:val="both"/>
        <w:rPr>
          <w:rFonts w:ascii="Times New Roman" w:hAnsi="Times New Roman" w:cs="Times New Roman"/>
        </w:rPr>
      </w:pPr>
      <w:r w:rsidRPr="00E452F7">
        <w:rPr>
          <w:rFonts w:ascii="Times New Roman" w:hAnsi="Times New Roman" w:cs="Times New Roman"/>
        </w:rPr>
        <w:t xml:space="preserve">Consequently, </w:t>
      </w:r>
      <w:r w:rsidR="009C7945" w:rsidRPr="00E452F7">
        <w:rPr>
          <w:rFonts w:ascii="Times New Roman" w:hAnsi="Times New Roman" w:cs="Times New Roman"/>
        </w:rPr>
        <w:t>Ju, Su, Zhou, Wu and Liu (2016) investigated the impact of oil price shocks on macroeconomic performance in oil-related countries using Empirical Covariance (EC), Robust Covariance (RC) and one-class Support Vector Machine (SVM). The</w:t>
      </w:r>
      <w:r w:rsidR="00754145" w:rsidRPr="00E452F7">
        <w:rPr>
          <w:rFonts w:ascii="Times New Roman" w:hAnsi="Times New Roman" w:cs="Times New Roman"/>
        </w:rPr>
        <w:t xml:space="preserve"> scholars’ findings showed </w:t>
      </w:r>
      <w:r w:rsidR="009C7945" w:rsidRPr="00E452F7">
        <w:rPr>
          <w:rFonts w:ascii="Times New Roman" w:hAnsi="Times New Roman" w:cs="Times New Roman"/>
        </w:rPr>
        <w:t>more variation in gross domestic production, consumer price index and unemployment rate within the period of 2005 t</w:t>
      </w:r>
      <w:r w:rsidRPr="00E452F7">
        <w:rPr>
          <w:rFonts w:ascii="Times New Roman" w:hAnsi="Times New Roman" w:cs="Times New Roman"/>
        </w:rPr>
        <w:t>o 2014. Likewise, it was point</w:t>
      </w:r>
      <w:r w:rsidR="009C7945" w:rsidRPr="00E452F7">
        <w:rPr>
          <w:rFonts w:ascii="Times New Roman" w:hAnsi="Times New Roman" w:cs="Times New Roman"/>
        </w:rPr>
        <w:t xml:space="preserve"> out that the variation in the macroeconomic indicators is more in lower oil-related country in comparison to </w:t>
      </w:r>
      <w:r w:rsidRPr="00E452F7">
        <w:rPr>
          <w:rFonts w:ascii="Times New Roman" w:hAnsi="Times New Roman" w:cs="Times New Roman"/>
        </w:rPr>
        <w:t>higher-level</w:t>
      </w:r>
      <w:r w:rsidR="009C7945" w:rsidRPr="00E452F7">
        <w:rPr>
          <w:rFonts w:ascii="Times New Roman" w:hAnsi="Times New Roman" w:cs="Times New Roman"/>
        </w:rPr>
        <w:t xml:space="preserve"> oil-related country. </w:t>
      </w:r>
      <w:r w:rsidR="005439A7" w:rsidRPr="00E452F7">
        <w:rPr>
          <w:rFonts w:ascii="Times New Roman" w:hAnsi="Times New Roman" w:cs="Times New Roman"/>
        </w:rPr>
        <w:t xml:space="preserve"> </w:t>
      </w:r>
      <w:r w:rsidRPr="00E452F7">
        <w:rPr>
          <w:rFonts w:ascii="Times New Roman" w:hAnsi="Times New Roman" w:cs="Times New Roman"/>
        </w:rPr>
        <w:t xml:space="preserve">Another study by </w:t>
      </w:r>
      <w:r w:rsidR="009C7945" w:rsidRPr="00E452F7">
        <w:rPr>
          <w:rFonts w:ascii="Times New Roman" w:hAnsi="Times New Roman" w:cs="Times New Roman"/>
        </w:rPr>
        <w:t>Byrne, Lorusso and Xu (2018) examined the connection between oil prices, traditional fundamentals and expecta</w:t>
      </w:r>
      <w:r w:rsidRPr="00E452F7">
        <w:rPr>
          <w:rFonts w:ascii="Times New Roman" w:hAnsi="Times New Roman" w:cs="Times New Roman"/>
        </w:rPr>
        <w:t>tions using VAR approach. The scholars report</w:t>
      </w:r>
      <w:r w:rsidR="009C7945" w:rsidRPr="00E452F7">
        <w:rPr>
          <w:rFonts w:ascii="Times New Roman" w:hAnsi="Times New Roman" w:cs="Times New Roman"/>
        </w:rPr>
        <w:t xml:space="preserve"> that the oil price shock </w:t>
      </w:r>
      <w:r w:rsidRPr="00E452F7">
        <w:rPr>
          <w:rFonts w:ascii="Times New Roman" w:hAnsi="Times New Roman" w:cs="Times New Roman"/>
        </w:rPr>
        <w:t>responded</w:t>
      </w:r>
      <w:r w:rsidR="009C7945" w:rsidRPr="00E452F7">
        <w:rPr>
          <w:rFonts w:ascii="Times New Roman" w:hAnsi="Times New Roman" w:cs="Times New Roman"/>
        </w:rPr>
        <w:t xml:space="preserve"> differently based on the business leaders, consumer and aggregate market. Herwartz and Plodt (2016) investigated the effect of oil shock on selected macroeconomic indicators using SVAR. The authors result showed that there is a strong effect of aggregate demand </w:t>
      </w:r>
      <w:r w:rsidR="00F912E0" w:rsidRPr="00E452F7">
        <w:rPr>
          <w:rFonts w:ascii="Times New Roman" w:hAnsi="Times New Roman" w:cs="Times New Roman"/>
        </w:rPr>
        <w:t>on price of oil, most especially the oil-specific demand shock. However</w:t>
      </w:r>
      <w:r w:rsidRPr="00E452F7">
        <w:rPr>
          <w:rFonts w:ascii="Times New Roman" w:hAnsi="Times New Roman" w:cs="Times New Roman"/>
        </w:rPr>
        <w:t>,</w:t>
      </w:r>
      <w:r w:rsidR="00671EB4" w:rsidRPr="00E452F7">
        <w:rPr>
          <w:rFonts w:ascii="Times New Roman" w:hAnsi="Times New Roman" w:cs="Times New Roman"/>
        </w:rPr>
        <w:t xml:space="preserve"> their findings showed small effect of both shocks on oil production. </w:t>
      </w:r>
      <w:r w:rsidR="00B03FB4" w:rsidRPr="00E452F7">
        <w:rPr>
          <w:rFonts w:ascii="Times New Roman" w:hAnsi="Times New Roman" w:cs="Times New Roman"/>
        </w:rPr>
        <w:t>Ahmed, Bhutto and Kalhoro (2018) analysed the impact of oil price shock on macroeconomic performance in India, Pakistan, Bangladesh, Sri Lanka and Bhutan. The scholars established a long-run relationship among the variables using Johans</w:t>
      </w:r>
      <w:r w:rsidR="00671EB4" w:rsidRPr="00E452F7">
        <w:rPr>
          <w:rFonts w:ascii="Times New Roman" w:hAnsi="Times New Roman" w:cs="Times New Roman"/>
        </w:rPr>
        <w:t xml:space="preserve">en approach, while the scholars explored SVAR </w:t>
      </w:r>
      <w:r w:rsidR="00B03FB4" w:rsidRPr="00E452F7">
        <w:rPr>
          <w:rFonts w:ascii="Times New Roman" w:hAnsi="Times New Roman" w:cs="Times New Roman"/>
        </w:rPr>
        <w:t>to investigate the impac</w:t>
      </w:r>
      <w:r w:rsidRPr="00E452F7">
        <w:rPr>
          <w:rFonts w:ascii="Times New Roman" w:hAnsi="Times New Roman" w:cs="Times New Roman"/>
        </w:rPr>
        <w:t xml:space="preserve">t of the shock. </w:t>
      </w:r>
      <w:r w:rsidR="00B03FB4" w:rsidRPr="00E452F7">
        <w:rPr>
          <w:rFonts w:ascii="Times New Roman" w:hAnsi="Times New Roman" w:cs="Times New Roman"/>
        </w:rPr>
        <w:t>Ahmed et al (2018</w:t>
      </w:r>
      <w:r w:rsidRPr="00E452F7">
        <w:rPr>
          <w:rFonts w:ascii="Times New Roman" w:hAnsi="Times New Roman" w:cs="Times New Roman"/>
        </w:rPr>
        <w:t>)</w:t>
      </w:r>
      <w:r w:rsidR="00671EB4" w:rsidRPr="00E452F7">
        <w:rPr>
          <w:rFonts w:ascii="Times New Roman" w:hAnsi="Times New Roman" w:cs="Times New Roman"/>
        </w:rPr>
        <w:t xml:space="preserve"> showed</w:t>
      </w:r>
      <w:r w:rsidRPr="00E452F7">
        <w:rPr>
          <w:rFonts w:ascii="Times New Roman" w:hAnsi="Times New Roman" w:cs="Times New Roman"/>
        </w:rPr>
        <w:t xml:space="preserve"> that</w:t>
      </w:r>
      <w:r w:rsidR="00B03FB4" w:rsidRPr="00E452F7">
        <w:rPr>
          <w:rFonts w:ascii="Times New Roman" w:hAnsi="Times New Roman" w:cs="Times New Roman"/>
        </w:rPr>
        <w:t xml:space="preserve"> oil price shock explained variation in most of the countries under examination. </w:t>
      </w:r>
    </w:p>
    <w:p w14:paraId="1CFC366E" w14:textId="51E57C7B" w:rsidR="00660AB6" w:rsidRPr="00E452F7" w:rsidRDefault="009C7422" w:rsidP="00E452F7">
      <w:pPr>
        <w:spacing w:line="240" w:lineRule="auto"/>
        <w:jc w:val="both"/>
        <w:rPr>
          <w:rFonts w:ascii="Times New Roman" w:hAnsi="Times New Roman" w:cs="Times New Roman"/>
        </w:rPr>
      </w:pPr>
      <w:r w:rsidRPr="00E452F7">
        <w:rPr>
          <w:rFonts w:ascii="Times New Roman" w:hAnsi="Times New Roman" w:cs="Times New Roman"/>
        </w:rPr>
        <w:lastRenderedPageBreak/>
        <w:t>Cunado, Jo and Gracia (2015) investigated the impact of oil shock on macroeconomic variables in top oil-consuming Asian economics using a VAR model. The scholars identified three types of shocks, namely; supply shock, demand shock and oil-specific demand shock. The findings of the scholars showed that supply shock has a limited impa</w:t>
      </w:r>
      <w:r w:rsidR="00671EB4" w:rsidRPr="00E452F7">
        <w:rPr>
          <w:rFonts w:ascii="Times New Roman" w:hAnsi="Times New Roman" w:cs="Times New Roman"/>
        </w:rPr>
        <w:t>ct when the demand is influence</w:t>
      </w:r>
      <w:r w:rsidRPr="00E452F7">
        <w:rPr>
          <w:rFonts w:ascii="Times New Roman" w:hAnsi="Times New Roman" w:cs="Times New Roman"/>
        </w:rPr>
        <w:t xml:space="preserve"> by the global acti</w:t>
      </w:r>
      <w:r w:rsidR="00671EB4" w:rsidRPr="00E452F7">
        <w:rPr>
          <w:rFonts w:ascii="Times New Roman" w:hAnsi="Times New Roman" w:cs="Times New Roman"/>
        </w:rPr>
        <w:t xml:space="preserve">vities in the four countries. </w:t>
      </w:r>
      <w:r w:rsidR="00B145C7" w:rsidRPr="00E452F7">
        <w:rPr>
          <w:rFonts w:ascii="Times New Roman" w:hAnsi="Times New Roman" w:cs="Times New Roman"/>
        </w:rPr>
        <w:t>Chen (2015) examined the connection between global oil price, macroeconomic fundamentals and chain’s commodity</w:t>
      </w:r>
      <w:r w:rsidR="00671EB4" w:rsidRPr="00E452F7">
        <w:rPr>
          <w:rFonts w:ascii="Times New Roman" w:hAnsi="Times New Roman" w:cs="Times New Roman"/>
        </w:rPr>
        <w:t xml:space="preserve"> sector co movement using VAR. It was report</w:t>
      </w:r>
      <w:r w:rsidR="00754145" w:rsidRPr="00E452F7">
        <w:rPr>
          <w:rFonts w:ascii="Times New Roman" w:hAnsi="Times New Roman" w:cs="Times New Roman"/>
        </w:rPr>
        <w:t>ed</w:t>
      </w:r>
      <w:r w:rsidR="00B145C7" w:rsidRPr="00E452F7">
        <w:rPr>
          <w:rFonts w:ascii="Times New Roman" w:hAnsi="Times New Roman" w:cs="Times New Roman"/>
        </w:rPr>
        <w:t xml:space="preserve"> by the scholar that c</w:t>
      </w:r>
      <w:r w:rsidR="00660AB6" w:rsidRPr="00E452F7">
        <w:rPr>
          <w:rFonts w:ascii="Times New Roman" w:hAnsi="Times New Roman" w:cs="Times New Roman"/>
        </w:rPr>
        <w:t>o movement factor accounts for a significant portion of the variation in the commodity market in China. Chen, Hamori &amp; Kinkyo (2014) investigated the impact of financial and oil shocks on macroecono</w:t>
      </w:r>
      <w:r w:rsidR="00671EB4" w:rsidRPr="00E452F7">
        <w:rPr>
          <w:rFonts w:ascii="Times New Roman" w:hAnsi="Times New Roman" w:cs="Times New Roman"/>
        </w:rPr>
        <w:t>mic performance. It was report</w:t>
      </w:r>
      <w:r w:rsidR="00754145" w:rsidRPr="00E452F7">
        <w:rPr>
          <w:rFonts w:ascii="Times New Roman" w:hAnsi="Times New Roman" w:cs="Times New Roman"/>
        </w:rPr>
        <w:t>ed</w:t>
      </w:r>
      <w:r w:rsidR="00660AB6" w:rsidRPr="00E452F7">
        <w:rPr>
          <w:rFonts w:ascii="Times New Roman" w:hAnsi="Times New Roman" w:cs="Times New Roman"/>
        </w:rPr>
        <w:t xml:space="preserve"> that the financial shock affects the oil pric</w:t>
      </w:r>
      <w:r w:rsidR="00671EB4" w:rsidRPr="00E452F7">
        <w:rPr>
          <w:rFonts w:ascii="Times New Roman" w:hAnsi="Times New Roman" w:cs="Times New Roman"/>
        </w:rPr>
        <w:t>e and its effects is transmit</w:t>
      </w:r>
      <w:r w:rsidR="00754145" w:rsidRPr="00E452F7">
        <w:rPr>
          <w:rFonts w:ascii="Times New Roman" w:hAnsi="Times New Roman" w:cs="Times New Roman"/>
        </w:rPr>
        <w:t>ted</w:t>
      </w:r>
      <w:r w:rsidR="00660AB6" w:rsidRPr="00E452F7">
        <w:rPr>
          <w:rFonts w:ascii="Times New Roman" w:hAnsi="Times New Roman" w:cs="Times New Roman"/>
        </w:rPr>
        <w:t xml:space="preserve"> through the shock on the macroeconomic performance. Katireioglu, Sertoglu, Candemir and Mercan (2015) examined the relationship between oil price movement and macroeconomic aggregates in OECD countries. It was documented by the study that oil price has a negative impact on GDP, CPI and unemployment. Eugenidis (2018) analysed the impact of oil price shock on macroeconomic indicators in European Countries using a threshold VAR. The findings of the scholar showed that shock from oil have a stronger effect on output and lower effect during periods of heightened uncertainty and low</w:t>
      </w:r>
      <w:r w:rsidR="00671EB4" w:rsidRPr="00E452F7">
        <w:rPr>
          <w:rFonts w:ascii="Times New Roman" w:hAnsi="Times New Roman" w:cs="Times New Roman"/>
        </w:rPr>
        <w:t xml:space="preserve">ered uncertainty respectively. </w:t>
      </w:r>
      <w:r w:rsidR="000479F4" w:rsidRPr="00E452F7">
        <w:rPr>
          <w:rFonts w:ascii="Times New Roman" w:hAnsi="Times New Roman" w:cs="Times New Roman"/>
        </w:rPr>
        <w:t xml:space="preserve">Gupta and Krishnamurti (2018) investigated the relationship between oil price and corporate risk-taking </w:t>
      </w:r>
      <w:r w:rsidR="00671EB4" w:rsidRPr="00E452F7">
        <w:rPr>
          <w:rFonts w:ascii="Times New Roman" w:hAnsi="Times New Roman" w:cs="Times New Roman"/>
        </w:rPr>
        <w:t>in 56 countries. It was report</w:t>
      </w:r>
      <w:r w:rsidR="00754145" w:rsidRPr="00E452F7">
        <w:rPr>
          <w:rFonts w:ascii="Times New Roman" w:hAnsi="Times New Roman" w:cs="Times New Roman"/>
        </w:rPr>
        <w:t>ed</w:t>
      </w:r>
      <w:r w:rsidR="000479F4" w:rsidRPr="00E452F7">
        <w:rPr>
          <w:rFonts w:ascii="Times New Roman" w:hAnsi="Times New Roman" w:cs="Times New Roman"/>
        </w:rPr>
        <w:t xml:space="preserve"> by the scholars that oil price </w:t>
      </w:r>
      <w:r w:rsidR="004A4A90" w:rsidRPr="00E452F7">
        <w:rPr>
          <w:rFonts w:ascii="Times New Roman" w:hAnsi="Times New Roman" w:cs="Times New Roman"/>
        </w:rPr>
        <w:t>increases the number of firms and as well has a positive impact on the ability of risk-taking when the macroeconomic is favourabl</w:t>
      </w:r>
      <w:r w:rsidR="00CB4B20" w:rsidRPr="00E452F7">
        <w:rPr>
          <w:rFonts w:ascii="Times New Roman" w:hAnsi="Times New Roman" w:cs="Times New Roman"/>
        </w:rPr>
        <w:t xml:space="preserve">e and vice-versa. Shah, Hiles and </w:t>
      </w:r>
      <w:r w:rsidR="004A4A90" w:rsidRPr="00E452F7">
        <w:rPr>
          <w:rFonts w:ascii="Times New Roman" w:hAnsi="Times New Roman" w:cs="Times New Roman"/>
        </w:rPr>
        <w:t xml:space="preserve">Morely (2018) examined the connection among oil prices, macroeconomic factor and renewable energy using VAR. The findings of Shah et al (2018) showed that there is a significant relationship </w:t>
      </w:r>
      <w:r w:rsidR="00B1753F" w:rsidRPr="00E452F7">
        <w:rPr>
          <w:rFonts w:ascii="Times New Roman" w:hAnsi="Times New Roman" w:cs="Times New Roman"/>
        </w:rPr>
        <w:t>between oil</w:t>
      </w:r>
      <w:r w:rsidR="004A4A90" w:rsidRPr="00E452F7">
        <w:rPr>
          <w:rFonts w:ascii="Times New Roman" w:hAnsi="Times New Roman" w:cs="Times New Roman"/>
        </w:rPr>
        <w:t xml:space="preserve"> price and renewable energy in United State of America and Norway, and no relationship in United Kingdom. </w:t>
      </w:r>
    </w:p>
    <w:p w14:paraId="40D78DC7" w14:textId="6CFD32F1" w:rsidR="000236AB" w:rsidRPr="00E452F7" w:rsidRDefault="000236AB" w:rsidP="00E452F7">
      <w:pPr>
        <w:spacing w:line="240" w:lineRule="auto"/>
        <w:jc w:val="both"/>
        <w:rPr>
          <w:rFonts w:ascii="Times New Roman" w:hAnsi="Times New Roman" w:cs="Times New Roman"/>
          <w:color w:val="000000"/>
        </w:rPr>
      </w:pPr>
      <w:r w:rsidRPr="00E452F7">
        <w:rPr>
          <w:rFonts w:ascii="Times New Roman" w:hAnsi="Times New Roman" w:cs="Times New Roman"/>
        </w:rPr>
        <w:t>Evidence from literature review have shown that the implications of oil prices shock differs across regions</w:t>
      </w:r>
      <w:r w:rsidR="00FA34FB" w:rsidRPr="00E452F7">
        <w:rPr>
          <w:rFonts w:ascii="Times New Roman" w:hAnsi="Times New Roman" w:cs="Times New Roman"/>
        </w:rPr>
        <w:t xml:space="preserve"> (Gupta &amp; Krishnamurti, 2018; Eugenidis, 2018; Shah, Hiles &amp; Morely, 2018; Katireioglu, Sertoglu, Candemin &amp; Mercan, 2015)</w:t>
      </w:r>
      <w:r w:rsidRPr="00E452F7">
        <w:rPr>
          <w:rFonts w:ascii="Times New Roman" w:hAnsi="Times New Roman" w:cs="Times New Roman"/>
        </w:rPr>
        <w:t>. Most of the studies use Structural Vector Autoregression (SVAR) to investigate the impact of oil shock on macroeconomic performance</w:t>
      </w:r>
      <w:r w:rsidR="00FA34FB" w:rsidRPr="00E452F7">
        <w:rPr>
          <w:rFonts w:ascii="Times New Roman" w:hAnsi="Times New Roman" w:cs="Times New Roman"/>
        </w:rPr>
        <w:t xml:space="preserve"> (Cavalleo &amp; Lacoviello, 2018; Ahmed, Bhutto, Kalhoru, 2018; Herwartz &amp; Plodt, 2016)</w:t>
      </w:r>
      <w:r w:rsidRPr="00E452F7">
        <w:rPr>
          <w:rFonts w:ascii="Times New Roman" w:hAnsi="Times New Roman" w:cs="Times New Roman"/>
        </w:rPr>
        <w:t xml:space="preserve">. </w:t>
      </w:r>
      <w:r w:rsidR="00FA34FB" w:rsidRPr="00E452F7">
        <w:rPr>
          <w:rFonts w:ascii="Times New Roman" w:hAnsi="Times New Roman" w:cs="Times New Roman"/>
        </w:rPr>
        <w:t>Likewise, related studies in Nigeria focused more on implication of oil shock on macroeconomic performance with less emphasis on employment. The increase in the unemployment rate in recent times have been the major concern for policy analyst in Nigeria (</w:t>
      </w:r>
      <w:r w:rsidR="00FA34FB" w:rsidRPr="00E452F7">
        <w:rPr>
          <w:rFonts w:ascii="Times New Roman" w:hAnsi="Times New Roman" w:cs="Times New Roman"/>
          <w:iCs/>
        </w:rPr>
        <w:t xml:space="preserve">Arisukwu, </w:t>
      </w:r>
      <w:r w:rsidR="00BF73C3" w:rsidRPr="00E452F7">
        <w:rPr>
          <w:rFonts w:ascii="Times New Roman" w:hAnsi="Times New Roman" w:cs="Times New Roman"/>
          <w:iCs/>
        </w:rPr>
        <w:t>Olasosebikan, Asaleye</w:t>
      </w:r>
      <w:r w:rsidR="00FA34FB" w:rsidRPr="00E452F7">
        <w:rPr>
          <w:rFonts w:ascii="Times New Roman" w:hAnsi="Times New Roman" w:cs="Times New Roman"/>
          <w:iCs/>
        </w:rPr>
        <w:t xml:space="preserve">, Asamu, 2019; </w:t>
      </w:r>
      <w:r w:rsidR="00FA34FB" w:rsidRPr="00E452F7">
        <w:rPr>
          <w:rFonts w:ascii="Times New Roman" w:hAnsi="Times New Roman" w:cs="Times New Roman"/>
        </w:rPr>
        <w:t>Oloni, Asaleye, Abiodun &amp;</w:t>
      </w:r>
      <w:r w:rsidR="00BF73C3" w:rsidRPr="00E452F7">
        <w:rPr>
          <w:rFonts w:ascii="Times New Roman" w:hAnsi="Times New Roman" w:cs="Times New Roman"/>
        </w:rPr>
        <w:t xml:space="preserve"> </w:t>
      </w:r>
      <w:r w:rsidR="00FA34FB" w:rsidRPr="00E452F7">
        <w:rPr>
          <w:rFonts w:ascii="Times New Roman" w:hAnsi="Times New Roman" w:cs="Times New Roman"/>
        </w:rPr>
        <w:t xml:space="preserve">Adeyemi, 2017; </w:t>
      </w:r>
      <w:r w:rsidR="00BF73C3" w:rsidRPr="00E452F7">
        <w:rPr>
          <w:rFonts w:ascii="Times New Roman" w:hAnsi="Times New Roman" w:cs="Times New Roman"/>
          <w:iCs/>
        </w:rPr>
        <w:t xml:space="preserve">Fashina, Asaleye, Ogunjobi, &amp; Lawal, 2018; </w:t>
      </w:r>
      <w:r w:rsidR="00BF73C3" w:rsidRPr="00E452F7">
        <w:rPr>
          <w:rFonts w:ascii="Times New Roman" w:hAnsi="Times New Roman" w:cs="Times New Roman"/>
          <w:color w:val="000000"/>
        </w:rPr>
        <w:t>Aremu, Alhassan, Asaleye, Alori, Ige &amp; Nayan, 2018).</w:t>
      </w:r>
      <w:r w:rsidR="00754145" w:rsidRPr="00E452F7">
        <w:rPr>
          <w:rFonts w:ascii="Times New Roman" w:hAnsi="Times New Roman" w:cs="Times New Roman"/>
          <w:color w:val="000000"/>
        </w:rPr>
        <w:t xml:space="preserve"> This study differs</w:t>
      </w:r>
      <w:r w:rsidR="00BF73C3" w:rsidRPr="00E452F7">
        <w:rPr>
          <w:rFonts w:ascii="Times New Roman" w:hAnsi="Times New Roman" w:cs="Times New Roman"/>
          <w:color w:val="000000"/>
        </w:rPr>
        <w:t xml:space="preserve"> from the above studies by investigating the effect of oil price shock on macroeconomic variables with more attention to employment dimension using the SVAR. </w:t>
      </w:r>
    </w:p>
    <w:p w14:paraId="6F4FE960" w14:textId="0C51B967" w:rsidR="00BA0D31" w:rsidRPr="00E452F7" w:rsidRDefault="00BA0D31" w:rsidP="00E452F7">
      <w:pPr>
        <w:spacing w:line="240" w:lineRule="auto"/>
        <w:jc w:val="both"/>
        <w:rPr>
          <w:rFonts w:ascii="Times New Roman" w:hAnsi="Times New Roman" w:cs="Times New Roman"/>
        </w:rPr>
      </w:pPr>
      <w:r w:rsidRPr="00E452F7">
        <w:rPr>
          <w:rFonts w:ascii="Times New Roman" w:hAnsi="Times New Roman" w:cs="Times New Roman"/>
          <w:color w:val="000000"/>
        </w:rPr>
        <w:t xml:space="preserve">The study is outline as follows: after the introductory section in Section 1, then follows by Section 2, which presents the material and methods. Section 3 presents the result while Section 4 explains the discussion of result. The study is round up in Section 5 with conclusion and recommendation. </w:t>
      </w:r>
    </w:p>
    <w:p w14:paraId="210899F5" w14:textId="148F86ED" w:rsidR="00451179" w:rsidRPr="00E452F7" w:rsidRDefault="00E37C9E" w:rsidP="00E452F7">
      <w:pPr>
        <w:spacing w:before="240" w:after="0" w:line="240" w:lineRule="auto"/>
        <w:jc w:val="both"/>
        <w:rPr>
          <w:rFonts w:ascii="Times New Roman" w:hAnsi="Times New Roman" w:cs="Times New Roman"/>
          <w:b/>
        </w:rPr>
      </w:pPr>
      <w:r w:rsidRPr="00E452F7">
        <w:rPr>
          <w:rFonts w:ascii="Times New Roman" w:hAnsi="Times New Roman" w:cs="Times New Roman"/>
          <w:b/>
        </w:rPr>
        <w:t>2</w:t>
      </w:r>
      <w:r w:rsidRPr="00E452F7">
        <w:rPr>
          <w:rFonts w:ascii="Times New Roman" w:hAnsi="Times New Roman" w:cs="Times New Roman"/>
          <w:b/>
        </w:rPr>
        <w:tab/>
        <w:t>Materials and Method</w:t>
      </w:r>
      <w:r w:rsidR="004B3971" w:rsidRPr="00E452F7">
        <w:rPr>
          <w:rFonts w:ascii="Times New Roman" w:hAnsi="Times New Roman" w:cs="Times New Roman"/>
          <w:b/>
        </w:rPr>
        <w:t xml:space="preserve">  </w:t>
      </w:r>
    </w:p>
    <w:p w14:paraId="3EAF66A7" w14:textId="42B991D6" w:rsidR="00451179" w:rsidRPr="00E452F7" w:rsidRDefault="00451179" w:rsidP="00E452F7">
      <w:pPr>
        <w:spacing w:after="0" w:line="240" w:lineRule="auto"/>
        <w:jc w:val="both"/>
        <w:rPr>
          <w:rFonts w:ascii="Times New Roman" w:hAnsi="Times New Roman" w:cs="Times New Roman"/>
          <w:b/>
        </w:rPr>
      </w:pPr>
      <w:r w:rsidRPr="00E452F7">
        <w:rPr>
          <w:rFonts w:ascii="Times New Roman" w:hAnsi="Times New Roman" w:cs="Times New Roman"/>
          <w:lang w:val="en-GB"/>
        </w:rPr>
        <w:t>The</w:t>
      </w:r>
      <w:r w:rsidR="00671EB4" w:rsidRPr="00E452F7">
        <w:rPr>
          <w:rFonts w:ascii="Times New Roman" w:hAnsi="Times New Roman" w:cs="Times New Roman"/>
          <w:lang w:val="en-GB"/>
        </w:rPr>
        <w:t xml:space="preserve"> theoretical framework of this study was based on the </w:t>
      </w:r>
      <w:r w:rsidRPr="00E452F7">
        <w:rPr>
          <w:rFonts w:ascii="Times New Roman" w:hAnsi="Times New Roman" w:cs="Times New Roman"/>
          <w:lang w:val="en-GB"/>
        </w:rPr>
        <w:t>behavioural equilibrium exchange rate model developed by Macdonald (1997) and Clark and Macdonald (1998)</w:t>
      </w:r>
      <w:r w:rsidR="00671EB4" w:rsidRPr="00E452F7">
        <w:rPr>
          <w:rFonts w:ascii="Times New Roman" w:hAnsi="Times New Roman" w:cs="Times New Roman"/>
          <w:lang w:val="en-GB"/>
        </w:rPr>
        <w:t xml:space="preserve"> and the output model.  The behavioural model is given as: </w:t>
      </w:r>
    </w:p>
    <w:p w14:paraId="6A01DEC5" w14:textId="4DC44F46" w:rsidR="00451179" w:rsidRPr="00E452F7" w:rsidRDefault="00FB255B" w:rsidP="00E452F7">
      <w:pPr>
        <w:spacing w:before="240" w:line="240" w:lineRule="auto"/>
        <w:ind w:left="360"/>
        <w:jc w:val="both"/>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q</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β'Z</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τ'T</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ε</m:t>
            </m:r>
          </m:e>
          <m:sub>
            <m:r>
              <w:rPr>
                <w:rFonts w:ascii="Cambria Math" w:hAnsi="Cambria Math" w:cs="Times New Roman"/>
                <w:lang w:val="en-GB"/>
              </w:rPr>
              <m:t>t</m:t>
            </m:r>
          </m:sub>
        </m:sSub>
      </m:oMath>
      <w:r w:rsidR="00451179" w:rsidRPr="00E452F7">
        <w:rPr>
          <w:rFonts w:ascii="Times New Roman" w:hAnsi="Times New Roman" w:cs="Times New Roman"/>
          <w:lang w:val="en-GB"/>
        </w:rPr>
        <w:t xml:space="preserve">                                                                        </w:t>
      </w:r>
      <w:r w:rsidR="00671EB4" w:rsidRPr="00E452F7">
        <w:rPr>
          <w:rFonts w:ascii="Times New Roman" w:hAnsi="Times New Roman" w:cs="Times New Roman"/>
          <w:lang w:val="en-GB"/>
        </w:rPr>
        <w:t xml:space="preserve">                             3.1</w:t>
      </w:r>
    </w:p>
    <w:p w14:paraId="2F478EAC" w14:textId="6CB30779" w:rsidR="004C45A6" w:rsidRPr="00E452F7" w:rsidRDefault="00451179" w:rsidP="00E452F7">
      <w:pPr>
        <w:spacing w:before="240" w:line="240" w:lineRule="auto"/>
        <w:jc w:val="both"/>
        <w:rPr>
          <w:rFonts w:ascii="Times New Roman" w:hAnsi="Times New Roman" w:cs="Times New Roman"/>
          <w:lang w:val="en-GB"/>
        </w:rPr>
      </w:pPr>
      <w:r w:rsidRPr="00E452F7">
        <w:rPr>
          <w:rFonts w:ascii="Times New Roman" w:hAnsi="Times New Roman" w:cs="Times New Roman"/>
          <w:lang w:val="en-GB"/>
        </w:rPr>
        <w:t>Where Z</w:t>
      </w:r>
      <w:r w:rsidRPr="00E452F7">
        <w:rPr>
          <w:rFonts w:ascii="Times New Roman" w:hAnsi="Times New Roman" w:cs="Times New Roman"/>
          <w:vertAlign w:val="subscript"/>
          <w:lang w:val="en-GB"/>
        </w:rPr>
        <w:t>t</w:t>
      </w:r>
      <w:r w:rsidRPr="00E452F7">
        <w:rPr>
          <w:rFonts w:ascii="Times New Roman" w:hAnsi="Times New Roman" w:cs="Times New Roman"/>
          <w:lang w:val="en-GB"/>
        </w:rPr>
        <w:t xml:space="preserve"> is a vector of fundamental variables that influence on the real exchange rate over the medium term and long run. T</w:t>
      </w:r>
      <w:r w:rsidRPr="00E452F7">
        <w:rPr>
          <w:rFonts w:ascii="Times New Roman" w:hAnsi="Times New Roman" w:cs="Times New Roman"/>
          <w:vertAlign w:val="subscript"/>
          <w:lang w:val="en-GB"/>
        </w:rPr>
        <w:t>t</w:t>
      </w:r>
      <w:r w:rsidRPr="00E452F7">
        <w:rPr>
          <w:rFonts w:ascii="Times New Roman" w:hAnsi="Times New Roman" w:cs="Times New Roman"/>
          <w:lang w:val="en-GB"/>
        </w:rPr>
        <w:t xml:space="preserve"> is a vector of </w:t>
      </w:r>
      <w:r w:rsidR="00671EB4" w:rsidRPr="00E452F7">
        <w:rPr>
          <w:rFonts w:ascii="Times New Roman" w:hAnsi="Times New Roman" w:cs="Times New Roman"/>
          <w:lang w:val="en-GB"/>
        </w:rPr>
        <w:t>variables that</w:t>
      </w:r>
      <w:r w:rsidRPr="00E452F7">
        <w:rPr>
          <w:rFonts w:ascii="Times New Roman" w:hAnsi="Times New Roman" w:cs="Times New Roman"/>
          <w:lang w:val="en-GB"/>
        </w:rPr>
        <w:t xml:space="preserve"> only have transitory impact on the REER. </w:t>
      </w:r>
      <w:r w:rsidRPr="00E452F7">
        <w:rPr>
          <w:rFonts w:ascii="Times New Roman" w:hAnsi="Times New Roman" w:cs="Times New Roman"/>
          <w:i/>
          <w:iCs/>
          <w:lang w:val="en-GB"/>
        </w:rPr>
        <w:t>β</w:t>
      </w:r>
      <w:r w:rsidR="004B3971" w:rsidRPr="00E452F7">
        <w:rPr>
          <w:rFonts w:ascii="Times New Roman" w:hAnsi="Times New Roman" w:cs="Times New Roman"/>
          <w:i/>
          <w:iCs/>
          <w:lang w:val="en-GB"/>
        </w:rPr>
        <w:t xml:space="preserve"> </w:t>
      </w:r>
      <w:r w:rsidRPr="00E452F7">
        <w:rPr>
          <w:rFonts w:ascii="Times New Roman" w:hAnsi="Times New Roman" w:cs="Times New Roman"/>
          <w:i/>
          <w:iCs/>
          <w:lang w:val="en-GB"/>
        </w:rPr>
        <w:t>,τ</w:t>
      </w:r>
      <w:r w:rsidRPr="00E452F7">
        <w:rPr>
          <w:rFonts w:ascii="Times New Roman" w:hAnsi="Times New Roman" w:cs="Times New Roman"/>
          <w:lang w:val="en-GB"/>
        </w:rPr>
        <w:t xml:space="preserve"> are vectors of reduced-form coefficients. </w:t>
      </w:r>
      <w:r w:rsidRPr="00E452F7">
        <w:rPr>
          <w:rFonts w:ascii="Times New Roman" w:hAnsi="Times New Roman" w:cs="Times New Roman"/>
          <w:iCs/>
          <w:lang w:val="en-GB"/>
        </w:rPr>
        <w:t>Ɛ</w:t>
      </w:r>
      <w:r w:rsidRPr="00E452F7">
        <w:rPr>
          <w:rFonts w:ascii="Times New Roman" w:hAnsi="Times New Roman" w:cs="Times New Roman"/>
          <w:iCs/>
          <w:vertAlign w:val="subscript"/>
          <w:lang w:val="en-GB"/>
        </w:rPr>
        <w:t>t</w:t>
      </w:r>
      <w:r w:rsidRPr="00E452F7">
        <w:rPr>
          <w:rFonts w:ascii="Times New Roman" w:hAnsi="Times New Roman" w:cs="Times New Roman"/>
          <w:lang w:val="en-GB"/>
        </w:rPr>
        <w:t xml:space="preserve"> is the random disturbance term and q</w:t>
      </w:r>
      <w:r w:rsidRPr="00E452F7">
        <w:rPr>
          <w:rFonts w:ascii="Times New Roman" w:hAnsi="Times New Roman" w:cs="Times New Roman"/>
          <w:vertAlign w:val="subscript"/>
          <w:lang w:val="en-GB"/>
        </w:rPr>
        <w:t>t</w:t>
      </w:r>
      <w:r w:rsidRPr="00E452F7">
        <w:rPr>
          <w:rFonts w:ascii="Times New Roman" w:hAnsi="Times New Roman" w:cs="Times New Roman"/>
          <w:lang w:val="en-GB"/>
        </w:rPr>
        <w:t xml:space="preserve"> is th</w:t>
      </w:r>
      <w:r w:rsidR="00671EB4" w:rsidRPr="00E452F7">
        <w:rPr>
          <w:rFonts w:ascii="Times New Roman" w:hAnsi="Times New Roman" w:cs="Times New Roman"/>
          <w:lang w:val="en-GB"/>
        </w:rPr>
        <w:t xml:space="preserve">e real effective exchange rate. </w:t>
      </w:r>
      <w:r w:rsidR="004C45A6" w:rsidRPr="00E452F7">
        <w:rPr>
          <w:rFonts w:ascii="Times New Roman" w:hAnsi="Times New Roman" w:cs="Times New Roman"/>
          <w:lang w:val="en-GB"/>
        </w:rPr>
        <w:t xml:space="preserve"> This study incorporate the output model into the behavioural model and slight adjustment to achieve the objective of the study as;  </w:t>
      </w:r>
    </w:p>
    <w:p w14:paraId="3E4C1042" w14:textId="755DB63D" w:rsidR="004C45A6" w:rsidRPr="00E452F7" w:rsidRDefault="004C45A6" w:rsidP="00E452F7">
      <w:pPr>
        <w:spacing w:before="240" w:line="240" w:lineRule="auto"/>
        <w:ind w:left="360"/>
        <w:jc w:val="both"/>
        <w:rPr>
          <w:rFonts w:ascii="Times New Roman" w:hAnsi="Times New Roman" w:cs="Times New Roman"/>
          <w:lang w:val="en-GB"/>
        </w:rPr>
      </w:pPr>
      <w:r w:rsidRPr="00E452F7">
        <w:rPr>
          <w:rFonts w:ascii="Times New Roman" w:hAnsi="Times New Roman" w:cs="Times New Roman"/>
          <w:position w:val="-12"/>
        </w:rPr>
        <w:object w:dxaOrig="3940" w:dyaOrig="360" w14:anchorId="14AFF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6.5pt" o:ole="">
            <v:imagedata r:id="rId9" o:title=""/>
          </v:shape>
          <o:OLEObject Type="Embed" ProgID="Equation.DSMT4" ShapeID="_x0000_i1025" DrawAspect="Content" ObjectID="_1612878454" r:id="rId10"/>
        </w:object>
      </w:r>
      <w:r w:rsidRPr="00E452F7">
        <w:rPr>
          <w:rFonts w:ascii="Times New Roman" w:hAnsi="Times New Roman" w:cs="Times New Roman"/>
        </w:rPr>
        <w:tab/>
      </w:r>
      <w:r w:rsidRPr="00E452F7">
        <w:rPr>
          <w:rFonts w:ascii="Times New Roman" w:hAnsi="Times New Roman" w:cs="Times New Roman"/>
        </w:rPr>
        <w:tab/>
      </w:r>
      <w:r w:rsidRPr="00E452F7">
        <w:rPr>
          <w:rFonts w:ascii="Times New Roman" w:hAnsi="Times New Roman" w:cs="Times New Roman"/>
        </w:rPr>
        <w:tab/>
      </w:r>
      <w:r w:rsidRPr="00E452F7">
        <w:rPr>
          <w:rFonts w:ascii="Times New Roman" w:hAnsi="Times New Roman" w:cs="Times New Roman"/>
        </w:rPr>
        <w:tab/>
        <w:t>3.2</w:t>
      </w:r>
    </w:p>
    <w:p w14:paraId="146E5AD3" w14:textId="605BE6C7" w:rsidR="00360EB1" w:rsidRPr="00E452F7" w:rsidRDefault="004C45A6" w:rsidP="00E452F7">
      <w:pPr>
        <w:spacing w:before="240" w:line="240" w:lineRule="auto"/>
        <w:jc w:val="both"/>
        <w:rPr>
          <w:rFonts w:ascii="Times New Roman" w:hAnsi="Times New Roman" w:cs="Times New Roman"/>
          <w:lang w:val="en-GB"/>
        </w:rPr>
      </w:pPr>
      <w:r w:rsidRPr="00E452F7">
        <w:rPr>
          <w:rFonts w:ascii="Times New Roman" w:hAnsi="Times New Roman" w:cs="Times New Roman"/>
          <w:lang w:val="en-GB"/>
        </w:rPr>
        <w:t xml:space="preserve">Where </w:t>
      </w:r>
      <m:oMath>
        <m:sSub>
          <m:sSubPr>
            <m:ctrlPr>
              <w:rPr>
                <w:rFonts w:ascii="Cambria Math" w:hAnsi="Cambria Math" w:cs="Times New Roman"/>
                <w:i/>
                <w:lang w:val="en-GB"/>
              </w:rPr>
            </m:ctrlPr>
          </m:sSubPr>
          <m:e>
            <m:acc>
              <m:accPr>
                <m:ctrlPr>
                  <w:rPr>
                    <w:rFonts w:ascii="Cambria Math" w:hAnsi="Cambria Math" w:cs="Times New Roman"/>
                    <w:i/>
                    <w:lang w:val="en-GB"/>
                  </w:rPr>
                </m:ctrlPr>
              </m:accPr>
              <m:e>
                <m:r>
                  <w:rPr>
                    <w:rFonts w:ascii="Cambria Math" w:hAnsi="Cambria Math" w:cs="Times New Roman"/>
                    <w:lang w:val="en-GB"/>
                  </w:rPr>
                  <m:t>q</m:t>
                </m:r>
              </m:e>
            </m:acc>
          </m:e>
          <m:sub>
            <m:r>
              <w:rPr>
                <w:rFonts w:ascii="Cambria Math" w:hAnsi="Cambria Math" w:cs="Times New Roman"/>
                <w:lang w:val="en-GB"/>
              </w:rPr>
              <m:t>t</m:t>
            </m:r>
          </m:sub>
        </m:sSub>
      </m:oMath>
      <w:r w:rsidRPr="00E452F7">
        <w:rPr>
          <w:rFonts w:ascii="Times New Roman" w:hAnsi="Times New Roman" w:cs="Times New Roman"/>
          <w:lang w:val="en-GB"/>
        </w:rPr>
        <w:t xml:space="preserve"> is real effective exchange rate, GDP is gross domestic product, EXC is exchange rate, EMP is employment, CPI is consumer price, OIL is oil prices and INT is interest rate. The Structural Vector Autoregression model was </w:t>
      </w:r>
      <w:r w:rsidR="00384696" w:rsidRPr="00E452F7">
        <w:rPr>
          <w:rFonts w:ascii="Times New Roman" w:hAnsi="Times New Roman" w:cs="Times New Roman"/>
          <w:lang w:val="en-GB"/>
        </w:rPr>
        <w:t xml:space="preserve">used in this study. </w:t>
      </w:r>
      <w:r w:rsidRPr="00E452F7">
        <w:rPr>
          <w:rFonts w:ascii="Times New Roman" w:hAnsi="Times New Roman" w:cs="Times New Roman"/>
          <w:lang w:val="en-GB"/>
        </w:rPr>
        <w:t>T</w:t>
      </w:r>
      <w:r w:rsidR="00360EB1" w:rsidRPr="00E452F7">
        <w:rPr>
          <w:rFonts w:ascii="Times New Roman" w:hAnsi="Times New Roman" w:cs="Times New Roman"/>
        </w:rPr>
        <w:t xml:space="preserve">he </w:t>
      </w:r>
      <w:r w:rsidR="00384696" w:rsidRPr="00E452F7">
        <w:rPr>
          <w:rFonts w:ascii="Times New Roman" w:hAnsi="Times New Roman" w:cs="Times New Roman"/>
        </w:rPr>
        <w:t xml:space="preserve">traditional </w:t>
      </w:r>
      <w:r w:rsidR="00360EB1" w:rsidRPr="00E452F7">
        <w:rPr>
          <w:rFonts w:ascii="Times New Roman" w:hAnsi="Times New Roman" w:cs="Times New Roman"/>
        </w:rPr>
        <w:t xml:space="preserve">VAR model show the relationship between the theory and data using limited assumptions in relation to the structure </w:t>
      </w:r>
      <w:r w:rsidRPr="00E452F7">
        <w:rPr>
          <w:rFonts w:ascii="Times New Roman" w:hAnsi="Times New Roman" w:cs="Times New Roman"/>
        </w:rPr>
        <w:t>of the</w:t>
      </w:r>
      <w:r w:rsidR="00360EB1" w:rsidRPr="00E452F7">
        <w:rPr>
          <w:rFonts w:ascii="Times New Roman" w:hAnsi="Times New Roman" w:cs="Times New Roman"/>
        </w:rPr>
        <w:t xml:space="preserve"> economy. In the case where the variables are non-stationary, then the restricted VAR model is adopted. This study uses Structural VAR; the unrestricted VAR (UVAR) approach has the limitation in interpreting the impulse responses. Using the UVAR for interpretation of impulse response function with the choice of the </w:t>
      </w:r>
      <w:r w:rsidR="00F55BBB" w:rsidRPr="00E452F7">
        <w:rPr>
          <w:rFonts w:ascii="Times New Roman" w:hAnsi="Times New Roman" w:cs="Times New Roman"/>
        </w:rPr>
        <w:t xml:space="preserve">Choleski decomposition may lead to </w:t>
      </w:r>
      <w:r w:rsidR="008E5CB5" w:rsidRPr="00E452F7">
        <w:rPr>
          <w:rFonts w:ascii="Times New Roman" w:hAnsi="Times New Roman" w:cs="Times New Roman"/>
        </w:rPr>
        <w:t>misinterpretation</w:t>
      </w:r>
      <w:r w:rsidRPr="00E452F7">
        <w:rPr>
          <w:rFonts w:ascii="Times New Roman" w:hAnsi="Times New Roman" w:cs="Times New Roman"/>
        </w:rPr>
        <w:t xml:space="preserve"> of result due to</w:t>
      </w:r>
      <w:r w:rsidR="00360EB1" w:rsidRPr="00E452F7">
        <w:rPr>
          <w:rFonts w:ascii="Times New Roman" w:hAnsi="Times New Roman" w:cs="Times New Roman"/>
        </w:rPr>
        <w:t xml:space="preserve"> the alternative set of orthogonalized impulse </w:t>
      </w:r>
      <w:r w:rsidRPr="00E452F7">
        <w:rPr>
          <w:rFonts w:ascii="Times New Roman" w:hAnsi="Times New Roman" w:cs="Times New Roman"/>
        </w:rPr>
        <w:t xml:space="preserve">response obtained from the VAR analysis. </w:t>
      </w:r>
      <w:r w:rsidR="00360EB1" w:rsidRPr="00E452F7">
        <w:rPr>
          <w:rFonts w:ascii="Times New Roman" w:hAnsi="Times New Roman" w:cs="Times New Roman"/>
        </w:rPr>
        <w:t>Sim’s (1980) attempted to overcome this limitation by using caus</w:t>
      </w:r>
      <w:r w:rsidR="00754145" w:rsidRPr="00E452F7">
        <w:rPr>
          <w:rFonts w:ascii="Times New Roman" w:hAnsi="Times New Roman" w:cs="Times New Roman"/>
        </w:rPr>
        <w:t>al ordering on the VAR, but there</w:t>
      </w:r>
      <w:r w:rsidR="00360EB1" w:rsidRPr="00E452F7">
        <w:rPr>
          <w:rFonts w:ascii="Times New Roman" w:hAnsi="Times New Roman" w:cs="Times New Roman"/>
        </w:rPr>
        <w:t xml:space="preserve"> is no consensus in literature concerning this. Hence, the orthogonalized impulse responses are not easy to interpret, in the absence of restrictions on the </w:t>
      </w:r>
      <w:r w:rsidRPr="00E452F7">
        <w:rPr>
          <w:rFonts w:ascii="Times New Roman" w:hAnsi="Times New Roman" w:cs="Times New Roman"/>
        </w:rPr>
        <w:t>model that</w:t>
      </w:r>
      <w:r w:rsidR="008E6734" w:rsidRPr="00E452F7">
        <w:rPr>
          <w:rFonts w:ascii="Times New Roman" w:hAnsi="Times New Roman" w:cs="Times New Roman"/>
        </w:rPr>
        <w:t xml:space="preserve"> the SVAR provided</w:t>
      </w:r>
      <w:r w:rsidRPr="00E452F7">
        <w:rPr>
          <w:rFonts w:ascii="Times New Roman" w:hAnsi="Times New Roman" w:cs="Times New Roman"/>
        </w:rPr>
        <w:t xml:space="preserve">. </w:t>
      </w:r>
      <w:r w:rsidR="00360EB1" w:rsidRPr="00E452F7">
        <w:rPr>
          <w:rFonts w:ascii="Times New Roman" w:hAnsi="Times New Roman" w:cs="Times New Roman"/>
        </w:rPr>
        <w:t>Hamilton (1994) specified the SVAR as follows;</w:t>
      </w:r>
    </w:p>
    <w:p w14:paraId="689F1E80" w14:textId="0A62434B" w:rsidR="00360EB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position w:val="-14"/>
        </w:rPr>
        <w:object w:dxaOrig="3980" w:dyaOrig="380" w14:anchorId="5D70881A">
          <v:shape id="_x0000_i1026" type="#_x0000_t75" style="width:198.75pt;height:18.75pt" o:ole="">
            <v:imagedata r:id="rId11" o:title=""/>
          </v:shape>
          <o:OLEObject Type="Embed" ProgID="Equation.DSMT4" ShapeID="_x0000_i1026" DrawAspect="Content" ObjectID="_1612878455" r:id="rId12"/>
        </w:object>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t>3.3</w:t>
      </w:r>
    </w:p>
    <w:p w14:paraId="3B2BC14C" w14:textId="37E06E08" w:rsidR="00360EB1" w:rsidRPr="00E452F7" w:rsidRDefault="00384696" w:rsidP="00E452F7">
      <w:pPr>
        <w:spacing w:line="240" w:lineRule="auto"/>
        <w:jc w:val="both"/>
        <w:rPr>
          <w:rFonts w:ascii="Times New Roman" w:hAnsi="Times New Roman" w:cs="Times New Roman"/>
        </w:rPr>
      </w:pPr>
      <w:r w:rsidRPr="00E452F7">
        <w:rPr>
          <w:rFonts w:ascii="Times New Roman" w:hAnsi="Times New Roman" w:cs="Times New Roman"/>
        </w:rPr>
        <w:t>In equation (3.3</w:t>
      </w:r>
      <w:r w:rsidR="00360EB1" w:rsidRPr="00E452F7">
        <w:rPr>
          <w:rFonts w:ascii="Times New Roman" w:hAnsi="Times New Roman" w:cs="Times New Roman"/>
        </w:rPr>
        <w:t xml:space="preserve">), </w:t>
      </w:r>
      <w:r w:rsidR="00360EB1" w:rsidRPr="00E452F7">
        <w:rPr>
          <w:rFonts w:ascii="Times New Roman" w:hAnsi="Times New Roman" w:cs="Times New Roman"/>
          <w:position w:val="-12"/>
        </w:rPr>
        <w:object w:dxaOrig="240" w:dyaOrig="360" w14:anchorId="41222736">
          <v:shape id="_x0000_i1027" type="#_x0000_t75" style="width:12pt;height:18.75pt" o:ole="">
            <v:imagedata r:id="rId13" o:title=""/>
          </v:shape>
          <o:OLEObject Type="Embed" ProgID="Equation.DSMT4" ShapeID="_x0000_i1027" DrawAspect="Content" ObjectID="_1612878456" r:id="rId14"/>
        </w:object>
      </w:r>
      <w:r w:rsidR="00360EB1" w:rsidRPr="00E452F7">
        <w:rPr>
          <w:rFonts w:ascii="Times New Roman" w:hAnsi="Times New Roman" w:cs="Times New Roman"/>
        </w:rPr>
        <w:t xml:space="preserve"> is the endogenous variable, the error terms are white noise, by this, it means that the structural disturbance are serially uncorrelated. That is; </w:t>
      </w:r>
      <w:r w:rsidR="00360EB1" w:rsidRPr="00E452F7">
        <w:rPr>
          <w:rFonts w:ascii="Times New Roman" w:hAnsi="Times New Roman" w:cs="Times New Roman"/>
          <w:position w:val="-12"/>
        </w:rPr>
        <w:object w:dxaOrig="1260" w:dyaOrig="380" w14:anchorId="56470D52">
          <v:shape id="_x0000_i1028" type="#_x0000_t75" style="width:63.75pt;height:18.75pt" o:ole="">
            <v:imagedata r:id="rId15" o:title=""/>
          </v:shape>
          <o:OLEObject Type="Embed" ProgID="Equation.DSMT4" ShapeID="_x0000_i1028" DrawAspect="Content" ObjectID="_1612878457" r:id="rId16"/>
        </w:object>
      </w:r>
      <w:r w:rsidR="00360EB1" w:rsidRPr="00E452F7">
        <w:rPr>
          <w:rFonts w:ascii="Times New Roman" w:hAnsi="Times New Roman" w:cs="Times New Roman"/>
        </w:rPr>
        <w:t xml:space="preserve">, note that D is a diagonal matrix. </w:t>
      </w:r>
      <w:r w:rsidRPr="00E452F7">
        <w:rPr>
          <w:rFonts w:ascii="Times New Roman" w:hAnsi="Times New Roman" w:cs="Times New Roman"/>
        </w:rPr>
        <w:t>Multiplying equation (3.3</w:t>
      </w:r>
      <w:r w:rsidR="00360EB1" w:rsidRPr="00E452F7">
        <w:rPr>
          <w:rFonts w:ascii="Times New Roman" w:hAnsi="Times New Roman" w:cs="Times New Roman"/>
        </w:rPr>
        <w:t xml:space="preserve">) by  </w:t>
      </w:r>
      <w:r w:rsidR="00360EB1" w:rsidRPr="00E452F7">
        <w:rPr>
          <w:rFonts w:ascii="Times New Roman" w:hAnsi="Times New Roman" w:cs="Times New Roman"/>
          <w:position w:val="-12"/>
        </w:rPr>
        <w:object w:dxaOrig="380" w:dyaOrig="380" w14:anchorId="7ED6E04C">
          <v:shape id="_x0000_i1029" type="#_x0000_t75" style="width:18.75pt;height:18.75pt" o:ole="">
            <v:imagedata r:id="rId17" o:title=""/>
          </v:shape>
          <o:OLEObject Type="Embed" ProgID="Equation.DSMT4" ShapeID="_x0000_i1029" DrawAspect="Content" ObjectID="_1612878458" r:id="rId18"/>
        </w:object>
      </w:r>
      <w:r w:rsidR="00360EB1" w:rsidRPr="00E452F7">
        <w:rPr>
          <w:rFonts w:ascii="Times New Roman" w:hAnsi="Times New Roman" w:cs="Times New Roman"/>
        </w:rPr>
        <w:t xml:space="preserve"> gives;</w:t>
      </w:r>
    </w:p>
    <w:p w14:paraId="18A35F9F" w14:textId="057813F2" w:rsidR="00360EB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position w:val="-14"/>
        </w:rPr>
        <w:object w:dxaOrig="4280" w:dyaOrig="400" w14:anchorId="1467B7D3">
          <v:shape id="_x0000_i1030" type="#_x0000_t75" style="width:213pt;height:20.25pt" o:ole="">
            <v:imagedata r:id="rId19" o:title=""/>
          </v:shape>
          <o:OLEObject Type="Embed" ProgID="Equation.DSMT4" ShapeID="_x0000_i1030" DrawAspect="Content" ObjectID="_1612878459" r:id="rId20"/>
        </w:object>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t>3.4</w:t>
      </w:r>
    </w:p>
    <w:p w14:paraId="4E981686" w14:textId="04E9EB53" w:rsidR="00360EB1" w:rsidRPr="00E452F7" w:rsidRDefault="00384696" w:rsidP="00E452F7">
      <w:pPr>
        <w:spacing w:line="240" w:lineRule="auto"/>
        <w:jc w:val="both"/>
        <w:rPr>
          <w:rFonts w:ascii="Times New Roman" w:hAnsi="Times New Roman" w:cs="Times New Roman"/>
        </w:rPr>
      </w:pPr>
      <w:r w:rsidRPr="00E452F7">
        <w:rPr>
          <w:rFonts w:ascii="Times New Roman" w:hAnsi="Times New Roman" w:cs="Times New Roman"/>
        </w:rPr>
        <w:t xml:space="preserve">Equation 3.4 is rewritten as; </w:t>
      </w:r>
    </w:p>
    <w:p w14:paraId="3BA502A0" w14:textId="212BA34F" w:rsidR="00360EB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position w:val="-14"/>
        </w:rPr>
        <w:object w:dxaOrig="3580" w:dyaOrig="380" w14:anchorId="6A03E900">
          <v:shape id="_x0000_i1031" type="#_x0000_t75" style="width:178.5pt;height:18.75pt" o:ole="">
            <v:imagedata r:id="rId21" o:title=""/>
          </v:shape>
          <o:OLEObject Type="Embed" ProgID="Equation.DSMT4" ShapeID="_x0000_i1031" DrawAspect="Content" ObjectID="_1612878460" r:id="rId22"/>
        </w:object>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t>3.5</w:t>
      </w:r>
      <w:r w:rsidRPr="00E452F7">
        <w:rPr>
          <w:rFonts w:ascii="Times New Roman" w:hAnsi="Times New Roman" w:cs="Times New Roman"/>
        </w:rPr>
        <w:t xml:space="preserve"> </w:t>
      </w:r>
    </w:p>
    <w:p w14:paraId="104F780C" w14:textId="56B7BAFF" w:rsidR="00360EB1" w:rsidRPr="00E452F7" w:rsidRDefault="00384696" w:rsidP="00E452F7">
      <w:pPr>
        <w:spacing w:line="240" w:lineRule="auto"/>
        <w:jc w:val="both"/>
        <w:rPr>
          <w:rFonts w:ascii="Times New Roman" w:hAnsi="Times New Roman" w:cs="Times New Roman"/>
        </w:rPr>
      </w:pPr>
      <w:r w:rsidRPr="00E452F7">
        <w:rPr>
          <w:rFonts w:ascii="Times New Roman" w:hAnsi="Times New Roman" w:cs="Times New Roman"/>
        </w:rPr>
        <w:t xml:space="preserve">Where </w:t>
      </w:r>
      <w:r w:rsidR="00360EB1" w:rsidRPr="00E452F7">
        <w:rPr>
          <w:rFonts w:ascii="Times New Roman" w:hAnsi="Times New Roman" w:cs="Times New Roman"/>
          <w:position w:val="-12"/>
        </w:rPr>
        <w:object w:dxaOrig="1040" w:dyaOrig="380" w14:anchorId="330E8C8D">
          <v:shape id="_x0000_i1032" type="#_x0000_t75" style="width:51.75pt;height:18.75pt" o:ole="">
            <v:imagedata r:id="rId23" o:title=""/>
          </v:shape>
          <o:OLEObject Type="Embed" ProgID="Equation.DSMT4" ShapeID="_x0000_i1032" DrawAspect="Content" ObjectID="_1612878461" r:id="rId24"/>
        </w:object>
      </w:r>
      <w:r w:rsidR="00360EB1" w:rsidRPr="00E452F7">
        <w:rPr>
          <w:rFonts w:ascii="Times New Roman" w:hAnsi="Times New Roman" w:cs="Times New Roman"/>
        </w:rPr>
        <w:t xml:space="preserve"> Where</w:t>
      </w:r>
      <w:r w:rsidR="00360EB1" w:rsidRPr="00E452F7">
        <w:rPr>
          <w:rFonts w:ascii="Times New Roman" w:hAnsi="Times New Roman" w:cs="Times New Roman"/>
          <w:position w:val="-10"/>
        </w:rPr>
        <w:object w:dxaOrig="1380" w:dyaOrig="320" w14:anchorId="5032D81C">
          <v:shape id="_x0000_i1033" type="#_x0000_t75" style="width:69pt;height:15.75pt" o:ole="">
            <v:imagedata r:id="rId25" o:title=""/>
          </v:shape>
          <o:OLEObject Type="Embed" ProgID="Equation.DSMT4" ShapeID="_x0000_i1033" DrawAspect="Content" ObjectID="_1612878462" r:id="rId26"/>
        </w:object>
      </w:r>
      <w:r w:rsidR="00360EB1" w:rsidRPr="00E452F7">
        <w:rPr>
          <w:rFonts w:ascii="Times New Roman" w:hAnsi="Times New Roman" w:cs="Times New Roman"/>
        </w:rPr>
        <w:t>,</w:t>
      </w:r>
      <w:r w:rsidR="00360EB1" w:rsidRPr="00E452F7">
        <w:rPr>
          <w:rFonts w:ascii="Times New Roman" w:hAnsi="Times New Roman" w:cs="Times New Roman"/>
          <w:position w:val="-12"/>
        </w:rPr>
        <w:object w:dxaOrig="940" w:dyaOrig="380" w14:anchorId="499990AC">
          <v:shape id="_x0000_i1034" type="#_x0000_t75" style="width:48pt;height:18.75pt" o:ole="">
            <v:imagedata r:id="rId27" o:title=""/>
          </v:shape>
          <o:OLEObject Type="Embed" ProgID="Equation.DSMT4" ShapeID="_x0000_i1034" DrawAspect="Content" ObjectID="_1612878463" r:id="rId28"/>
        </w:object>
      </w:r>
      <w:r w:rsidR="00360EB1" w:rsidRPr="00E452F7">
        <w:rPr>
          <w:rFonts w:ascii="Times New Roman" w:hAnsi="Times New Roman" w:cs="Times New Roman"/>
        </w:rPr>
        <w:t xml:space="preserve">, </w:t>
      </w:r>
      <w:r w:rsidR="00360EB1" w:rsidRPr="00E452F7">
        <w:rPr>
          <w:rFonts w:ascii="Times New Roman" w:hAnsi="Times New Roman" w:cs="Times New Roman"/>
          <w:position w:val="-12"/>
        </w:rPr>
        <w:object w:dxaOrig="1020" w:dyaOrig="380" w14:anchorId="235002E8">
          <v:shape id="_x0000_i1035" type="#_x0000_t75" style="width:50.25pt;height:18.75pt" o:ole="">
            <v:imagedata r:id="rId29" o:title=""/>
          </v:shape>
          <o:OLEObject Type="Embed" ProgID="Equation.DSMT4" ShapeID="_x0000_i1035" DrawAspect="Content" ObjectID="_1612878464" r:id="rId30"/>
        </w:object>
      </w:r>
      <w:r w:rsidRPr="00E452F7">
        <w:rPr>
          <w:rFonts w:ascii="Times New Roman" w:hAnsi="Times New Roman" w:cs="Times New Roman"/>
        </w:rPr>
        <w:t xml:space="preserve">. </w:t>
      </w:r>
      <w:r w:rsidR="00360EB1" w:rsidRPr="00E452F7">
        <w:rPr>
          <w:rFonts w:ascii="Times New Roman" w:hAnsi="Times New Roman" w:cs="Times New Roman"/>
        </w:rPr>
        <w:t>The variance –covariance matrix can be written as;</w:t>
      </w:r>
    </w:p>
    <w:p w14:paraId="53BD2E03" w14:textId="384E687F" w:rsidR="00360EB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position w:val="-12"/>
        </w:rPr>
        <w:object w:dxaOrig="4520" w:dyaOrig="380" w14:anchorId="4F8C51C0">
          <v:shape id="_x0000_i1036" type="#_x0000_t75" style="width:225.75pt;height:18.75pt" o:ole="">
            <v:imagedata r:id="rId31" o:title=""/>
          </v:shape>
          <o:OLEObject Type="Embed" ProgID="Equation.DSMT4" ShapeID="_x0000_i1036" DrawAspect="Content" ObjectID="_1612878465" r:id="rId32"/>
        </w:object>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r>
      <w:r w:rsidR="00384696" w:rsidRPr="00E452F7">
        <w:rPr>
          <w:rFonts w:ascii="Times New Roman" w:hAnsi="Times New Roman" w:cs="Times New Roman"/>
        </w:rPr>
        <w:tab/>
        <w:t>3.6</w:t>
      </w:r>
    </w:p>
    <w:p w14:paraId="54909B4C" w14:textId="1344CD6A" w:rsidR="004B397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rPr>
        <w:t>Therefore, to generate the</w:t>
      </w:r>
      <w:r w:rsidR="008E5CB5" w:rsidRPr="00E452F7">
        <w:rPr>
          <w:rFonts w:ascii="Times New Roman" w:hAnsi="Times New Roman" w:cs="Times New Roman"/>
        </w:rPr>
        <w:t xml:space="preserve"> structural shocks, the Choleski</w:t>
      </w:r>
      <w:r w:rsidRPr="00E452F7">
        <w:rPr>
          <w:rFonts w:ascii="Times New Roman" w:hAnsi="Times New Roman" w:cs="Times New Roman"/>
        </w:rPr>
        <w:t xml:space="preserve"> Decomposition of the variance-covariance of the reduced form VAR residuals </w:t>
      </w:r>
      <w:r w:rsidRPr="00E452F7">
        <w:rPr>
          <w:rFonts w:ascii="Times New Roman" w:hAnsi="Times New Roman" w:cs="Times New Roman"/>
          <w:position w:val="-4"/>
        </w:rPr>
        <w:object w:dxaOrig="260" w:dyaOrig="320" w14:anchorId="552919ED">
          <v:shape id="_x0000_i1037" type="#_x0000_t75" style="width:13.5pt;height:15.75pt" o:ole="">
            <v:imagedata r:id="rId33" o:title=""/>
          </v:shape>
          <o:OLEObject Type="Embed" ProgID="Equation.DSMT4" ShapeID="_x0000_i1037" DrawAspect="Content" ObjectID="_1612878466" r:id="rId34"/>
        </w:object>
      </w:r>
      <w:r w:rsidR="00384696" w:rsidRPr="00E452F7">
        <w:rPr>
          <w:rFonts w:ascii="Times New Roman" w:hAnsi="Times New Roman" w:cs="Times New Roman"/>
        </w:rPr>
        <w:t xml:space="preserve"> was</w:t>
      </w:r>
      <w:r w:rsidRPr="00E452F7">
        <w:rPr>
          <w:rFonts w:ascii="Times New Roman" w:hAnsi="Times New Roman" w:cs="Times New Roman"/>
        </w:rPr>
        <w:t xml:space="preserve"> used. </w:t>
      </w:r>
      <w:r w:rsidR="004B3971" w:rsidRPr="00E452F7">
        <w:rPr>
          <w:rFonts w:ascii="Times New Roman" w:eastAsia="Calibri" w:hAnsi="Times New Roman" w:cs="Times New Roman"/>
        </w:rPr>
        <w:t>Hence, the Vector auto regression model of order P (or simply Var (P)) to be adopted for this study is specified below;</w:t>
      </w:r>
    </w:p>
    <w:p w14:paraId="4AA282B5" w14:textId="32F9171D" w:rsidR="004B3971" w:rsidRPr="00E452F7" w:rsidRDefault="00384696" w:rsidP="00E452F7">
      <w:pPr>
        <w:autoSpaceDE w:val="0"/>
        <w:autoSpaceDN w:val="0"/>
        <w:adjustRightInd w:val="0"/>
        <w:spacing w:after="0" w:line="240" w:lineRule="auto"/>
        <w:jc w:val="both"/>
        <w:rPr>
          <w:rFonts w:ascii="Times New Roman" w:eastAsia="Calibri" w:hAnsi="Times New Roman" w:cs="Times New Roman"/>
        </w:rPr>
      </w:pPr>
      <w:r w:rsidRPr="00E452F7">
        <w:rPr>
          <w:rFonts w:ascii="Times New Roman" w:eastAsia="Calibri" w:hAnsi="Times New Roman" w:cs="Times New Roman"/>
          <w:position w:val="-28"/>
        </w:rPr>
        <w:object w:dxaOrig="9100" w:dyaOrig="680" w14:anchorId="5D7E625E">
          <v:shape id="_x0000_i1038" type="#_x0000_t75" style="width:429.75pt;height:33.75pt" o:ole="">
            <v:imagedata r:id="rId35" o:title=""/>
          </v:shape>
          <o:OLEObject Type="Embed" ProgID="Equation.DSMT4" ShapeID="_x0000_i1038" DrawAspect="Content" ObjectID="_1612878467" r:id="rId36"/>
        </w:object>
      </w:r>
      <w:r w:rsidRPr="00E452F7">
        <w:rPr>
          <w:rFonts w:ascii="Times New Roman" w:eastAsia="Calibri" w:hAnsi="Times New Roman" w:cs="Times New Roman"/>
        </w:rPr>
        <w:tab/>
        <w:t>3.7</w:t>
      </w:r>
    </w:p>
    <w:p w14:paraId="311C9ECD" w14:textId="4F2999E8" w:rsidR="00360EB1" w:rsidRPr="00E452F7" w:rsidRDefault="004B3971" w:rsidP="00E452F7">
      <w:pPr>
        <w:autoSpaceDE w:val="0"/>
        <w:autoSpaceDN w:val="0"/>
        <w:adjustRightInd w:val="0"/>
        <w:spacing w:after="0" w:line="240" w:lineRule="auto"/>
        <w:jc w:val="both"/>
        <w:rPr>
          <w:rFonts w:ascii="Times New Roman" w:eastAsia="Calibri" w:hAnsi="Times New Roman" w:cs="Times New Roman"/>
        </w:rPr>
      </w:pPr>
      <w:r w:rsidRPr="00E452F7">
        <w:rPr>
          <w:rFonts w:ascii="Times New Roman" w:eastAsia="Calibri" w:hAnsi="Times New Roman" w:cs="Times New Roman"/>
        </w:rPr>
        <w:t>GDP represent the real Gross domestic product, REFR represent real effective rate, ROP represent real oil price, RW represent real wage, INF represent inflation and final</w:t>
      </w:r>
      <w:r w:rsidR="00384696" w:rsidRPr="00E452F7">
        <w:rPr>
          <w:rFonts w:ascii="Times New Roman" w:eastAsia="Calibri" w:hAnsi="Times New Roman" w:cs="Times New Roman"/>
        </w:rPr>
        <w:t xml:space="preserve">ly INT represent interest rate. </w:t>
      </w:r>
      <w:r w:rsidR="00360EB1" w:rsidRPr="00E452F7">
        <w:rPr>
          <w:rFonts w:ascii="Times New Roman" w:hAnsi="Times New Roman" w:cs="Times New Roman"/>
        </w:rPr>
        <w:t>Imposing the restriction suggested by the theoretical model, the matrix below show the relationship between the error terms of the reduced form and the structural disturbances.</w:t>
      </w:r>
    </w:p>
    <w:p w14:paraId="3204E3A2" w14:textId="1DB1DCE3" w:rsidR="00360EB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position w:val="-12"/>
        </w:rPr>
        <w:object w:dxaOrig="1020" w:dyaOrig="380" w14:anchorId="24D47782">
          <v:shape id="_x0000_i1039" type="#_x0000_t75" style="width:50.25pt;height:18.75pt" o:ole="">
            <v:imagedata r:id="rId37" o:title=""/>
          </v:shape>
          <o:OLEObject Type="Embed" ProgID="Equation.DSMT4" ShapeID="_x0000_i1039" DrawAspect="Content" ObjectID="_1612878468" r:id="rId38"/>
        </w:object>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t>3.8</w:t>
      </w:r>
    </w:p>
    <w:p w14:paraId="009D8A6F" w14:textId="3C21104D" w:rsidR="00360EB1" w:rsidRPr="00E452F7" w:rsidRDefault="00360EB1" w:rsidP="00E452F7">
      <w:pPr>
        <w:spacing w:line="240" w:lineRule="auto"/>
        <w:jc w:val="both"/>
        <w:rPr>
          <w:rFonts w:ascii="Times New Roman" w:hAnsi="Times New Roman" w:cs="Times New Roman"/>
        </w:rPr>
      </w:pPr>
      <w:r w:rsidRPr="00E452F7">
        <w:rPr>
          <w:rFonts w:ascii="Times New Roman" w:hAnsi="Times New Roman" w:cs="Times New Roman"/>
        </w:rPr>
        <w:lastRenderedPageBreak/>
        <w:t xml:space="preserve"> </w:t>
      </w:r>
      <w:r w:rsidRPr="00E452F7">
        <w:rPr>
          <w:rFonts w:ascii="Times New Roman" w:hAnsi="Times New Roman" w:cs="Times New Roman"/>
          <w:position w:val="-114"/>
        </w:rPr>
        <w:object w:dxaOrig="5160" w:dyaOrig="2400" w14:anchorId="05F98AF9">
          <v:shape id="_x0000_i1040" type="#_x0000_t75" style="width:257.25pt;height:120pt" o:ole="">
            <v:imagedata r:id="rId39" o:title=""/>
          </v:shape>
          <o:OLEObject Type="Embed" ProgID="Equation.DSMT4" ShapeID="_x0000_i1040" DrawAspect="Content" ObjectID="_1612878469" r:id="rId40"/>
        </w:object>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t>3.9</w:t>
      </w:r>
      <w:r w:rsidRPr="00E452F7">
        <w:rPr>
          <w:rFonts w:ascii="Times New Roman" w:hAnsi="Times New Roman" w:cs="Times New Roman"/>
        </w:rPr>
        <w:t xml:space="preserve">  </w:t>
      </w:r>
    </w:p>
    <w:p w14:paraId="36D469DD" w14:textId="6B77A31E" w:rsidR="00360EB1" w:rsidRPr="00E452F7" w:rsidRDefault="003C117B" w:rsidP="00E452F7">
      <w:pPr>
        <w:spacing w:line="240" w:lineRule="auto"/>
        <w:jc w:val="both"/>
        <w:rPr>
          <w:rFonts w:ascii="Times New Roman" w:hAnsi="Times New Roman" w:cs="Times New Roman"/>
        </w:rPr>
      </w:pPr>
      <w:r w:rsidRPr="00E452F7">
        <w:rPr>
          <w:rFonts w:ascii="Times New Roman" w:hAnsi="Times New Roman" w:cs="Times New Roman"/>
        </w:rPr>
        <w:t>In equation (3.9</w:t>
      </w:r>
      <w:r w:rsidR="00360EB1" w:rsidRPr="00E452F7">
        <w:rPr>
          <w:rFonts w:ascii="Times New Roman" w:hAnsi="Times New Roman" w:cs="Times New Roman"/>
        </w:rPr>
        <w:t xml:space="preserve">) </w:t>
      </w:r>
      <w:r w:rsidR="00360EB1" w:rsidRPr="00E452F7">
        <w:rPr>
          <w:rFonts w:ascii="Times New Roman" w:hAnsi="Times New Roman" w:cs="Times New Roman"/>
          <w:position w:val="-12"/>
        </w:rPr>
        <w:object w:dxaOrig="400" w:dyaOrig="380" w14:anchorId="515536A4">
          <v:shape id="_x0000_i1041" type="#_x0000_t75" style="width:20.25pt;height:18.75pt" o:ole="">
            <v:imagedata r:id="rId41" o:title=""/>
          </v:shape>
          <o:OLEObject Type="Embed" ProgID="Equation.DSMT4" ShapeID="_x0000_i1041" DrawAspect="Content" ObjectID="_1612878470" r:id="rId42"/>
        </w:object>
      </w:r>
      <w:r w:rsidR="00360EB1" w:rsidRPr="00E452F7">
        <w:rPr>
          <w:rFonts w:ascii="Times New Roman" w:hAnsi="Times New Roman" w:cs="Times New Roman"/>
        </w:rPr>
        <w:t xml:space="preserve">represent the oil price (supply) shock; </w:t>
      </w:r>
      <w:r w:rsidR="00360EB1" w:rsidRPr="00E452F7">
        <w:rPr>
          <w:rFonts w:ascii="Times New Roman" w:hAnsi="Times New Roman" w:cs="Times New Roman"/>
          <w:position w:val="-12"/>
        </w:rPr>
        <w:object w:dxaOrig="460" w:dyaOrig="380" w14:anchorId="4D1E16A8">
          <v:shape id="_x0000_i1042" type="#_x0000_t75" style="width:28.5pt;height:18.75pt" o:ole="">
            <v:imagedata r:id="rId43" o:title=""/>
          </v:shape>
          <o:OLEObject Type="Embed" ProgID="Equation.DSMT4" ShapeID="_x0000_i1042" DrawAspect="Content" ObjectID="_1612878471" r:id="rId44"/>
        </w:object>
      </w:r>
      <w:r w:rsidR="00360EB1" w:rsidRPr="00E452F7">
        <w:rPr>
          <w:rFonts w:ascii="Times New Roman" w:hAnsi="Times New Roman" w:cs="Times New Roman"/>
        </w:rPr>
        <w:t xml:space="preserve"> represent the output (demand shock); </w:t>
      </w:r>
      <w:r w:rsidR="00360EB1" w:rsidRPr="00E452F7">
        <w:rPr>
          <w:rFonts w:ascii="Times New Roman" w:hAnsi="Times New Roman" w:cs="Times New Roman"/>
          <w:position w:val="-12"/>
        </w:rPr>
        <w:object w:dxaOrig="300" w:dyaOrig="380" w14:anchorId="16580626">
          <v:shape id="_x0000_i1043" type="#_x0000_t75" style="width:15pt;height:18.75pt" o:ole="">
            <v:imagedata r:id="rId45" o:title=""/>
          </v:shape>
          <o:OLEObject Type="Embed" ProgID="Equation.DSMT4" ShapeID="_x0000_i1043" DrawAspect="Content" ObjectID="_1612878472" r:id="rId46"/>
        </w:object>
      </w:r>
      <w:r w:rsidR="00360EB1" w:rsidRPr="00E452F7">
        <w:rPr>
          <w:rFonts w:ascii="Times New Roman" w:hAnsi="Times New Roman" w:cs="Times New Roman"/>
        </w:rPr>
        <w:t xml:space="preserve"> represent the monetary shock; </w:t>
      </w:r>
      <w:r w:rsidR="00360EB1" w:rsidRPr="00E452F7">
        <w:rPr>
          <w:rFonts w:ascii="Times New Roman" w:hAnsi="Times New Roman" w:cs="Times New Roman"/>
          <w:position w:val="-12"/>
        </w:rPr>
        <w:object w:dxaOrig="440" w:dyaOrig="380" w14:anchorId="49F08E7C">
          <v:shape id="_x0000_i1044" type="#_x0000_t75" style="width:21.75pt;height:18.75pt" o:ole="">
            <v:imagedata r:id="rId47" o:title=""/>
          </v:shape>
          <o:OLEObject Type="Embed" ProgID="Equation.DSMT4" ShapeID="_x0000_i1044" DrawAspect="Content" ObjectID="_1612878473" r:id="rId48"/>
        </w:object>
      </w:r>
      <w:r w:rsidR="00360EB1" w:rsidRPr="00E452F7">
        <w:rPr>
          <w:rFonts w:ascii="Times New Roman" w:hAnsi="Times New Roman" w:cs="Times New Roman"/>
        </w:rPr>
        <w:t xml:space="preserve"> represent the nominal exchange rate (external shock); </w:t>
      </w:r>
      <w:r w:rsidR="00360EB1" w:rsidRPr="00E452F7">
        <w:rPr>
          <w:rFonts w:ascii="Times New Roman" w:hAnsi="Times New Roman" w:cs="Times New Roman"/>
          <w:position w:val="-12"/>
        </w:rPr>
        <w:object w:dxaOrig="420" w:dyaOrig="380" w14:anchorId="2C970B1B">
          <v:shape id="_x0000_i1045" type="#_x0000_t75" style="width:21pt;height:18.75pt" o:ole="">
            <v:imagedata r:id="rId49" o:title=""/>
          </v:shape>
          <o:OLEObject Type="Embed" ProgID="Equation.DSMT4" ShapeID="_x0000_i1045" DrawAspect="Content" ObjectID="_1612878474" r:id="rId50"/>
        </w:object>
      </w:r>
      <w:r w:rsidR="00360EB1" w:rsidRPr="00E452F7">
        <w:rPr>
          <w:rFonts w:ascii="Times New Roman" w:hAnsi="Times New Roman" w:cs="Times New Roman"/>
        </w:rPr>
        <w:t xml:space="preserve">represent the inflation shock and </w:t>
      </w:r>
      <w:r w:rsidR="00360EB1" w:rsidRPr="00E452F7">
        <w:rPr>
          <w:rFonts w:ascii="Times New Roman" w:hAnsi="Times New Roman" w:cs="Times New Roman"/>
          <w:position w:val="-12"/>
        </w:rPr>
        <w:object w:dxaOrig="700" w:dyaOrig="380" w14:anchorId="3991DF67">
          <v:shape id="_x0000_i1046" type="#_x0000_t75" style="width:35.25pt;height:18.75pt" o:ole="">
            <v:imagedata r:id="rId51" o:title=""/>
          </v:shape>
          <o:OLEObject Type="Embed" ProgID="Equation.DSMT4" ShapeID="_x0000_i1046" DrawAspect="Content" ObjectID="_1612878475" r:id="rId52"/>
        </w:object>
      </w:r>
      <w:r w:rsidR="00360EB1" w:rsidRPr="00E452F7">
        <w:rPr>
          <w:rFonts w:ascii="Times New Roman" w:hAnsi="Times New Roman" w:cs="Times New Roman"/>
        </w:rPr>
        <w:t>represent the employment rate shock. The matrix has 16 parameters to estimate, according to the theoretical model, this satisfied the or</w:t>
      </w:r>
      <w:r w:rsidR="008F084E" w:rsidRPr="00E452F7">
        <w:rPr>
          <w:rFonts w:ascii="Times New Roman" w:hAnsi="Times New Roman" w:cs="Times New Roman"/>
        </w:rPr>
        <w:t>der requirement condition (Ito &amp;</w:t>
      </w:r>
      <w:r w:rsidR="00360EB1" w:rsidRPr="00E452F7">
        <w:rPr>
          <w:rFonts w:ascii="Times New Roman" w:hAnsi="Times New Roman" w:cs="Times New Roman"/>
        </w:rPr>
        <w:t xml:space="preserve"> Sato, 2007; Hahn, </w:t>
      </w:r>
      <w:r w:rsidR="008F084E" w:rsidRPr="00E452F7">
        <w:rPr>
          <w:rFonts w:ascii="Times New Roman" w:hAnsi="Times New Roman" w:cs="Times New Roman"/>
        </w:rPr>
        <w:t>2003; McCarthy, 2000;</w:t>
      </w:r>
      <w:r w:rsidR="00360EB1" w:rsidRPr="00E452F7">
        <w:rPr>
          <w:rFonts w:ascii="Times New Roman" w:hAnsi="Times New Roman" w:cs="Times New Roman"/>
        </w:rPr>
        <w:t xml:space="preserve"> Bwire </w:t>
      </w:r>
      <w:r w:rsidR="00360EB1" w:rsidRPr="00E452F7">
        <w:rPr>
          <w:rFonts w:ascii="Times New Roman" w:hAnsi="Times New Roman" w:cs="Times New Roman"/>
          <w:i/>
        </w:rPr>
        <w:t>et al,</w:t>
      </w:r>
      <w:r w:rsidRPr="00E452F7">
        <w:rPr>
          <w:rFonts w:ascii="Times New Roman" w:hAnsi="Times New Roman" w:cs="Times New Roman"/>
        </w:rPr>
        <w:t xml:space="preserve"> 2013). From equation (3.9</w:t>
      </w:r>
      <w:r w:rsidR="00360EB1" w:rsidRPr="00E452F7">
        <w:rPr>
          <w:rFonts w:ascii="Times New Roman" w:hAnsi="Times New Roman" w:cs="Times New Roman"/>
        </w:rPr>
        <w:t xml:space="preserve">), the identified shocks contemporaneously affect corresponding variables; that is, affect the variable according to the ordering. </w:t>
      </w:r>
    </w:p>
    <w:p w14:paraId="77D951D6" w14:textId="77777777" w:rsidR="00F656C7" w:rsidRPr="00E452F7" w:rsidRDefault="00451179" w:rsidP="00E452F7">
      <w:pPr>
        <w:spacing w:after="0" w:line="240" w:lineRule="auto"/>
        <w:jc w:val="both"/>
        <w:rPr>
          <w:rFonts w:ascii="Times New Roman" w:hAnsi="Times New Roman" w:cs="Times New Roman"/>
          <w:lang w:val="en-GB"/>
        </w:rPr>
      </w:pPr>
      <w:r w:rsidRPr="00E452F7">
        <w:rPr>
          <w:rFonts w:ascii="Times New Roman" w:hAnsi="Times New Roman" w:cs="Times New Roman"/>
          <w:b/>
        </w:rPr>
        <w:t>Stationary and Unit Root Test</w:t>
      </w:r>
    </w:p>
    <w:p w14:paraId="1D61F214" w14:textId="15C313BF" w:rsidR="00451179" w:rsidRPr="00E452F7" w:rsidRDefault="00451179" w:rsidP="00E452F7">
      <w:pPr>
        <w:spacing w:after="0" w:line="240" w:lineRule="auto"/>
        <w:jc w:val="both"/>
        <w:rPr>
          <w:rFonts w:ascii="Times New Roman" w:hAnsi="Times New Roman" w:cs="Times New Roman"/>
          <w:lang w:val="en-GB"/>
        </w:rPr>
      </w:pPr>
      <w:r w:rsidRPr="00E452F7">
        <w:rPr>
          <w:rFonts w:ascii="Times New Roman" w:hAnsi="Times New Roman" w:cs="Times New Roman"/>
          <w:lang w:val="en-GB"/>
        </w:rPr>
        <w:t xml:space="preserve">By using the Augmented Dickey Fuller (ADF) test to examine each of the variables for the presence of stationarity or non-stationarity, this study carries </w:t>
      </w:r>
      <w:r w:rsidR="00DB75C1" w:rsidRPr="00E452F7">
        <w:rPr>
          <w:rFonts w:ascii="Times New Roman" w:hAnsi="Times New Roman" w:cs="Times New Roman"/>
          <w:lang w:val="en-GB"/>
        </w:rPr>
        <w:t>out the unit root test. B</w:t>
      </w:r>
      <w:r w:rsidRPr="00E452F7">
        <w:rPr>
          <w:rFonts w:ascii="Times New Roman" w:hAnsi="Times New Roman" w:cs="Times New Roman"/>
          <w:lang w:val="en-GB"/>
        </w:rPr>
        <w:t>ased on the regression equation in the form:</w:t>
      </w:r>
    </w:p>
    <w:p w14:paraId="5190A5CF" w14:textId="1E95E550" w:rsidR="00451179" w:rsidRPr="00E452F7" w:rsidRDefault="00FB255B" w:rsidP="00E452F7">
      <w:pPr>
        <w:spacing w:before="240" w:line="240" w:lineRule="auto"/>
        <w:ind w:left="360"/>
        <w:jc w:val="both"/>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α</m:t>
            </m:r>
          </m:e>
          <m:sub>
            <m:r>
              <w:rPr>
                <w:rFonts w:ascii="Cambria Math" w:hAnsi="Cambria Math" w:cs="Times New Roman"/>
                <w:lang w:val="en-GB"/>
              </w:rPr>
              <m:t>0</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α</m:t>
            </m:r>
          </m:e>
          <m:sub>
            <m:r>
              <w:rPr>
                <w:rFonts w:ascii="Cambria Math" w:hAnsi="Cambria Math" w:cs="Times New Roman"/>
                <w:lang w:val="en-GB"/>
              </w:rPr>
              <m:t>1</m:t>
            </m:r>
          </m:sub>
        </m:sSub>
        <m:sSub>
          <m:sSubPr>
            <m:ctrlPr>
              <w:rPr>
                <w:rFonts w:ascii="Cambria Math" w:hAnsi="Cambria Math" w:cs="Times New Roman"/>
                <w:i/>
                <w:lang w:val="en-GB"/>
              </w:rPr>
            </m:ctrlPr>
          </m:sSubPr>
          <m:e>
            <m:r>
              <w:rPr>
                <w:rFonts w:ascii="Cambria Math" w:hAnsi="Cambria Math" w:cs="Times New Roman"/>
                <w:lang w:val="en-GB"/>
              </w:rPr>
              <m:t>βy</m:t>
            </m:r>
          </m:e>
          <m:sub>
            <m:r>
              <w:rPr>
                <w:rFonts w:ascii="Cambria Math" w:hAnsi="Cambria Math" w:cs="Times New Roman"/>
                <w:lang w:val="en-GB"/>
              </w:rPr>
              <m:t>t-1</m:t>
            </m:r>
          </m:sub>
        </m:sSub>
        <m:r>
          <w:rPr>
            <w:rFonts w:ascii="Cambria Math" w:hAnsi="Cambria Math" w:cs="Times New Roman"/>
            <w:lang w:val="en-GB"/>
          </w:rPr>
          <m:t>+T+</m:t>
        </m:r>
        <m:nary>
          <m:naryPr>
            <m:chr m:val="∑"/>
            <m:limLoc m:val="undOvr"/>
            <m:ctrlPr>
              <w:rPr>
                <w:rFonts w:ascii="Cambria Math" w:hAnsi="Cambria Math" w:cs="Times New Roman"/>
                <w:i/>
                <w:lang w:val="en-GB"/>
              </w:rPr>
            </m:ctrlPr>
          </m:naryPr>
          <m:sub>
            <m:r>
              <w:rPr>
                <w:rFonts w:ascii="Cambria Math" w:hAnsi="Cambria Math" w:cs="Times New Roman"/>
                <w:lang w:val="en-GB"/>
              </w:rPr>
              <m:t>i=1</m:t>
            </m:r>
          </m:sub>
          <m:sup>
            <m:r>
              <w:rPr>
                <w:rFonts w:ascii="Cambria Math" w:hAnsi="Cambria Math" w:cs="Times New Roman"/>
                <w:lang w:val="en-GB"/>
              </w:rPr>
              <m:t>m</m:t>
            </m:r>
          </m:sup>
          <m:e>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i</m:t>
                </m:r>
              </m:sub>
            </m:sSub>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t-k</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ε</m:t>
                </m:r>
              </m:e>
              <m:sub>
                <m:r>
                  <w:rPr>
                    <w:rFonts w:ascii="Cambria Math" w:hAnsi="Cambria Math" w:cs="Times New Roman"/>
                    <w:lang w:val="en-GB"/>
                  </w:rPr>
                  <m:t>t</m:t>
                </m:r>
              </m:sub>
            </m:sSub>
          </m:e>
        </m:nary>
      </m:oMath>
      <w:r w:rsidR="003C117B" w:rsidRPr="00E452F7">
        <w:rPr>
          <w:rFonts w:ascii="Times New Roman" w:hAnsi="Times New Roman" w:cs="Times New Roman"/>
          <w:lang w:val="en-GB"/>
        </w:rPr>
        <w:t xml:space="preserve"> </w:t>
      </w:r>
      <w:r w:rsidR="003C117B" w:rsidRPr="00E452F7">
        <w:rPr>
          <w:rFonts w:ascii="Times New Roman" w:hAnsi="Times New Roman" w:cs="Times New Roman"/>
          <w:lang w:val="en-GB"/>
        </w:rPr>
        <w:tab/>
      </w:r>
      <w:r w:rsidR="003C117B" w:rsidRPr="00E452F7">
        <w:rPr>
          <w:rFonts w:ascii="Times New Roman" w:hAnsi="Times New Roman" w:cs="Times New Roman"/>
          <w:lang w:val="en-GB"/>
        </w:rPr>
        <w:tab/>
      </w:r>
      <w:r w:rsidR="003C117B" w:rsidRPr="00E452F7">
        <w:rPr>
          <w:rFonts w:ascii="Times New Roman" w:hAnsi="Times New Roman" w:cs="Times New Roman"/>
          <w:lang w:val="en-GB"/>
        </w:rPr>
        <w:tab/>
      </w:r>
      <w:r w:rsidR="003C117B" w:rsidRPr="00E452F7">
        <w:rPr>
          <w:rFonts w:ascii="Times New Roman" w:hAnsi="Times New Roman" w:cs="Times New Roman"/>
          <w:lang w:val="en-GB"/>
        </w:rPr>
        <w:tab/>
      </w:r>
      <w:r w:rsidR="003C117B" w:rsidRPr="00E452F7">
        <w:rPr>
          <w:rFonts w:ascii="Times New Roman" w:hAnsi="Times New Roman" w:cs="Times New Roman"/>
          <w:lang w:val="en-GB"/>
        </w:rPr>
        <w:tab/>
      </w:r>
      <w:r w:rsidR="003C117B" w:rsidRPr="00E452F7">
        <w:rPr>
          <w:rFonts w:ascii="Times New Roman" w:hAnsi="Times New Roman" w:cs="Times New Roman"/>
          <w:lang w:val="en-GB"/>
        </w:rPr>
        <w:tab/>
        <w:t>3.10</w:t>
      </w:r>
    </w:p>
    <w:p w14:paraId="63E1D83E" w14:textId="32C29AA4" w:rsidR="00B47DD4" w:rsidRPr="00E452F7" w:rsidRDefault="00451179" w:rsidP="00E452F7">
      <w:pPr>
        <w:spacing w:before="240" w:line="240" w:lineRule="auto"/>
        <w:jc w:val="both"/>
        <w:rPr>
          <w:rFonts w:ascii="Times New Roman" w:hAnsi="Times New Roman" w:cs="Times New Roman"/>
          <w:lang w:val="en-GB"/>
        </w:rPr>
      </w:pPr>
      <w:r w:rsidRPr="00E452F7">
        <w:rPr>
          <w:rFonts w:ascii="Times New Roman" w:hAnsi="Times New Roman" w:cs="Times New Roman"/>
          <w:lang w:val="en-GB"/>
        </w:rPr>
        <w:t>Where Y</w:t>
      </w:r>
      <w:r w:rsidRPr="00E452F7">
        <w:rPr>
          <w:rFonts w:ascii="Times New Roman" w:hAnsi="Times New Roman" w:cs="Times New Roman"/>
          <w:vertAlign w:val="subscript"/>
          <w:lang w:val="en-GB"/>
        </w:rPr>
        <w:t>t</w:t>
      </w:r>
      <w:r w:rsidRPr="00E452F7">
        <w:rPr>
          <w:rFonts w:ascii="Times New Roman" w:hAnsi="Times New Roman" w:cs="Times New Roman"/>
          <w:lang w:val="en-GB"/>
        </w:rPr>
        <w:t xml:space="preserve"> is the time series, ∆ is the first difference operator, T is the linear trend, α is a constant and ε</w:t>
      </w:r>
      <w:r w:rsidRPr="00E452F7">
        <w:rPr>
          <w:rFonts w:ascii="Times New Roman" w:hAnsi="Times New Roman" w:cs="Times New Roman"/>
          <w:vertAlign w:val="subscript"/>
          <w:lang w:val="en-GB"/>
        </w:rPr>
        <w:t>t</w:t>
      </w:r>
      <w:r w:rsidR="00DC0C98" w:rsidRPr="00E452F7">
        <w:rPr>
          <w:rFonts w:ascii="Times New Roman" w:hAnsi="Times New Roman" w:cs="Times New Roman"/>
          <w:lang w:val="en-GB"/>
        </w:rPr>
        <w:t xml:space="preserve"> is the error term</w:t>
      </w:r>
      <w:r w:rsidRPr="00E452F7">
        <w:rPr>
          <w:rFonts w:ascii="Times New Roman" w:hAnsi="Times New Roman" w:cs="Times New Roman"/>
          <w:lang w:val="en-GB"/>
        </w:rPr>
        <w:t>.</w:t>
      </w:r>
      <w:r w:rsidRPr="00E452F7">
        <w:rPr>
          <w:rFonts w:ascii="Times New Roman" w:hAnsi="Times New Roman" w:cs="Times New Roman"/>
          <w:lang w:val="ig-NG"/>
        </w:rPr>
        <w:t xml:space="preserve"> </w:t>
      </w:r>
      <w:r w:rsidRPr="00E452F7">
        <w:rPr>
          <w:rFonts w:ascii="Times New Roman" w:hAnsi="Times New Roman" w:cs="Times New Roman"/>
          <w:lang w:val="en-GB"/>
        </w:rPr>
        <w:t xml:space="preserve">The null hypothesis of existence of unit root is β is 0. The significance of ρ will be tested against the null (ρ=0) based on t-stat on ρ obtained from the OLS estimates of the above two equations. Thus, if the null hypothesis of non-stationarity </w:t>
      </w:r>
      <w:r w:rsidR="00F656C7" w:rsidRPr="00E452F7">
        <w:rPr>
          <w:rFonts w:ascii="Times New Roman" w:hAnsi="Times New Roman" w:cs="Times New Roman"/>
          <w:lang w:val="en-GB"/>
        </w:rPr>
        <w:t>is not reject</w:t>
      </w:r>
      <w:r w:rsidRPr="00E452F7">
        <w:rPr>
          <w:rFonts w:ascii="Times New Roman" w:hAnsi="Times New Roman" w:cs="Times New Roman"/>
          <w:lang w:val="en-GB"/>
        </w:rPr>
        <w:t>, the variables are difference</w:t>
      </w:r>
      <w:r w:rsidR="00B47DD4" w:rsidRPr="00E452F7">
        <w:rPr>
          <w:rFonts w:ascii="Times New Roman" w:hAnsi="Times New Roman" w:cs="Times New Roman"/>
          <w:lang w:val="en-GB"/>
        </w:rPr>
        <w:t>d until they become stationary</w:t>
      </w:r>
    </w:p>
    <w:p w14:paraId="4F3A838A" w14:textId="199C7893" w:rsidR="00451179" w:rsidRPr="00E452F7" w:rsidRDefault="00451179" w:rsidP="00E452F7">
      <w:pPr>
        <w:spacing w:after="0" w:line="240" w:lineRule="auto"/>
        <w:jc w:val="both"/>
        <w:rPr>
          <w:rFonts w:ascii="Times New Roman" w:hAnsi="Times New Roman" w:cs="Times New Roman"/>
        </w:rPr>
      </w:pPr>
      <w:r w:rsidRPr="00E452F7">
        <w:rPr>
          <w:rFonts w:ascii="Times New Roman" w:hAnsi="Times New Roman" w:cs="Times New Roman"/>
        </w:rPr>
        <w:t>In order to test for the</w:t>
      </w:r>
      <w:r w:rsidRPr="00E452F7">
        <w:rPr>
          <w:rFonts w:ascii="Times New Roman" w:hAnsi="Times New Roman" w:cs="Times New Roman"/>
          <w:lang w:val="en-GB"/>
        </w:rPr>
        <w:t xml:space="preserve"> determination and analysis of long run relationships among economic time series variables, co-integration is used.</w:t>
      </w:r>
      <w:r w:rsidR="003C117B" w:rsidRPr="00E452F7">
        <w:rPr>
          <w:rFonts w:ascii="Times New Roman" w:hAnsi="Times New Roman" w:cs="Times New Roman"/>
        </w:rPr>
        <w:t xml:space="preserve"> In equation (3.7</w:t>
      </w:r>
      <w:r w:rsidRPr="00E452F7">
        <w:rPr>
          <w:rFonts w:ascii="Times New Roman" w:hAnsi="Times New Roman" w:cs="Times New Roman"/>
        </w:rPr>
        <w:t>), the co-integration test of the variable implies that in the short-run they deviate from the equilibrium value, and in the long run return to this value. Over the Engel Granger approach</w:t>
      </w:r>
      <w:r w:rsidR="00F656C7" w:rsidRPr="00E452F7">
        <w:rPr>
          <w:rFonts w:ascii="Times New Roman" w:hAnsi="Times New Roman" w:cs="Times New Roman"/>
        </w:rPr>
        <w:t xml:space="preserve">, the Johansen method is preferable </w:t>
      </w:r>
      <w:r w:rsidRPr="00E452F7">
        <w:rPr>
          <w:rFonts w:ascii="Times New Roman" w:hAnsi="Times New Roman" w:cs="Times New Roman"/>
        </w:rPr>
        <w:t>as a test for co-integration because the Engel Gr</w:t>
      </w:r>
      <w:r w:rsidR="00F656C7" w:rsidRPr="00E452F7">
        <w:rPr>
          <w:rFonts w:ascii="Times New Roman" w:hAnsi="Times New Roman" w:cs="Times New Roman"/>
        </w:rPr>
        <w:t>anger approach is limited</w:t>
      </w:r>
      <w:r w:rsidRPr="00E452F7">
        <w:rPr>
          <w:rFonts w:ascii="Times New Roman" w:hAnsi="Times New Roman" w:cs="Times New Roman"/>
        </w:rPr>
        <w:t xml:space="preserve"> when an</w:t>
      </w:r>
      <w:r w:rsidR="00167456" w:rsidRPr="00E452F7">
        <w:rPr>
          <w:rFonts w:ascii="Times New Roman" w:hAnsi="Times New Roman" w:cs="Times New Roman"/>
        </w:rPr>
        <w:t xml:space="preserve">alyzing a multivariate model </w:t>
      </w:r>
      <w:r w:rsidRPr="00E452F7">
        <w:rPr>
          <w:rFonts w:ascii="Times New Roman" w:hAnsi="Times New Roman" w:cs="Times New Roman"/>
        </w:rPr>
        <w:t xml:space="preserve">(Enders, 2003).  </w:t>
      </w:r>
      <w:r w:rsidRPr="00E452F7">
        <w:rPr>
          <w:rFonts w:ascii="Times New Roman" w:hAnsi="Times New Roman" w:cs="Times New Roman"/>
          <w:lang w:val="en-GB"/>
        </w:rPr>
        <w:t>The study employ</w:t>
      </w:r>
      <w:r w:rsidR="00873D52" w:rsidRPr="00E452F7">
        <w:rPr>
          <w:rFonts w:ascii="Times New Roman" w:hAnsi="Times New Roman" w:cs="Times New Roman"/>
          <w:lang w:val="en-GB"/>
        </w:rPr>
        <w:t>ed the Johansen Co-</w:t>
      </w:r>
      <w:r w:rsidRPr="00E452F7">
        <w:rPr>
          <w:rFonts w:ascii="Times New Roman" w:hAnsi="Times New Roman" w:cs="Times New Roman"/>
          <w:lang w:val="en-GB"/>
        </w:rPr>
        <w:t>integration test and the st</w:t>
      </w:r>
      <w:r w:rsidR="00873D52" w:rsidRPr="00E452F7">
        <w:rPr>
          <w:rFonts w:ascii="Times New Roman" w:hAnsi="Times New Roman" w:cs="Times New Roman"/>
          <w:lang w:val="en-GB"/>
        </w:rPr>
        <w:t>arting point of the Johansen Co-</w:t>
      </w:r>
      <w:r w:rsidRPr="00E452F7">
        <w:rPr>
          <w:rFonts w:ascii="Times New Roman" w:hAnsi="Times New Roman" w:cs="Times New Roman"/>
          <w:lang w:val="en-GB"/>
        </w:rPr>
        <w:t>int</w:t>
      </w:r>
      <w:r w:rsidR="00F656C7" w:rsidRPr="00E452F7">
        <w:rPr>
          <w:rFonts w:ascii="Times New Roman" w:hAnsi="Times New Roman" w:cs="Times New Roman"/>
          <w:lang w:val="en-GB"/>
        </w:rPr>
        <w:t xml:space="preserve">egration methodology </w:t>
      </w:r>
      <w:r w:rsidRPr="00E452F7">
        <w:rPr>
          <w:rFonts w:ascii="Times New Roman" w:hAnsi="Times New Roman" w:cs="Times New Roman"/>
          <w:lang w:val="en-GB"/>
        </w:rPr>
        <w:t>begin</w:t>
      </w:r>
      <w:r w:rsidR="00F656C7" w:rsidRPr="00E452F7">
        <w:rPr>
          <w:rFonts w:ascii="Times New Roman" w:hAnsi="Times New Roman" w:cs="Times New Roman"/>
          <w:lang w:val="en-GB"/>
        </w:rPr>
        <w:t>s</w:t>
      </w:r>
      <w:r w:rsidRPr="00E452F7">
        <w:rPr>
          <w:rFonts w:ascii="Times New Roman" w:hAnsi="Times New Roman" w:cs="Times New Roman"/>
          <w:lang w:val="en-GB"/>
        </w:rPr>
        <w:t xml:space="preserve"> with a VAR order of p given by:</w:t>
      </w:r>
    </w:p>
    <w:p w14:paraId="12D51875" w14:textId="16E7CDA3" w:rsidR="00451179" w:rsidRPr="00E452F7" w:rsidRDefault="00FB255B" w:rsidP="00E452F7">
      <w:pPr>
        <w:spacing w:before="240" w:line="240" w:lineRule="auto"/>
        <w:ind w:left="360"/>
        <w:jc w:val="both"/>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r>
          <w:rPr>
            <w:rFonts w:ascii="Cambria Math" w:hAnsi="Cambria Math" w:cs="Times New Roman"/>
            <w:lang w:val="en-GB"/>
          </w:rPr>
          <m:t>=μ+A1</m:t>
        </m:r>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t-1</m:t>
            </m:r>
          </m:sub>
        </m:sSub>
        <m:r>
          <w:rPr>
            <w:rFonts w:ascii="Cambria Math" w:hAnsi="Cambria Math" w:cs="Times New Roman"/>
            <w:lang w:val="en-GB"/>
          </w:rPr>
          <m:t>+…+Ap</m:t>
        </m:r>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t-p</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βX</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ϵ</m:t>
            </m:r>
          </m:e>
          <m:sub>
            <m:r>
              <w:rPr>
                <w:rFonts w:ascii="Cambria Math" w:hAnsi="Cambria Math" w:cs="Times New Roman"/>
                <w:lang w:val="en-GB"/>
              </w:rPr>
              <m:t>t</m:t>
            </m:r>
          </m:sub>
        </m:sSub>
      </m:oMath>
      <w:r w:rsidR="00451179" w:rsidRPr="00E452F7">
        <w:rPr>
          <w:rFonts w:ascii="Times New Roman" w:hAnsi="Times New Roman" w:cs="Times New Roman"/>
          <w:lang w:val="en-GB"/>
        </w:rPr>
        <w:t xml:space="preserve">                                </w:t>
      </w:r>
      <w:r w:rsidR="0025209B" w:rsidRPr="00E452F7">
        <w:rPr>
          <w:rFonts w:ascii="Times New Roman" w:hAnsi="Times New Roman" w:cs="Times New Roman"/>
          <w:lang w:val="en-GB"/>
        </w:rPr>
        <w:t xml:space="preserve">  </w:t>
      </w:r>
      <w:r w:rsidR="003C117B" w:rsidRPr="00E452F7">
        <w:rPr>
          <w:rFonts w:ascii="Times New Roman" w:hAnsi="Times New Roman" w:cs="Times New Roman"/>
          <w:lang w:val="en-GB"/>
        </w:rPr>
        <w:t xml:space="preserve">                           (3.11</w:t>
      </w:r>
      <w:r w:rsidR="00451179" w:rsidRPr="00E452F7">
        <w:rPr>
          <w:rFonts w:ascii="Times New Roman" w:hAnsi="Times New Roman" w:cs="Times New Roman"/>
          <w:lang w:val="en-GB"/>
        </w:rPr>
        <w:t>)</w:t>
      </w:r>
    </w:p>
    <w:p w14:paraId="08731ACE" w14:textId="415AF113" w:rsidR="00451179" w:rsidRPr="00E452F7" w:rsidRDefault="00451179" w:rsidP="00E452F7">
      <w:pPr>
        <w:spacing w:before="240" w:line="240" w:lineRule="auto"/>
        <w:jc w:val="both"/>
        <w:rPr>
          <w:rFonts w:ascii="Times New Roman" w:hAnsi="Times New Roman" w:cs="Times New Roman"/>
          <w:lang w:val="en-GB"/>
        </w:rPr>
      </w:pPr>
      <w:r w:rsidRPr="00E452F7">
        <w:rPr>
          <w:rFonts w:ascii="Times New Roman" w:hAnsi="Times New Roman" w:cs="Times New Roman"/>
          <w:lang w:val="en-GB"/>
        </w:rPr>
        <w:t xml:space="preserve">Johansen proposes two different likelihood ratio tests of significance of theses economical correlations and thereby the reduced ranks of the П matrix. These are the trace tests and the maximum Eigen value tests. </w:t>
      </w:r>
    </w:p>
    <w:p w14:paraId="63782A03" w14:textId="63D02426" w:rsidR="0024304A" w:rsidRPr="00E452F7" w:rsidRDefault="0024304A" w:rsidP="00E452F7">
      <w:pPr>
        <w:spacing w:after="0" w:line="240" w:lineRule="auto"/>
        <w:jc w:val="both"/>
        <w:rPr>
          <w:rFonts w:ascii="Times New Roman" w:hAnsi="Times New Roman" w:cs="Times New Roman"/>
          <w:b/>
        </w:rPr>
      </w:pPr>
      <w:r w:rsidRPr="00E452F7">
        <w:rPr>
          <w:rFonts w:ascii="Times New Roman" w:hAnsi="Times New Roman" w:cs="Times New Roman"/>
          <w:b/>
        </w:rPr>
        <w:t>Stationarity Test in VAR Model</w:t>
      </w:r>
    </w:p>
    <w:p w14:paraId="13F09321" w14:textId="3739BF53" w:rsidR="0024304A" w:rsidRPr="00E452F7" w:rsidRDefault="0024304A" w:rsidP="00E452F7">
      <w:pPr>
        <w:spacing w:line="240" w:lineRule="auto"/>
        <w:jc w:val="both"/>
        <w:rPr>
          <w:rFonts w:ascii="Times New Roman" w:eastAsia="Calibri" w:hAnsi="Times New Roman" w:cs="Times New Roman"/>
        </w:rPr>
      </w:pPr>
      <w:r w:rsidRPr="00E452F7">
        <w:rPr>
          <w:rFonts w:ascii="Times New Roman" w:hAnsi="Times New Roman" w:cs="Times New Roman"/>
        </w:rPr>
        <w:t xml:space="preserve">A VAR is stationary if all the roots of </w:t>
      </w:r>
      <w:r w:rsidRPr="00E452F7">
        <w:rPr>
          <w:rFonts w:ascii="Times New Roman" w:hAnsi="Times New Roman" w:cs="Times New Roman"/>
          <w:position w:val="-10"/>
        </w:rPr>
        <w:object w:dxaOrig="1020" w:dyaOrig="320" w14:anchorId="2C344F08">
          <v:shape id="_x0000_i1047" type="#_x0000_t75" style="width:51pt;height:16.5pt" o:ole="">
            <v:imagedata r:id="rId53" o:title=""/>
          </v:shape>
          <o:OLEObject Type="Embed" ProgID="Equation.DSMT4" ShapeID="_x0000_i1047" DrawAspect="Content" ObjectID="_1612878476" r:id="rId54"/>
        </w:object>
      </w:r>
      <w:r w:rsidRPr="00E452F7">
        <w:rPr>
          <w:rFonts w:ascii="Times New Roman" w:hAnsi="Times New Roman" w:cs="Times New Roman"/>
        </w:rPr>
        <w:t>lies outside the unit circle (Hamilton, 1994). Given P</w:t>
      </w:r>
      <w:r w:rsidRPr="00E452F7">
        <w:rPr>
          <w:rFonts w:ascii="Times New Roman" w:hAnsi="Times New Roman" w:cs="Times New Roman"/>
          <w:vertAlign w:val="superscript"/>
        </w:rPr>
        <w:t xml:space="preserve">th </w:t>
      </w:r>
      <w:r w:rsidRPr="00E452F7">
        <w:rPr>
          <w:rFonts w:ascii="Times New Roman" w:hAnsi="Times New Roman" w:cs="Times New Roman"/>
        </w:rPr>
        <w:t xml:space="preserve">–order VAR in the first order of VAR and the matrix of lag coefficients in the order </w:t>
      </w:r>
      <w:r w:rsidR="00253D0D" w:rsidRPr="00E452F7">
        <w:rPr>
          <w:rFonts w:ascii="Times New Roman" w:hAnsi="Times New Roman" w:cs="Times New Roman"/>
        </w:rPr>
        <w:t xml:space="preserve"> </w:t>
      </w:r>
      <w:r w:rsidRPr="00E452F7">
        <w:rPr>
          <w:rFonts w:ascii="Times New Roman" w:hAnsi="Times New Roman" w:cs="Times New Roman"/>
        </w:rPr>
        <w:t xml:space="preserve">representation is referred to as the companion matrix as shown below. The companion matrix is a convenient way to express any higher-order polynomial scalar or matrix, with lag operations or not as a first order </w:t>
      </w:r>
      <w:r w:rsidRPr="00E452F7">
        <w:rPr>
          <w:rFonts w:ascii="Times New Roman" w:hAnsi="Times New Roman" w:cs="Times New Roman"/>
        </w:rPr>
        <w:lastRenderedPageBreak/>
        <w:t xml:space="preserve">polynomial. Many proofs are more convenient in terms of the companion matrix than in the original, higher order form. </w:t>
      </w:r>
    </w:p>
    <w:p w14:paraId="0F490AE5" w14:textId="76E432D8" w:rsidR="0024304A" w:rsidRPr="00E452F7" w:rsidRDefault="0024304A" w:rsidP="00E452F7">
      <w:pPr>
        <w:spacing w:line="240" w:lineRule="auto"/>
        <w:jc w:val="both"/>
        <w:rPr>
          <w:rFonts w:ascii="Times New Roman" w:hAnsi="Times New Roman" w:cs="Times New Roman"/>
        </w:rPr>
      </w:pPr>
      <w:r w:rsidRPr="00E452F7">
        <w:rPr>
          <w:rFonts w:ascii="Times New Roman" w:hAnsi="Times New Roman" w:cs="Times New Roman"/>
        </w:rPr>
        <w:t xml:space="preserve">                                                   </w:t>
      </w:r>
      <w:r w:rsidRPr="00E452F7">
        <w:rPr>
          <w:rFonts w:ascii="Times New Roman" w:hAnsi="Times New Roman" w:cs="Times New Roman"/>
          <w:position w:val="-14"/>
        </w:rPr>
        <w:object w:dxaOrig="3100" w:dyaOrig="380" w14:anchorId="6DC8ACDC">
          <v:shape id="_x0000_i1048" type="#_x0000_t75" style="width:155.25pt;height:18.75pt" o:ole="">
            <v:imagedata r:id="rId55" o:title=""/>
          </v:shape>
          <o:OLEObject Type="Embed" ProgID="Equation.DSMT4" ShapeID="_x0000_i1048" DrawAspect="Content" ObjectID="_1612878477" r:id="rId56"/>
        </w:object>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t>3.12</w:t>
      </w:r>
    </w:p>
    <w:p w14:paraId="0033A59F" w14:textId="77777777" w:rsidR="0024304A" w:rsidRPr="00E452F7" w:rsidRDefault="0024304A" w:rsidP="00E452F7">
      <w:pPr>
        <w:spacing w:line="240" w:lineRule="auto"/>
        <w:jc w:val="both"/>
        <w:rPr>
          <w:rFonts w:ascii="Times New Roman" w:hAnsi="Times New Roman" w:cs="Times New Roman"/>
        </w:rPr>
      </w:pPr>
      <w:r w:rsidRPr="00E452F7">
        <w:rPr>
          <w:rFonts w:ascii="Times New Roman" w:hAnsi="Times New Roman" w:cs="Times New Roman"/>
        </w:rPr>
        <w:t>In the equation</w:t>
      </w:r>
      <w:r w:rsidRPr="00E452F7">
        <w:rPr>
          <w:rFonts w:ascii="Times New Roman" w:hAnsi="Times New Roman" w:cs="Times New Roman"/>
          <w:position w:val="-12"/>
        </w:rPr>
        <w:object w:dxaOrig="260" w:dyaOrig="360" w14:anchorId="469C74A6">
          <v:shape id="_x0000_i1049" type="#_x0000_t75" style="width:13.5pt;height:18pt" o:ole="">
            <v:imagedata r:id="rId57" o:title=""/>
          </v:shape>
          <o:OLEObject Type="Embed" ProgID="Equation.DSMT4" ShapeID="_x0000_i1049" DrawAspect="Content" ObjectID="_1612878478" r:id="rId58"/>
        </w:object>
      </w:r>
      <w:r w:rsidRPr="00E452F7">
        <w:rPr>
          <w:rFonts w:ascii="Times New Roman" w:hAnsi="Times New Roman" w:cs="Times New Roman"/>
        </w:rPr>
        <w:t xml:space="preserve"> is the n-element vector of endogenous variables. </w:t>
      </w:r>
    </w:p>
    <w:p w14:paraId="413A5AB5" w14:textId="5C0D210B" w:rsidR="0024304A" w:rsidRPr="00E452F7" w:rsidRDefault="0024304A" w:rsidP="00E452F7">
      <w:pPr>
        <w:spacing w:line="240" w:lineRule="auto"/>
        <w:jc w:val="both"/>
        <w:rPr>
          <w:rFonts w:ascii="Times New Roman" w:hAnsi="Times New Roman" w:cs="Times New Roman"/>
        </w:rPr>
      </w:pPr>
      <w:r w:rsidRPr="00E452F7">
        <w:rPr>
          <w:rFonts w:ascii="Times New Roman" w:hAnsi="Times New Roman" w:cs="Times New Roman"/>
        </w:rPr>
        <w:t xml:space="preserve">By transformation to a first order VAR, </w:t>
      </w:r>
      <w:r w:rsidR="00167456" w:rsidRPr="00E452F7">
        <w:rPr>
          <w:rFonts w:ascii="Times New Roman" w:hAnsi="Times New Roman" w:cs="Times New Roman"/>
        </w:rPr>
        <w:t>t</w:t>
      </w:r>
      <w:r w:rsidRPr="00E452F7">
        <w:rPr>
          <w:rFonts w:ascii="Times New Roman" w:hAnsi="Times New Roman" w:cs="Times New Roman"/>
        </w:rPr>
        <w:t xml:space="preserve">he transformation process is done by subtracting </w:t>
      </w:r>
      <w:r w:rsidRPr="00E452F7">
        <w:rPr>
          <w:rFonts w:ascii="Times New Roman" w:hAnsi="Times New Roman" w:cs="Times New Roman"/>
          <w:position w:val="-10"/>
        </w:rPr>
        <w:object w:dxaOrig="240" w:dyaOrig="260" w14:anchorId="1039FEFA">
          <v:shape id="_x0000_i1050" type="#_x0000_t75" style="width:12pt;height:13.5pt" o:ole="">
            <v:imagedata r:id="rId59" o:title=""/>
          </v:shape>
          <o:OLEObject Type="Embed" ProgID="Equation.DSMT4" ShapeID="_x0000_i1050" DrawAspect="Content" ObjectID="_1612878479" r:id="rId60"/>
        </w:object>
      </w:r>
      <w:r w:rsidRPr="00E452F7">
        <w:rPr>
          <w:rFonts w:ascii="Times New Roman" w:hAnsi="Times New Roman" w:cs="Times New Roman"/>
        </w:rPr>
        <w:t>(the vector of constant), from</w:t>
      </w:r>
      <w:r w:rsidRPr="00E452F7">
        <w:rPr>
          <w:rFonts w:ascii="Times New Roman" w:hAnsi="Times New Roman" w:cs="Times New Roman"/>
          <w:position w:val="-12"/>
        </w:rPr>
        <w:object w:dxaOrig="260" w:dyaOrig="360" w14:anchorId="1BF78594">
          <v:shape id="_x0000_i1051" type="#_x0000_t75" style="width:13.5pt;height:18pt" o:ole="">
            <v:imagedata r:id="rId61" o:title=""/>
          </v:shape>
          <o:OLEObject Type="Embed" ProgID="Equation.DSMT4" ShapeID="_x0000_i1051" DrawAspect="Content" ObjectID="_1612878480" r:id="rId62"/>
        </w:object>
      </w:r>
      <w:r w:rsidRPr="00E452F7">
        <w:rPr>
          <w:rFonts w:ascii="Times New Roman" w:hAnsi="Times New Roman" w:cs="Times New Roman"/>
        </w:rPr>
        <w:t xml:space="preserve">, then stacking the current and </w:t>
      </w:r>
      <w:r w:rsidRPr="00E452F7">
        <w:rPr>
          <w:rFonts w:ascii="Times New Roman" w:hAnsi="Times New Roman" w:cs="Times New Roman"/>
          <w:position w:val="-10"/>
        </w:rPr>
        <w:object w:dxaOrig="520" w:dyaOrig="320" w14:anchorId="01CC408F">
          <v:shape id="_x0000_i1052" type="#_x0000_t75" style="width:26.25pt;height:16.5pt" o:ole="">
            <v:imagedata r:id="rId63" o:title=""/>
          </v:shape>
          <o:OLEObject Type="Embed" ProgID="Equation.DSMT4" ShapeID="_x0000_i1052" DrawAspect="Content" ObjectID="_1612878481" r:id="rId64"/>
        </w:object>
      </w:r>
      <w:r w:rsidRPr="00E452F7">
        <w:rPr>
          <w:rFonts w:ascii="Times New Roman" w:hAnsi="Times New Roman" w:cs="Times New Roman"/>
        </w:rPr>
        <w:t xml:space="preserve">lags of this vector difference into an </w:t>
      </w:r>
      <w:r w:rsidRPr="00E452F7">
        <w:rPr>
          <w:rFonts w:ascii="Times New Roman" w:hAnsi="Times New Roman" w:cs="Times New Roman"/>
          <w:position w:val="-10"/>
        </w:rPr>
        <w:object w:dxaOrig="320" w:dyaOrig="260" w14:anchorId="13D54D7F">
          <v:shape id="_x0000_i1053" type="#_x0000_t75" style="width:16.5pt;height:13.5pt" o:ole="">
            <v:imagedata r:id="rId65" o:title=""/>
          </v:shape>
          <o:OLEObject Type="Embed" ProgID="Equation.DSMT4" ShapeID="_x0000_i1053" DrawAspect="Content" ObjectID="_1612878482" r:id="rId66"/>
        </w:object>
      </w:r>
      <w:r w:rsidR="00167456" w:rsidRPr="00E452F7">
        <w:rPr>
          <w:rFonts w:ascii="Times New Roman" w:hAnsi="Times New Roman" w:cs="Times New Roman"/>
        </w:rPr>
        <w:t xml:space="preserve">-element vector. </w:t>
      </w:r>
      <w:r w:rsidRPr="00E452F7">
        <w:rPr>
          <w:rFonts w:ascii="Times New Roman" w:hAnsi="Times New Roman" w:cs="Times New Roman"/>
        </w:rPr>
        <w:t>Finally, the first order VAR can be written as:</w:t>
      </w:r>
    </w:p>
    <w:p w14:paraId="76B6970F" w14:textId="29EEEA79" w:rsidR="0024304A" w:rsidRPr="00E452F7" w:rsidRDefault="0024304A" w:rsidP="00E452F7">
      <w:pPr>
        <w:spacing w:line="240" w:lineRule="auto"/>
        <w:jc w:val="both"/>
        <w:rPr>
          <w:rFonts w:ascii="Times New Roman" w:hAnsi="Times New Roman" w:cs="Times New Roman"/>
        </w:rPr>
      </w:pPr>
      <w:r w:rsidRPr="00E452F7">
        <w:rPr>
          <w:rFonts w:ascii="Times New Roman" w:hAnsi="Times New Roman" w:cs="Times New Roman"/>
        </w:rPr>
        <w:t xml:space="preserve">                                                                         </w:t>
      </w:r>
      <w:r w:rsidRPr="00E452F7">
        <w:rPr>
          <w:rFonts w:ascii="Times New Roman" w:hAnsi="Times New Roman" w:cs="Times New Roman"/>
          <w:position w:val="-12"/>
        </w:rPr>
        <w:object w:dxaOrig="1380" w:dyaOrig="380" w14:anchorId="0A64193D">
          <v:shape id="_x0000_i1054" type="#_x0000_t75" style="width:69pt;height:18.75pt" o:ole="">
            <v:imagedata r:id="rId67" o:title=""/>
          </v:shape>
          <o:OLEObject Type="Embed" ProgID="Equation.DSMT4" ShapeID="_x0000_i1054" DrawAspect="Content" ObjectID="_1612878483" r:id="rId68"/>
        </w:object>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r>
      <w:r w:rsidR="003C117B" w:rsidRPr="00E452F7">
        <w:rPr>
          <w:rFonts w:ascii="Times New Roman" w:hAnsi="Times New Roman" w:cs="Times New Roman"/>
        </w:rPr>
        <w:tab/>
        <w:t>3.13</w:t>
      </w:r>
    </w:p>
    <w:p w14:paraId="797D6C8D" w14:textId="174F7C5C" w:rsidR="00167456" w:rsidRPr="00E452F7" w:rsidRDefault="0024304A" w:rsidP="00E452F7">
      <w:pPr>
        <w:spacing w:line="240" w:lineRule="auto"/>
        <w:jc w:val="both"/>
        <w:rPr>
          <w:rFonts w:ascii="Times New Roman" w:hAnsi="Times New Roman" w:cs="Times New Roman"/>
        </w:rPr>
      </w:pPr>
      <w:r w:rsidRPr="00E452F7">
        <w:rPr>
          <w:rFonts w:ascii="Times New Roman" w:hAnsi="Times New Roman" w:cs="Times New Roman"/>
        </w:rPr>
        <w:t>From this equati</w:t>
      </w:r>
      <w:r w:rsidR="00F656C7" w:rsidRPr="00E452F7">
        <w:rPr>
          <w:rFonts w:ascii="Times New Roman" w:hAnsi="Times New Roman" w:cs="Times New Roman"/>
        </w:rPr>
        <w:t>on the stationarity test is perform</w:t>
      </w:r>
      <w:r w:rsidRPr="00E452F7">
        <w:rPr>
          <w:rFonts w:ascii="Times New Roman" w:hAnsi="Times New Roman" w:cs="Times New Roman"/>
        </w:rPr>
        <w:t>. The VAR is stationary if all the eigenvalues of the companion matrix</w:t>
      </w:r>
      <w:r w:rsidR="002E1D7B" w:rsidRPr="00E452F7">
        <w:rPr>
          <w:rFonts w:ascii="Times New Roman" w:hAnsi="Times New Roman" w:cs="Times New Roman"/>
        </w:rPr>
        <w:t xml:space="preserve"> lie inside the unit circle. VARS</w:t>
      </w:r>
      <w:r w:rsidRPr="00E452F7">
        <w:rPr>
          <w:rFonts w:ascii="Times New Roman" w:hAnsi="Times New Roman" w:cs="Times New Roman"/>
        </w:rPr>
        <w:t xml:space="preserve"> table will display a table of the eigenvalues. </w:t>
      </w:r>
    </w:p>
    <w:p w14:paraId="431913F2" w14:textId="43F332C0" w:rsidR="00CF559F" w:rsidRPr="00E452F7" w:rsidRDefault="00167456" w:rsidP="00E452F7">
      <w:pPr>
        <w:pStyle w:val="ListParagraph"/>
        <w:numPr>
          <w:ilvl w:val="0"/>
          <w:numId w:val="15"/>
        </w:numPr>
        <w:spacing w:after="0" w:line="240" w:lineRule="auto"/>
        <w:ind w:hanging="1080"/>
        <w:jc w:val="both"/>
        <w:rPr>
          <w:rFonts w:ascii="Times New Roman" w:hAnsi="Times New Roman" w:cs="Times New Roman"/>
          <w:b/>
        </w:rPr>
      </w:pPr>
      <w:r w:rsidRPr="00E452F7">
        <w:rPr>
          <w:rFonts w:ascii="Times New Roman" w:hAnsi="Times New Roman" w:cs="Times New Roman"/>
          <w:b/>
        </w:rPr>
        <w:t>Presentation of Results</w:t>
      </w:r>
    </w:p>
    <w:p w14:paraId="3D6309D7" w14:textId="77777777" w:rsidR="004442BF" w:rsidRPr="00E452F7" w:rsidRDefault="004442BF" w:rsidP="00E452F7">
      <w:pPr>
        <w:pStyle w:val="ListParagraph"/>
        <w:spacing w:after="0" w:line="240" w:lineRule="auto"/>
        <w:ind w:left="1080"/>
        <w:jc w:val="both"/>
        <w:rPr>
          <w:rFonts w:ascii="Times New Roman" w:hAnsi="Times New Roman" w:cs="Times New Roman"/>
          <w:b/>
        </w:rPr>
      </w:pPr>
    </w:p>
    <w:p w14:paraId="07BBB080" w14:textId="18CFA9BA" w:rsidR="002932BD" w:rsidRPr="00E452F7" w:rsidRDefault="00F656C7" w:rsidP="00E452F7">
      <w:pPr>
        <w:spacing w:after="0" w:line="240" w:lineRule="auto"/>
        <w:rPr>
          <w:rFonts w:ascii="Times New Roman" w:hAnsi="Times New Roman" w:cs="Times New Roman"/>
          <w:b/>
        </w:rPr>
      </w:pPr>
      <w:r w:rsidRPr="00E452F7">
        <w:rPr>
          <w:rFonts w:ascii="Times New Roman" w:hAnsi="Times New Roman" w:cs="Times New Roman"/>
          <w:b/>
        </w:rPr>
        <w:t>Table 1</w:t>
      </w:r>
      <w:r w:rsidRPr="00E452F7">
        <w:rPr>
          <w:rFonts w:ascii="Times New Roman" w:hAnsi="Times New Roman" w:cs="Times New Roman"/>
          <w:b/>
        </w:rPr>
        <w:tab/>
      </w:r>
      <w:r w:rsidR="002932BD" w:rsidRPr="00E452F7">
        <w:rPr>
          <w:rFonts w:ascii="Times New Roman" w:hAnsi="Times New Roman" w:cs="Times New Roman"/>
          <w:b/>
        </w:rPr>
        <w:t>Unit Root Table</w:t>
      </w:r>
    </w:p>
    <w:tbl>
      <w:tblPr>
        <w:tblStyle w:val="LightShading"/>
        <w:tblW w:w="0" w:type="auto"/>
        <w:tblLook w:val="06A0" w:firstRow="1" w:lastRow="0" w:firstColumn="1" w:lastColumn="0" w:noHBand="1" w:noVBand="1"/>
      </w:tblPr>
      <w:tblGrid>
        <w:gridCol w:w="1806"/>
        <w:gridCol w:w="2784"/>
        <w:gridCol w:w="2511"/>
        <w:gridCol w:w="2254"/>
      </w:tblGrid>
      <w:tr w:rsidR="00ED68A7" w:rsidRPr="00E452F7" w14:paraId="05FFE8DA" w14:textId="77777777" w:rsidTr="004442BF">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06" w:type="dxa"/>
          </w:tcPr>
          <w:p w14:paraId="466EDF63"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Variables</w:t>
            </w:r>
          </w:p>
        </w:tc>
        <w:tc>
          <w:tcPr>
            <w:tcW w:w="2784" w:type="dxa"/>
          </w:tcPr>
          <w:p w14:paraId="267CBE58" w14:textId="26A3BA78" w:rsidR="00ED68A7" w:rsidRPr="00E452F7" w:rsidRDefault="00167456" w:rsidP="00E452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452F7">
              <w:rPr>
                <w:rFonts w:ascii="Times New Roman" w:hAnsi="Times New Roman" w:cs="Times New Roman"/>
                <w:b w:val="0"/>
              </w:rPr>
              <w:t>ADF</w:t>
            </w:r>
            <w:r w:rsidR="00ED68A7" w:rsidRPr="00E452F7">
              <w:rPr>
                <w:rFonts w:ascii="Times New Roman" w:hAnsi="Times New Roman" w:cs="Times New Roman"/>
                <w:b w:val="0"/>
              </w:rPr>
              <w:t xml:space="preserve"> Test statistics</w:t>
            </w:r>
          </w:p>
        </w:tc>
        <w:tc>
          <w:tcPr>
            <w:tcW w:w="2511" w:type="dxa"/>
          </w:tcPr>
          <w:p w14:paraId="1A9F0698" w14:textId="7A9F4B29" w:rsidR="00ED68A7" w:rsidRPr="00E452F7" w:rsidRDefault="00167456" w:rsidP="00E452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452F7">
              <w:rPr>
                <w:rFonts w:ascii="Times New Roman" w:hAnsi="Times New Roman" w:cs="Times New Roman"/>
                <w:b w:val="0"/>
              </w:rPr>
              <w:t xml:space="preserve">PP </w:t>
            </w:r>
            <w:r w:rsidR="00ED68A7" w:rsidRPr="00E452F7">
              <w:rPr>
                <w:rFonts w:ascii="Times New Roman" w:hAnsi="Times New Roman" w:cs="Times New Roman"/>
                <w:b w:val="0"/>
              </w:rPr>
              <w:t>Test Statistics</w:t>
            </w:r>
          </w:p>
        </w:tc>
        <w:tc>
          <w:tcPr>
            <w:tcW w:w="2254" w:type="dxa"/>
          </w:tcPr>
          <w:p w14:paraId="61CCB9C7" w14:textId="77777777" w:rsidR="00ED68A7" w:rsidRPr="00E452F7" w:rsidRDefault="00ED68A7" w:rsidP="00E452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452F7">
              <w:rPr>
                <w:rFonts w:ascii="Times New Roman" w:hAnsi="Times New Roman" w:cs="Times New Roman"/>
                <w:b w:val="0"/>
              </w:rPr>
              <w:t>Order of Integration</w:t>
            </w:r>
          </w:p>
        </w:tc>
      </w:tr>
      <w:tr w:rsidR="00ED68A7" w:rsidRPr="00E452F7" w14:paraId="1CD824B8" w14:textId="77777777" w:rsidTr="004442BF">
        <w:tc>
          <w:tcPr>
            <w:cnfStyle w:val="001000000000" w:firstRow="0" w:lastRow="0" w:firstColumn="1" w:lastColumn="0" w:oddVBand="0" w:evenVBand="0" w:oddHBand="0" w:evenHBand="0" w:firstRowFirstColumn="0" w:firstRowLastColumn="0" w:lastRowFirstColumn="0" w:lastRowLastColumn="0"/>
            <w:tcW w:w="1806" w:type="dxa"/>
          </w:tcPr>
          <w:p w14:paraId="4594B9B4"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GDP</w:t>
            </w:r>
          </w:p>
        </w:tc>
        <w:tc>
          <w:tcPr>
            <w:tcW w:w="2784" w:type="dxa"/>
          </w:tcPr>
          <w:p w14:paraId="75A5054E" w14:textId="77777777" w:rsidR="00ED68A7" w:rsidRPr="00E452F7" w:rsidRDefault="00775E57"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-5.6028885</w:t>
            </w:r>
          </w:p>
        </w:tc>
        <w:tc>
          <w:tcPr>
            <w:tcW w:w="2511" w:type="dxa"/>
          </w:tcPr>
          <w:p w14:paraId="56C97626" w14:textId="77777777" w:rsidR="00ED68A7" w:rsidRPr="00E452F7" w:rsidRDefault="00C82BC1"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-5.602812</w:t>
            </w:r>
          </w:p>
        </w:tc>
        <w:tc>
          <w:tcPr>
            <w:tcW w:w="2254" w:type="dxa"/>
          </w:tcPr>
          <w:p w14:paraId="09C6708A"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I(1)</w:t>
            </w:r>
          </w:p>
        </w:tc>
      </w:tr>
      <w:tr w:rsidR="00ED68A7" w:rsidRPr="00E452F7" w14:paraId="70377791" w14:textId="77777777" w:rsidTr="004442BF">
        <w:tc>
          <w:tcPr>
            <w:cnfStyle w:val="001000000000" w:firstRow="0" w:lastRow="0" w:firstColumn="1" w:lastColumn="0" w:oddVBand="0" w:evenVBand="0" w:oddHBand="0" w:evenHBand="0" w:firstRowFirstColumn="0" w:firstRowLastColumn="0" w:lastRowFirstColumn="0" w:lastRowLastColumn="0"/>
            <w:tcW w:w="1806" w:type="dxa"/>
          </w:tcPr>
          <w:p w14:paraId="2B055E5E"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EXC</w:t>
            </w:r>
          </w:p>
        </w:tc>
        <w:tc>
          <w:tcPr>
            <w:tcW w:w="2784" w:type="dxa"/>
          </w:tcPr>
          <w:p w14:paraId="0802067B" w14:textId="77777777" w:rsidR="00ED68A7" w:rsidRPr="00E452F7" w:rsidRDefault="009167E4"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-5.377034</w:t>
            </w:r>
          </w:p>
        </w:tc>
        <w:tc>
          <w:tcPr>
            <w:tcW w:w="2511" w:type="dxa"/>
          </w:tcPr>
          <w:p w14:paraId="50BF575A" w14:textId="77777777" w:rsidR="00ED68A7" w:rsidRPr="00E452F7" w:rsidRDefault="00E3171C"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-5.377034</w:t>
            </w:r>
          </w:p>
        </w:tc>
        <w:tc>
          <w:tcPr>
            <w:tcW w:w="2254" w:type="dxa"/>
          </w:tcPr>
          <w:p w14:paraId="5786FA26"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I(1)</w:t>
            </w:r>
          </w:p>
        </w:tc>
      </w:tr>
      <w:tr w:rsidR="00ED68A7" w:rsidRPr="00E452F7" w14:paraId="4EC50021" w14:textId="77777777" w:rsidTr="004442BF">
        <w:tc>
          <w:tcPr>
            <w:cnfStyle w:val="001000000000" w:firstRow="0" w:lastRow="0" w:firstColumn="1" w:lastColumn="0" w:oddVBand="0" w:evenVBand="0" w:oddHBand="0" w:evenHBand="0" w:firstRowFirstColumn="0" w:firstRowLastColumn="0" w:lastRowFirstColumn="0" w:lastRowLastColumn="0"/>
            <w:tcW w:w="1806" w:type="dxa"/>
          </w:tcPr>
          <w:p w14:paraId="1AF2E7DE"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EMP</w:t>
            </w:r>
          </w:p>
        </w:tc>
        <w:tc>
          <w:tcPr>
            <w:tcW w:w="2784" w:type="dxa"/>
          </w:tcPr>
          <w:p w14:paraId="73B60297" w14:textId="77777777" w:rsidR="00ED68A7" w:rsidRPr="00E452F7" w:rsidRDefault="009167E4"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-6.431402</w:t>
            </w:r>
          </w:p>
        </w:tc>
        <w:tc>
          <w:tcPr>
            <w:tcW w:w="2511" w:type="dxa"/>
          </w:tcPr>
          <w:p w14:paraId="288E5DFB" w14:textId="77777777" w:rsidR="00ED68A7" w:rsidRPr="00E452F7" w:rsidRDefault="00E3171C"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-6.391498</w:t>
            </w:r>
          </w:p>
        </w:tc>
        <w:tc>
          <w:tcPr>
            <w:tcW w:w="2254" w:type="dxa"/>
          </w:tcPr>
          <w:p w14:paraId="78B83B39"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I(1)</w:t>
            </w:r>
          </w:p>
        </w:tc>
      </w:tr>
      <w:tr w:rsidR="00ED68A7" w:rsidRPr="00E452F7" w14:paraId="5992A177" w14:textId="77777777" w:rsidTr="004442BF">
        <w:tc>
          <w:tcPr>
            <w:cnfStyle w:val="001000000000" w:firstRow="0" w:lastRow="0" w:firstColumn="1" w:lastColumn="0" w:oddVBand="0" w:evenVBand="0" w:oddHBand="0" w:evenHBand="0" w:firstRowFirstColumn="0" w:firstRowLastColumn="0" w:lastRowFirstColumn="0" w:lastRowLastColumn="0"/>
            <w:tcW w:w="1806" w:type="dxa"/>
          </w:tcPr>
          <w:p w14:paraId="76A2C6BB"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CPI</w:t>
            </w:r>
          </w:p>
        </w:tc>
        <w:tc>
          <w:tcPr>
            <w:tcW w:w="2784" w:type="dxa"/>
          </w:tcPr>
          <w:p w14:paraId="5DAEDE7B" w14:textId="77777777" w:rsidR="00ED68A7" w:rsidRPr="00E452F7" w:rsidRDefault="009167E4"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-6.415443</w:t>
            </w:r>
          </w:p>
        </w:tc>
        <w:tc>
          <w:tcPr>
            <w:tcW w:w="2511" w:type="dxa"/>
          </w:tcPr>
          <w:p w14:paraId="1899F9EA" w14:textId="77777777" w:rsidR="00ED68A7" w:rsidRPr="00E452F7" w:rsidRDefault="00E3171C"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-6.466610</w:t>
            </w:r>
          </w:p>
        </w:tc>
        <w:tc>
          <w:tcPr>
            <w:tcW w:w="2254" w:type="dxa"/>
          </w:tcPr>
          <w:p w14:paraId="661548B1"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I(1)</w:t>
            </w:r>
          </w:p>
        </w:tc>
      </w:tr>
      <w:tr w:rsidR="00ED68A7" w:rsidRPr="00E452F7" w14:paraId="297AC4B6" w14:textId="77777777" w:rsidTr="004442BF">
        <w:tc>
          <w:tcPr>
            <w:cnfStyle w:val="001000000000" w:firstRow="0" w:lastRow="0" w:firstColumn="1" w:lastColumn="0" w:oddVBand="0" w:evenVBand="0" w:oddHBand="0" w:evenHBand="0" w:firstRowFirstColumn="0" w:firstRowLastColumn="0" w:lastRowFirstColumn="0" w:lastRowLastColumn="0"/>
            <w:tcW w:w="1806" w:type="dxa"/>
          </w:tcPr>
          <w:p w14:paraId="69493309"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OIL</w:t>
            </w:r>
          </w:p>
        </w:tc>
        <w:tc>
          <w:tcPr>
            <w:tcW w:w="2784" w:type="dxa"/>
          </w:tcPr>
          <w:p w14:paraId="3837D42F"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-4.441103</w:t>
            </w:r>
          </w:p>
        </w:tc>
        <w:tc>
          <w:tcPr>
            <w:tcW w:w="2511" w:type="dxa"/>
          </w:tcPr>
          <w:p w14:paraId="50D3E8D6" w14:textId="77777777" w:rsidR="00ED68A7" w:rsidRPr="00E452F7" w:rsidRDefault="00E3171C"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-4.371544</w:t>
            </w:r>
          </w:p>
        </w:tc>
        <w:tc>
          <w:tcPr>
            <w:tcW w:w="2254" w:type="dxa"/>
          </w:tcPr>
          <w:p w14:paraId="6C984ACE"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I(1)</w:t>
            </w:r>
          </w:p>
        </w:tc>
      </w:tr>
      <w:tr w:rsidR="00ED68A7" w:rsidRPr="00E452F7" w14:paraId="0422D1AF" w14:textId="77777777" w:rsidTr="004442BF">
        <w:tc>
          <w:tcPr>
            <w:cnfStyle w:val="001000000000" w:firstRow="0" w:lastRow="0" w:firstColumn="1" w:lastColumn="0" w:oddVBand="0" w:evenVBand="0" w:oddHBand="0" w:evenHBand="0" w:firstRowFirstColumn="0" w:firstRowLastColumn="0" w:lastRowFirstColumn="0" w:lastRowLastColumn="0"/>
            <w:tcW w:w="1806" w:type="dxa"/>
            <w:tcBorders>
              <w:bottom w:val="double" w:sz="4" w:space="0" w:color="auto"/>
            </w:tcBorders>
          </w:tcPr>
          <w:p w14:paraId="65D947F7" w14:textId="77777777" w:rsidR="00ED68A7" w:rsidRPr="00E452F7" w:rsidRDefault="00ED68A7" w:rsidP="00E452F7">
            <w:pPr>
              <w:rPr>
                <w:rFonts w:ascii="Times New Roman" w:hAnsi="Times New Roman" w:cs="Times New Roman"/>
                <w:b w:val="0"/>
              </w:rPr>
            </w:pPr>
            <w:r w:rsidRPr="00E452F7">
              <w:rPr>
                <w:rFonts w:ascii="Times New Roman" w:hAnsi="Times New Roman" w:cs="Times New Roman"/>
                <w:b w:val="0"/>
              </w:rPr>
              <w:t>INT</w:t>
            </w:r>
          </w:p>
        </w:tc>
        <w:tc>
          <w:tcPr>
            <w:tcW w:w="2784" w:type="dxa"/>
            <w:tcBorders>
              <w:bottom w:val="double" w:sz="4" w:space="0" w:color="auto"/>
            </w:tcBorders>
          </w:tcPr>
          <w:p w14:paraId="5BAAC45E" w14:textId="77777777" w:rsidR="00ED68A7" w:rsidRPr="00E452F7" w:rsidRDefault="00775E57"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-6.386385</w:t>
            </w:r>
          </w:p>
        </w:tc>
        <w:tc>
          <w:tcPr>
            <w:tcW w:w="2511" w:type="dxa"/>
            <w:tcBorders>
              <w:bottom w:val="double" w:sz="4" w:space="0" w:color="auto"/>
            </w:tcBorders>
          </w:tcPr>
          <w:p w14:paraId="413C2ABB" w14:textId="77777777" w:rsidR="00ED68A7" w:rsidRPr="00E452F7" w:rsidRDefault="00C82BC1"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-7.930789</w:t>
            </w:r>
          </w:p>
        </w:tc>
        <w:tc>
          <w:tcPr>
            <w:tcW w:w="2254" w:type="dxa"/>
            <w:tcBorders>
              <w:bottom w:val="double" w:sz="4" w:space="0" w:color="auto"/>
            </w:tcBorders>
          </w:tcPr>
          <w:p w14:paraId="3C4026F1" w14:textId="77777777" w:rsidR="00ED68A7" w:rsidRPr="00E452F7" w:rsidRDefault="00D708E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rPr>
              <w:t>I(1)</w:t>
            </w:r>
          </w:p>
        </w:tc>
      </w:tr>
    </w:tbl>
    <w:p w14:paraId="46D2C9CA" w14:textId="237BF7F5" w:rsidR="00D77D2D" w:rsidRPr="00E452F7" w:rsidRDefault="00036D8B" w:rsidP="00E452F7">
      <w:pPr>
        <w:spacing w:after="0" w:line="240" w:lineRule="auto"/>
        <w:rPr>
          <w:rFonts w:ascii="Times New Roman" w:hAnsi="Times New Roman" w:cs="Times New Roman"/>
        </w:rPr>
      </w:pPr>
      <w:r w:rsidRPr="00E452F7">
        <w:rPr>
          <w:rFonts w:ascii="Times New Roman" w:hAnsi="Times New Roman" w:cs="Times New Roman"/>
        </w:rPr>
        <w:t>Sour</w:t>
      </w:r>
      <w:r w:rsidR="00152E77" w:rsidRPr="00E452F7">
        <w:rPr>
          <w:rFonts w:ascii="Times New Roman" w:hAnsi="Times New Roman" w:cs="Times New Roman"/>
        </w:rPr>
        <w:t xml:space="preserve">ce: Author’s Computation </w:t>
      </w:r>
      <w:r w:rsidR="00623D22" w:rsidRPr="00E452F7">
        <w:rPr>
          <w:rFonts w:ascii="Times New Roman" w:hAnsi="Times New Roman" w:cs="Times New Roman"/>
        </w:rPr>
        <w:t>using E views 10</w:t>
      </w:r>
    </w:p>
    <w:p w14:paraId="631C2C38" w14:textId="6655DD80" w:rsidR="0070694B" w:rsidRPr="00E452F7" w:rsidRDefault="003C117B" w:rsidP="00E452F7">
      <w:pPr>
        <w:spacing w:before="240" w:line="240" w:lineRule="auto"/>
        <w:jc w:val="both"/>
        <w:rPr>
          <w:rFonts w:ascii="Times New Roman" w:hAnsi="Times New Roman" w:cs="Times New Roman"/>
        </w:rPr>
      </w:pPr>
      <w:r w:rsidRPr="00E452F7">
        <w:rPr>
          <w:rFonts w:ascii="Times New Roman" w:hAnsi="Times New Roman" w:cs="Times New Roman"/>
        </w:rPr>
        <w:t>Table 1 presents the Augmented</w:t>
      </w:r>
      <w:r w:rsidR="008F084E" w:rsidRPr="00E452F7">
        <w:rPr>
          <w:rFonts w:ascii="Times New Roman" w:hAnsi="Times New Roman" w:cs="Times New Roman"/>
        </w:rPr>
        <w:t xml:space="preserve"> Dickey Fuller (ADF) and Phillips-</w:t>
      </w:r>
      <w:r w:rsidRPr="00E452F7">
        <w:rPr>
          <w:rFonts w:ascii="Times New Roman" w:hAnsi="Times New Roman" w:cs="Times New Roman"/>
        </w:rPr>
        <w:t>Perron (PP) unit root tests of the series. The null hypothesis</w:t>
      </w:r>
      <w:r w:rsidR="00B241FE" w:rsidRPr="00E452F7">
        <w:rPr>
          <w:rFonts w:ascii="Times New Roman" w:hAnsi="Times New Roman" w:cs="Times New Roman"/>
        </w:rPr>
        <w:t xml:space="preserve"> </w:t>
      </w:r>
      <w:r w:rsidRPr="00E452F7">
        <w:rPr>
          <w:rFonts w:ascii="Times New Roman" w:hAnsi="Times New Roman" w:cs="Times New Roman"/>
        </w:rPr>
        <w:t xml:space="preserve">that the series are not stationary </w:t>
      </w:r>
      <w:r w:rsidR="00B241FE" w:rsidRPr="00E452F7">
        <w:rPr>
          <w:rFonts w:ascii="Times New Roman" w:hAnsi="Times New Roman" w:cs="Times New Roman"/>
        </w:rPr>
        <w:t xml:space="preserve">in level form </w:t>
      </w:r>
      <w:r w:rsidRPr="00E452F7">
        <w:rPr>
          <w:rFonts w:ascii="Times New Roman" w:hAnsi="Times New Roman" w:cs="Times New Roman"/>
        </w:rPr>
        <w:t>at 5 pe</w:t>
      </w:r>
      <w:r w:rsidR="00B241FE" w:rsidRPr="00E452F7">
        <w:rPr>
          <w:rFonts w:ascii="Times New Roman" w:hAnsi="Times New Roman" w:cs="Times New Roman"/>
        </w:rPr>
        <w:t xml:space="preserve">r cent significance level is tested in both ADF and PP. The hypothesis is rejected, however, the null hypothesis is not rejected in first difference form. It was concluded that the observed series </w:t>
      </w:r>
      <w:r w:rsidR="00ED3909" w:rsidRPr="00E452F7">
        <w:rPr>
          <w:rFonts w:ascii="Times New Roman" w:hAnsi="Times New Roman" w:cs="Times New Roman"/>
        </w:rPr>
        <w:t>GDP, EXC, EMP, CPI, OIL and INT were</w:t>
      </w:r>
      <w:r w:rsidR="00F656C7" w:rsidRPr="00E452F7">
        <w:rPr>
          <w:rFonts w:ascii="Times New Roman" w:hAnsi="Times New Roman" w:cs="Times New Roman"/>
        </w:rPr>
        <w:t xml:space="preserve"> not</w:t>
      </w:r>
      <w:r w:rsidR="00ED3909" w:rsidRPr="00E452F7">
        <w:rPr>
          <w:rFonts w:ascii="Times New Roman" w:hAnsi="Times New Roman" w:cs="Times New Roman"/>
        </w:rPr>
        <w:t xml:space="preserve"> stationary at 5 percent le</w:t>
      </w:r>
      <w:r w:rsidR="00F656C7" w:rsidRPr="00E452F7">
        <w:rPr>
          <w:rFonts w:ascii="Times New Roman" w:hAnsi="Times New Roman" w:cs="Times New Roman"/>
        </w:rPr>
        <w:t>vel of significance</w:t>
      </w:r>
      <w:r w:rsidR="00B241FE" w:rsidRPr="00E452F7">
        <w:rPr>
          <w:rFonts w:ascii="Times New Roman" w:hAnsi="Times New Roman" w:cs="Times New Roman"/>
        </w:rPr>
        <w:t xml:space="preserve"> in level form</w:t>
      </w:r>
      <w:r w:rsidR="00ED3909" w:rsidRPr="00E452F7">
        <w:rPr>
          <w:rFonts w:ascii="Times New Roman" w:hAnsi="Times New Roman" w:cs="Times New Roman"/>
        </w:rPr>
        <w:t xml:space="preserve">. </w:t>
      </w:r>
      <w:r w:rsidR="00B241FE" w:rsidRPr="00E452F7">
        <w:rPr>
          <w:rFonts w:ascii="Times New Roman" w:hAnsi="Times New Roman" w:cs="Times New Roman"/>
        </w:rPr>
        <w:t>Though</w:t>
      </w:r>
      <w:r w:rsidR="00F656C7" w:rsidRPr="00E452F7">
        <w:rPr>
          <w:rFonts w:ascii="Times New Roman" w:hAnsi="Times New Roman" w:cs="Times New Roman"/>
        </w:rPr>
        <w:t>,</w:t>
      </w:r>
      <w:r w:rsidR="00ED3909" w:rsidRPr="00E452F7">
        <w:rPr>
          <w:rFonts w:ascii="Times New Roman" w:hAnsi="Times New Roman" w:cs="Times New Roman"/>
        </w:rPr>
        <w:t xml:space="preserve"> the </w:t>
      </w:r>
      <w:r w:rsidR="00F656C7" w:rsidRPr="00E452F7">
        <w:rPr>
          <w:rFonts w:ascii="Times New Roman" w:hAnsi="Times New Roman" w:cs="Times New Roman"/>
        </w:rPr>
        <w:t xml:space="preserve">all the </w:t>
      </w:r>
      <w:r w:rsidR="00ED3909" w:rsidRPr="00E452F7">
        <w:rPr>
          <w:rFonts w:ascii="Times New Roman" w:hAnsi="Times New Roman" w:cs="Times New Roman"/>
        </w:rPr>
        <w:t>variable became sta</w:t>
      </w:r>
      <w:r w:rsidR="00F656C7" w:rsidRPr="00E452F7">
        <w:rPr>
          <w:rFonts w:ascii="Times New Roman" w:hAnsi="Times New Roman" w:cs="Times New Roman"/>
        </w:rPr>
        <w:t xml:space="preserve">tionary at the first </w:t>
      </w:r>
      <w:r w:rsidR="00ED3909" w:rsidRPr="00E452F7">
        <w:rPr>
          <w:rFonts w:ascii="Times New Roman" w:hAnsi="Times New Roman" w:cs="Times New Roman"/>
        </w:rPr>
        <w:t xml:space="preserve">differencing. </w:t>
      </w:r>
    </w:p>
    <w:p w14:paraId="41471404" w14:textId="5C5B226D" w:rsidR="00167456" w:rsidRPr="00E452F7" w:rsidRDefault="00F656C7" w:rsidP="00E452F7">
      <w:pPr>
        <w:autoSpaceDE w:val="0"/>
        <w:autoSpaceDN w:val="0"/>
        <w:adjustRightInd w:val="0"/>
        <w:spacing w:after="0" w:line="240" w:lineRule="auto"/>
        <w:rPr>
          <w:rFonts w:ascii="Times New Roman" w:hAnsi="Times New Roman" w:cs="Times New Roman"/>
          <w:b/>
        </w:rPr>
      </w:pPr>
      <w:r w:rsidRPr="00E452F7">
        <w:rPr>
          <w:rFonts w:ascii="Times New Roman" w:hAnsi="Times New Roman" w:cs="Times New Roman"/>
          <w:b/>
        </w:rPr>
        <w:t>Table 2</w:t>
      </w:r>
      <w:r w:rsidRPr="00E452F7">
        <w:rPr>
          <w:rFonts w:ascii="Times New Roman" w:hAnsi="Times New Roman" w:cs="Times New Roman"/>
          <w:b/>
        </w:rPr>
        <w:tab/>
      </w:r>
      <w:r w:rsidR="0070694B" w:rsidRPr="00E452F7">
        <w:rPr>
          <w:rFonts w:ascii="Times New Roman" w:hAnsi="Times New Roman" w:cs="Times New Roman"/>
          <w:b/>
        </w:rPr>
        <w:t>Co-integration Test</w:t>
      </w:r>
    </w:p>
    <w:tbl>
      <w:tblPr>
        <w:tblStyle w:val="LightShading"/>
        <w:tblW w:w="0" w:type="auto"/>
        <w:tblLook w:val="06A0" w:firstRow="1" w:lastRow="0" w:firstColumn="1" w:lastColumn="0" w:noHBand="1" w:noVBand="1"/>
      </w:tblPr>
      <w:tblGrid>
        <w:gridCol w:w="1870"/>
        <w:gridCol w:w="1870"/>
        <w:gridCol w:w="1870"/>
        <w:gridCol w:w="1870"/>
        <w:gridCol w:w="1870"/>
      </w:tblGrid>
      <w:tr w:rsidR="0070694B" w:rsidRPr="00E452F7" w14:paraId="1683D9A1" w14:textId="77777777" w:rsidTr="00A82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bottom w:val="single" w:sz="4" w:space="0" w:color="auto"/>
            </w:tcBorders>
          </w:tcPr>
          <w:p w14:paraId="70876D95" w14:textId="22F8429C" w:rsidR="0070694B" w:rsidRPr="00E452F7" w:rsidRDefault="0070694B" w:rsidP="00E452F7">
            <w:pPr>
              <w:rPr>
                <w:rFonts w:ascii="Times New Roman" w:hAnsi="Times New Roman" w:cs="Times New Roman"/>
                <w:b w:val="0"/>
              </w:rPr>
            </w:pPr>
            <w:r w:rsidRPr="00E452F7">
              <w:rPr>
                <w:rFonts w:ascii="Times New Roman" w:hAnsi="Times New Roman" w:cs="Times New Roman"/>
                <w:b w:val="0"/>
                <w:color w:val="000000"/>
              </w:rPr>
              <w:t>Unrestricted Co-integration Rank Test (Trace)</w:t>
            </w:r>
          </w:p>
        </w:tc>
      </w:tr>
      <w:tr w:rsidR="00167456" w:rsidRPr="00E452F7" w14:paraId="3E78AE97" w14:textId="77777777" w:rsidTr="00A82F01">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bottom w:val="single" w:sz="4" w:space="0" w:color="auto"/>
            </w:tcBorders>
          </w:tcPr>
          <w:p w14:paraId="1365399B" w14:textId="3F036D3E" w:rsidR="00167456" w:rsidRPr="00E452F7" w:rsidRDefault="0070694B" w:rsidP="00E452F7">
            <w:pPr>
              <w:rPr>
                <w:rFonts w:ascii="Times New Roman" w:hAnsi="Times New Roman" w:cs="Times New Roman"/>
                <w:b w:val="0"/>
              </w:rPr>
            </w:pPr>
            <w:r w:rsidRPr="00E452F7">
              <w:rPr>
                <w:rFonts w:ascii="Times New Roman" w:hAnsi="Times New Roman" w:cs="Times New Roman"/>
                <w:b w:val="0"/>
                <w:color w:val="000000"/>
              </w:rPr>
              <w:t xml:space="preserve">Hypothesized </w:t>
            </w:r>
            <w:r w:rsidR="00167456" w:rsidRPr="00E452F7">
              <w:rPr>
                <w:rFonts w:ascii="Times New Roman" w:hAnsi="Times New Roman" w:cs="Times New Roman"/>
                <w:b w:val="0"/>
                <w:color w:val="000000"/>
              </w:rPr>
              <w:t>No. of CE(s)</w:t>
            </w:r>
          </w:p>
        </w:tc>
        <w:tc>
          <w:tcPr>
            <w:tcW w:w="1870" w:type="dxa"/>
            <w:tcBorders>
              <w:top w:val="single" w:sz="4" w:space="0" w:color="auto"/>
              <w:bottom w:val="single" w:sz="4" w:space="0" w:color="auto"/>
            </w:tcBorders>
          </w:tcPr>
          <w:p w14:paraId="2D5FAA0E" w14:textId="32A0CA57"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Eigenvalue</w:t>
            </w:r>
          </w:p>
        </w:tc>
        <w:tc>
          <w:tcPr>
            <w:tcW w:w="1870" w:type="dxa"/>
            <w:tcBorders>
              <w:top w:val="single" w:sz="4" w:space="0" w:color="auto"/>
              <w:bottom w:val="single" w:sz="4" w:space="0" w:color="auto"/>
            </w:tcBorders>
          </w:tcPr>
          <w:p w14:paraId="4A0B9E25" w14:textId="3A087976" w:rsidR="00167456"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xml:space="preserve">Trace </w:t>
            </w:r>
            <w:r w:rsidR="00167456" w:rsidRPr="00E452F7">
              <w:rPr>
                <w:rFonts w:ascii="Times New Roman" w:hAnsi="Times New Roman" w:cs="Times New Roman"/>
                <w:color w:val="000000"/>
              </w:rPr>
              <w:t>Statistic</w:t>
            </w:r>
          </w:p>
        </w:tc>
        <w:tc>
          <w:tcPr>
            <w:tcW w:w="1870" w:type="dxa"/>
            <w:tcBorders>
              <w:top w:val="single" w:sz="4" w:space="0" w:color="auto"/>
              <w:bottom w:val="single" w:sz="4" w:space="0" w:color="auto"/>
            </w:tcBorders>
          </w:tcPr>
          <w:p w14:paraId="3ABEE116" w14:textId="6E06CED5" w:rsidR="00167456"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xml:space="preserve">0.05 </w:t>
            </w:r>
            <w:r w:rsidR="00167456" w:rsidRPr="00E452F7">
              <w:rPr>
                <w:rFonts w:ascii="Times New Roman" w:hAnsi="Times New Roman" w:cs="Times New Roman"/>
                <w:color w:val="000000"/>
              </w:rPr>
              <w:t>Critical Value</w:t>
            </w:r>
          </w:p>
        </w:tc>
        <w:tc>
          <w:tcPr>
            <w:tcW w:w="1870" w:type="dxa"/>
            <w:tcBorders>
              <w:top w:val="single" w:sz="4" w:space="0" w:color="auto"/>
              <w:bottom w:val="single" w:sz="4" w:space="0" w:color="auto"/>
            </w:tcBorders>
          </w:tcPr>
          <w:p w14:paraId="47CDD532" w14:textId="7E02AE3D"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Prob.**</w:t>
            </w:r>
          </w:p>
        </w:tc>
      </w:tr>
      <w:tr w:rsidR="00167456" w:rsidRPr="00E452F7" w14:paraId="6BDF6E19" w14:textId="77777777" w:rsidTr="00A82F01">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tcBorders>
          </w:tcPr>
          <w:p w14:paraId="5A85E7A5" w14:textId="47E3605B" w:rsidR="00167456" w:rsidRPr="00E452F7" w:rsidRDefault="00167456" w:rsidP="00E452F7">
            <w:pPr>
              <w:rPr>
                <w:rFonts w:ascii="Times New Roman" w:hAnsi="Times New Roman" w:cs="Times New Roman"/>
                <w:b w:val="0"/>
              </w:rPr>
            </w:pPr>
            <w:r w:rsidRPr="00E452F7">
              <w:rPr>
                <w:rFonts w:ascii="Times New Roman" w:hAnsi="Times New Roman" w:cs="Times New Roman"/>
                <w:b w:val="0"/>
                <w:color w:val="000000"/>
              </w:rPr>
              <w:t>None *</w:t>
            </w:r>
          </w:p>
        </w:tc>
        <w:tc>
          <w:tcPr>
            <w:tcW w:w="1870" w:type="dxa"/>
            <w:tcBorders>
              <w:top w:val="single" w:sz="4" w:space="0" w:color="auto"/>
            </w:tcBorders>
          </w:tcPr>
          <w:p w14:paraId="5E149C73" w14:textId="78F4692F"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0.835325</w:t>
            </w:r>
          </w:p>
        </w:tc>
        <w:tc>
          <w:tcPr>
            <w:tcW w:w="1870" w:type="dxa"/>
            <w:tcBorders>
              <w:top w:val="single" w:sz="4" w:space="0" w:color="auto"/>
            </w:tcBorders>
          </w:tcPr>
          <w:p w14:paraId="57C2DD1D" w14:textId="53742004"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136.1945</w:t>
            </w:r>
          </w:p>
        </w:tc>
        <w:tc>
          <w:tcPr>
            <w:tcW w:w="1870" w:type="dxa"/>
            <w:tcBorders>
              <w:top w:val="single" w:sz="4" w:space="0" w:color="auto"/>
            </w:tcBorders>
          </w:tcPr>
          <w:p w14:paraId="69A98C9B" w14:textId="28FD21AE"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95.75366</w:t>
            </w:r>
          </w:p>
        </w:tc>
        <w:tc>
          <w:tcPr>
            <w:tcW w:w="1870" w:type="dxa"/>
            <w:tcBorders>
              <w:top w:val="single" w:sz="4" w:space="0" w:color="auto"/>
            </w:tcBorders>
          </w:tcPr>
          <w:p w14:paraId="288405CE" w14:textId="1201DD17"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0.0000</w:t>
            </w:r>
          </w:p>
        </w:tc>
      </w:tr>
      <w:tr w:rsidR="00167456" w:rsidRPr="00E452F7" w14:paraId="034AF7F4"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6376AA70" w14:textId="6E16EF27" w:rsidR="00167456" w:rsidRPr="00E452F7" w:rsidRDefault="00167456" w:rsidP="00E452F7">
            <w:pPr>
              <w:rPr>
                <w:rFonts w:ascii="Times New Roman" w:hAnsi="Times New Roman" w:cs="Times New Roman"/>
                <w:b w:val="0"/>
                <w:color w:val="000000"/>
              </w:rPr>
            </w:pPr>
            <w:r w:rsidRPr="00E452F7">
              <w:rPr>
                <w:rFonts w:ascii="Times New Roman" w:hAnsi="Times New Roman" w:cs="Times New Roman"/>
                <w:b w:val="0"/>
                <w:color w:val="000000"/>
              </w:rPr>
              <w:t>At most 1 *</w:t>
            </w:r>
          </w:p>
        </w:tc>
        <w:tc>
          <w:tcPr>
            <w:tcW w:w="1870" w:type="dxa"/>
          </w:tcPr>
          <w:p w14:paraId="5A7576CF" w14:textId="00E1AF20"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0.664448</w:t>
            </w:r>
          </w:p>
        </w:tc>
        <w:tc>
          <w:tcPr>
            <w:tcW w:w="1870" w:type="dxa"/>
          </w:tcPr>
          <w:p w14:paraId="675BC128" w14:textId="6D07FDB8"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82.08118</w:t>
            </w:r>
          </w:p>
        </w:tc>
        <w:tc>
          <w:tcPr>
            <w:tcW w:w="1870" w:type="dxa"/>
          </w:tcPr>
          <w:p w14:paraId="460E1331" w14:textId="669D644B"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69.81889</w:t>
            </w:r>
          </w:p>
        </w:tc>
        <w:tc>
          <w:tcPr>
            <w:tcW w:w="1870" w:type="dxa"/>
          </w:tcPr>
          <w:p w14:paraId="25031BB7" w14:textId="3F1D7E91"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0.0038</w:t>
            </w:r>
          </w:p>
        </w:tc>
      </w:tr>
      <w:tr w:rsidR="00167456" w:rsidRPr="00E452F7" w14:paraId="01502606"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6835858D" w14:textId="7ACF6DA5" w:rsidR="00167456" w:rsidRPr="00E452F7" w:rsidRDefault="00167456" w:rsidP="00E452F7">
            <w:pPr>
              <w:rPr>
                <w:rFonts w:ascii="Times New Roman" w:hAnsi="Times New Roman" w:cs="Times New Roman"/>
                <w:b w:val="0"/>
                <w:color w:val="000000"/>
              </w:rPr>
            </w:pPr>
            <w:r w:rsidRPr="00E452F7">
              <w:rPr>
                <w:rFonts w:ascii="Times New Roman" w:hAnsi="Times New Roman" w:cs="Times New Roman"/>
                <w:b w:val="0"/>
                <w:color w:val="000000"/>
              </w:rPr>
              <w:t>At most 2 *</w:t>
            </w:r>
          </w:p>
        </w:tc>
        <w:tc>
          <w:tcPr>
            <w:tcW w:w="1870" w:type="dxa"/>
          </w:tcPr>
          <w:p w14:paraId="68516037" w14:textId="02AE5F5D"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0.621353</w:t>
            </w:r>
          </w:p>
        </w:tc>
        <w:tc>
          <w:tcPr>
            <w:tcW w:w="1870" w:type="dxa"/>
          </w:tcPr>
          <w:p w14:paraId="14E510B3" w14:textId="768D1A92"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49.32182</w:t>
            </w:r>
          </w:p>
        </w:tc>
        <w:tc>
          <w:tcPr>
            <w:tcW w:w="1870" w:type="dxa"/>
          </w:tcPr>
          <w:p w14:paraId="32BE5A07" w14:textId="1E413E31"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47.85613</w:t>
            </w:r>
          </w:p>
        </w:tc>
        <w:tc>
          <w:tcPr>
            <w:tcW w:w="1870" w:type="dxa"/>
          </w:tcPr>
          <w:p w14:paraId="4B907E75" w14:textId="47FB9E9D"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0.0362</w:t>
            </w:r>
          </w:p>
        </w:tc>
      </w:tr>
      <w:tr w:rsidR="00167456" w:rsidRPr="00E452F7" w14:paraId="38F7BD97"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3BBE83AC" w14:textId="13310E45" w:rsidR="00167456" w:rsidRPr="00E452F7" w:rsidRDefault="00167456" w:rsidP="00E452F7">
            <w:pPr>
              <w:rPr>
                <w:rFonts w:ascii="Times New Roman" w:hAnsi="Times New Roman" w:cs="Times New Roman"/>
                <w:b w:val="0"/>
                <w:color w:val="000000"/>
              </w:rPr>
            </w:pPr>
            <w:r w:rsidRPr="00E452F7">
              <w:rPr>
                <w:rFonts w:ascii="Times New Roman" w:hAnsi="Times New Roman" w:cs="Times New Roman"/>
                <w:b w:val="0"/>
                <w:color w:val="000000"/>
              </w:rPr>
              <w:t>At most 3</w:t>
            </w:r>
          </w:p>
        </w:tc>
        <w:tc>
          <w:tcPr>
            <w:tcW w:w="1870" w:type="dxa"/>
          </w:tcPr>
          <w:p w14:paraId="16CE3D8C" w14:textId="5BFD1A52"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0.291337</w:t>
            </w:r>
          </w:p>
        </w:tc>
        <w:tc>
          <w:tcPr>
            <w:tcW w:w="1870" w:type="dxa"/>
          </w:tcPr>
          <w:p w14:paraId="011BD218" w14:textId="17E7B0E8"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20.18726</w:t>
            </w:r>
          </w:p>
        </w:tc>
        <w:tc>
          <w:tcPr>
            <w:tcW w:w="1870" w:type="dxa"/>
          </w:tcPr>
          <w:p w14:paraId="235798F8" w14:textId="2E7A6416"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29.79707</w:t>
            </w:r>
          </w:p>
        </w:tc>
        <w:tc>
          <w:tcPr>
            <w:tcW w:w="1870" w:type="dxa"/>
          </w:tcPr>
          <w:p w14:paraId="7294290D" w14:textId="285E757D"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0.4102</w:t>
            </w:r>
          </w:p>
        </w:tc>
      </w:tr>
      <w:tr w:rsidR="00167456" w:rsidRPr="00E452F7" w14:paraId="7A7701BB"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04FF7517" w14:textId="428A6216" w:rsidR="00167456" w:rsidRPr="00E452F7" w:rsidRDefault="00167456" w:rsidP="00E452F7">
            <w:pPr>
              <w:rPr>
                <w:rFonts w:ascii="Times New Roman" w:hAnsi="Times New Roman" w:cs="Times New Roman"/>
                <w:b w:val="0"/>
                <w:color w:val="000000"/>
              </w:rPr>
            </w:pPr>
            <w:r w:rsidRPr="00E452F7">
              <w:rPr>
                <w:rFonts w:ascii="Times New Roman" w:hAnsi="Times New Roman" w:cs="Times New Roman"/>
                <w:b w:val="0"/>
                <w:color w:val="000000"/>
              </w:rPr>
              <w:t>At most 4</w:t>
            </w:r>
          </w:p>
        </w:tc>
        <w:tc>
          <w:tcPr>
            <w:tcW w:w="1870" w:type="dxa"/>
          </w:tcPr>
          <w:p w14:paraId="573BB956" w14:textId="51E1C945"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0.236829</w:t>
            </w:r>
          </w:p>
        </w:tc>
        <w:tc>
          <w:tcPr>
            <w:tcW w:w="1870" w:type="dxa"/>
          </w:tcPr>
          <w:p w14:paraId="29420B1C" w14:textId="5DF34FC1"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9.856002</w:t>
            </w:r>
          </w:p>
        </w:tc>
        <w:tc>
          <w:tcPr>
            <w:tcW w:w="1870" w:type="dxa"/>
          </w:tcPr>
          <w:p w14:paraId="65B0F61B" w14:textId="5A478A56"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15.49471</w:t>
            </w:r>
          </w:p>
        </w:tc>
        <w:tc>
          <w:tcPr>
            <w:tcW w:w="1870" w:type="dxa"/>
          </w:tcPr>
          <w:p w14:paraId="50DE47D8" w14:textId="0592DC50"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0.2920</w:t>
            </w:r>
          </w:p>
        </w:tc>
      </w:tr>
      <w:tr w:rsidR="00167456" w:rsidRPr="00E452F7" w14:paraId="14E92F98"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64551B94" w14:textId="50D3A7D8" w:rsidR="00167456" w:rsidRPr="00E452F7" w:rsidRDefault="00167456" w:rsidP="00E452F7">
            <w:pPr>
              <w:rPr>
                <w:rFonts w:ascii="Times New Roman" w:hAnsi="Times New Roman" w:cs="Times New Roman"/>
                <w:b w:val="0"/>
                <w:color w:val="000000"/>
              </w:rPr>
            </w:pPr>
            <w:r w:rsidRPr="00E452F7">
              <w:rPr>
                <w:rFonts w:ascii="Times New Roman" w:hAnsi="Times New Roman" w:cs="Times New Roman"/>
                <w:b w:val="0"/>
                <w:color w:val="000000"/>
              </w:rPr>
              <w:t>At most 5</w:t>
            </w:r>
          </w:p>
        </w:tc>
        <w:tc>
          <w:tcPr>
            <w:tcW w:w="1870" w:type="dxa"/>
          </w:tcPr>
          <w:p w14:paraId="300FF6FA" w14:textId="62DAEA33"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0.056596</w:t>
            </w:r>
          </w:p>
        </w:tc>
        <w:tc>
          <w:tcPr>
            <w:tcW w:w="1870" w:type="dxa"/>
          </w:tcPr>
          <w:p w14:paraId="6F82921C" w14:textId="0357937A"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1.747812</w:t>
            </w:r>
          </w:p>
        </w:tc>
        <w:tc>
          <w:tcPr>
            <w:tcW w:w="1870" w:type="dxa"/>
          </w:tcPr>
          <w:p w14:paraId="7F2C2C56" w14:textId="51C166D7"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3.841466</w:t>
            </w:r>
          </w:p>
        </w:tc>
        <w:tc>
          <w:tcPr>
            <w:tcW w:w="1870" w:type="dxa"/>
          </w:tcPr>
          <w:p w14:paraId="5CADDC4C" w14:textId="039336CD" w:rsidR="00167456" w:rsidRPr="00E452F7" w:rsidRDefault="00167456"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0.1862</w:t>
            </w:r>
          </w:p>
        </w:tc>
      </w:tr>
      <w:tr w:rsidR="0070694B" w:rsidRPr="00E452F7" w14:paraId="16A7B7F8" w14:textId="77777777" w:rsidTr="004442BF">
        <w:tc>
          <w:tcPr>
            <w:cnfStyle w:val="001000000000" w:firstRow="0" w:lastRow="0" w:firstColumn="1" w:lastColumn="0" w:oddVBand="0" w:evenVBand="0" w:oddHBand="0" w:evenHBand="0" w:firstRowFirstColumn="0" w:firstRowLastColumn="0" w:lastRowFirstColumn="0" w:lastRowLastColumn="0"/>
            <w:tcW w:w="9350" w:type="dxa"/>
            <w:gridSpan w:val="5"/>
            <w:tcBorders>
              <w:bottom w:val="single" w:sz="4" w:space="0" w:color="auto"/>
            </w:tcBorders>
          </w:tcPr>
          <w:p w14:paraId="7D99F70D" w14:textId="76BF5127" w:rsidR="0070694B" w:rsidRPr="00E452F7" w:rsidRDefault="0070694B" w:rsidP="00E452F7">
            <w:pPr>
              <w:rPr>
                <w:rFonts w:ascii="Times New Roman" w:hAnsi="Times New Roman" w:cs="Times New Roman"/>
                <w:b w:val="0"/>
                <w:i/>
                <w:color w:val="000000"/>
              </w:rPr>
            </w:pPr>
            <w:r w:rsidRPr="00E452F7">
              <w:rPr>
                <w:rFonts w:ascii="Times New Roman" w:hAnsi="Times New Roman" w:cs="Times New Roman"/>
                <w:b w:val="0"/>
                <w:i/>
                <w:color w:val="000000"/>
              </w:rPr>
              <w:t>Trace test indicates 3 cointegrating eqn(s) at the 0.05 level</w:t>
            </w:r>
          </w:p>
        </w:tc>
      </w:tr>
      <w:tr w:rsidR="0070694B" w:rsidRPr="00E452F7" w14:paraId="5F3B72D7" w14:textId="77777777" w:rsidTr="004442BF">
        <w:tc>
          <w:tcPr>
            <w:cnfStyle w:val="001000000000" w:firstRow="0" w:lastRow="0" w:firstColumn="1" w:lastColumn="0" w:oddVBand="0" w:evenVBand="0" w:oddHBand="0" w:evenHBand="0" w:firstRowFirstColumn="0" w:firstRowLastColumn="0" w:lastRowFirstColumn="0" w:lastRowLastColumn="0"/>
            <w:tcW w:w="9350" w:type="dxa"/>
            <w:gridSpan w:val="5"/>
            <w:tcBorders>
              <w:top w:val="single" w:sz="4" w:space="0" w:color="auto"/>
              <w:bottom w:val="single" w:sz="4" w:space="0" w:color="auto"/>
            </w:tcBorders>
          </w:tcPr>
          <w:p w14:paraId="739611F2" w14:textId="4605E326"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Unrestricted Cointegration Rank Test (Maximum Eigenvalue)</w:t>
            </w:r>
          </w:p>
        </w:tc>
      </w:tr>
      <w:tr w:rsidR="0070694B" w:rsidRPr="00E452F7" w14:paraId="6324F78A" w14:textId="77777777" w:rsidTr="004442BF">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bottom w:val="single" w:sz="4" w:space="0" w:color="auto"/>
            </w:tcBorders>
          </w:tcPr>
          <w:p w14:paraId="542BEB96" w14:textId="3A2EF50A"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Hypothesized No. of CE(s)</w:t>
            </w:r>
          </w:p>
        </w:tc>
        <w:tc>
          <w:tcPr>
            <w:tcW w:w="1870" w:type="dxa"/>
            <w:tcBorders>
              <w:top w:val="single" w:sz="4" w:space="0" w:color="auto"/>
              <w:bottom w:val="single" w:sz="4" w:space="0" w:color="auto"/>
            </w:tcBorders>
          </w:tcPr>
          <w:p w14:paraId="33F9CB62" w14:textId="79427FAE"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Eigenvalue</w:t>
            </w:r>
          </w:p>
        </w:tc>
        <w:tc>
          <w:tcPr>
            <w:tcW w:w="1870" w:type="dxa"/>
            <w:tcBorders>
              <w:top w:val="single" w:sz="4" w:space="0" w:color="auto"/>
              <w:bottom w:val="single" w:sz="4" w:space="0" w:color="auto"/>
            </w:tcBorders>
          </w:tcPr>
          <w:p w14:paraId="10FC4C0A" w14:textId="16F0BBA6"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Max- Eigen Statistic</w:t>
            </w:r>
          </w:p>
        </w:tc>
        <w:tc>
          <w:tcPr>
            <w:tcW w:w="1870" w:type="dxa"/>
            <w:tcBorders>
              <w:top w:val="single" w:sz="4" w:space="0" w:color="auto"/>
              <w:bottom w:val="single" w:sz="4" w:space="0" w:color="auto"/>
            </w:tcBorders>
          </w:tcPr>
          <w:p w14:paraId="39FDE284" w14:textId="33E83B5B"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0.05 Critical Value</w:t>
            </w:r>
          </w:p>
        </w:tc>
        <w:tc>
          <w:tcPr>
            <w:tcW w:w="1870" w:type="dxa"/>
            <w:tcBorders>
              <w:top w:val="single" w:sz="4" w:space="0" w:color="auto"/>
              <w:bottom w:val="single" w:sz="4" w:space="0" w:color="auto"/>
            </w:tcBorders>
          </w:tcPr>
          <w:p w14:paraId="5BE7B559" w14:textId="3719B4CF"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Prob.**</w:t>
            </w:r>
          </w:p>
        </w:tc>
      </w:tr>
      <w:tr w:rsidR="0070694B" w:rsidRPr="00E452F7" w14:paraId="39BE4DB8" w14:textId="77777777" w:rsidTr="004442BF">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tcBorders>
          </w:tcPr>
          <w:p w14:paraId="5A3C34E0" w14:textId="703A4655"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None *</w:t>
            </w:r>
          </w:p>
        </w:tc>
        <w:tc>
          <w:tcPr>
            <w:tcW w:w="1870" w:type="dxa"/>
            <w:tcBorders>
              <w:top w:val="single" w:sz="4" w:space="0" w:color="auto"/>
            </w:tcBorders>
          </w:tcPr>
          <w:p w14:paraId="52C561F2" w14:textId="06A9229E"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0.835325</w:t>
            </w:r>
          </w:p>
        </w:tc>
        <w:tc>
          <w:tcPr>
            <w:tcW w:w="1870" w:type="dxa"/>
            <w:tcBorders>
              <w:top w:val="single" w:sz="4" w:space="0" w:color="auto"/>
            </w:tcBorders>
          </w:tcPr>
          <w:p w14:paraId="794B6251" w14:textId="21A1C511"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54.11336</w:t>
            </w:r>
          </w:p>
        </w:tc>
        <w:tc>
          <w:tcPr>
            <w:tcW w:w="1870" w:type="dxa"/>
            <w:tcBorders>
              <w:top w:val="single" w:sz="4" w:space="0" w:color="auto"/>
            </w:tcBorders>
          </w:tcPr>
          <w:p w14:paraId="5C07C2B9" w14:textId="5611E375"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40.07757</w:t>
            </w:r>
          </w:p>
        </w:tc>
        <w:tc>
          <w:tcPr>
            <w:tcW w:w="1870" w:type="dxa"/>
            <w:tcBorders>
              <w:top w:val="single" w:sz="4" w:space="0" w:color="auto"/>
            </w:tcBorders>
          </w:tcPr>
          <w:p w14:paraId="30C61271" w14:textId="074FE7E2"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0.0007</w:t>
            </w:r>
          </w:p>
        </w:tc>
      </w:tr>
      <w:tr w:rsidR="0070694B" w:rsidRPr="00E452F7" w14:paraId="06FC472A"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55CF8AB1" w14:textId="1F7F7D8E"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At most 1</w:t>
            </w:r>
          </w:p>
        </w:tc>
        <w:tc>
          <w:tcPr>
            <w:tcW w:w="1870" w:type="dxa"/>
          </w:tcPr>
          <w:p w14:paraId="16088464" w14:textId="790069C1"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0.664448</w:t>
            </w:r>
          </w:p>
        </w:tc>
        <w:tc>
          <w:tcPr>
            <w:tcW w:w="1870" w:type="dxa"/>
          </w:tcPr>
          <w:p w14:paraId="5FCBACDE" w14:textId="1FE601A8"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32.75936</w:t>
            </w:r>
          </w:p>
        </w:tc>
        <w:tc>
          <w:tcPr>
            <w:tcW w:w="1870" w:type="dxa"/>
          </w:tcPr>
          <w:p w14:paraId="23B3B7DD" w14:textId="55DA5D47"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33.87687</w:t>
            </w:r>
          </w:p>
        </w:tc>
        <w:tc>
          <w:tcPr>
            <w:tcW w:w="1870" w:type="dxa"/>
          </w:tcPr>
          <w:p w14:paraId="40A14C63" w14:textId="35393F11"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0.0675</w:t>
            </w:r>
          </w:p>
        </w:tc>
      </w:tr>
      <w:tr w:rsidR="0070694B" w:rsidRPr="00E452F7" w14:paraId="41074B93"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3801EA38" w14:textId="70353395"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lastRenderedPageBreak/>
              <w:t>At most 2 *</w:t>
            </w:r>
          </w:p>
        </w:tc>
        <w:tc>
          <w:tcPr>
            <w:tcW w:w="1870" w:type="dxa"/>
          </w:tcPr>
          <w:p w14:paraId="3C8328BB" w14:textId="4408D51D"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0.621353</w:t>
            </w:r>
          </w:p>
        </w:tc>
        <w:tc>
          <w:tcPr>
            <w:tcW w:w="1870" w:type="dxa"/>
          </w:tcPr>
          <w:p w14:paraId="0EBE653A" w14:textId="21E48849"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29.13456</w:t>
            </w:r>
          </w:p>
        </w:tc>
        <w:tc>
          <w:tcPr>
            <w:tcW w:w="1870" w:type="dxa"/>
          </w:tcPr>
          <w:p w14:paraId="393E2D00" w14:textId="574D2EB0"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27.58434</w:t>
            </w:r>
          </w:p>
        </w:tc>
        <w:tc>
          <w:tcPr>
            <w:tcW w:w="1870" w:type="dxa"/>
          </w:tcPr>
          <w:p w14:paraId="2151250E" w14:textId="4704EB6E"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0.0314</w:t>
            </w:r>
          </w:p>
        </w:tc>
      </w:tr>
      <w:tr w:rsidR="0070694B" w:rsidRPr="00E452F7" w14:paraId="38724D9A"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61CF99B8" w14:textId="1417E630"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At most 3</w:t>
            </w:r>
          </w:p>
        </w:tc>
        <w:tc>
          <w:tcPr>
            <w:tcW w:w="1870" w:type="dxa"/>
          </w:tcPr>
          <w:p w14:paraId="74491430" w14:textId="73E67FB9"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0.291337</w:t>
            </w:r>
          </w:p>
        </w:tc>
        <w:tc>
          <w:tcPr>
            <w:tcW w:w="1870" w:type="dxa"/>
          </w:tcPr>
          <w:p w14:paraId="3298684E" w14:textId="6CBED690"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10.33126</w:t>
            </w:r>
          </w:p>
        </w:tc>
        <w:tc>
          <w:tcPr>
            <w:tcW w:w="1870" w:type="dxa"/>
          </w:tcPr>
          <w:p w14:paraId="1BE63D59" w14:textId="703A43FA"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21.13162</w:t>
            </w:r>
          </w:p>
        </w:tc>
        <w:tc>
          <w:tcPr>
            <w:tcW w:w="1870" w:type="dxa"/>
          </w:tcPr>
          <w:p w14:paraId="6ACC3DF8" w14:textId="064EBCCB"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0.7130</w:t>
            </w:r>
          </w:p>
        </w:tc>
      </w:tr>
      <w:tr w:rsidR="0070694B" w:rsidRPr="00E452F7" w14:paraId="31977641"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55C9A636" w14:textId="1AA0657F"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At most 4</w:t>
            </w:r>
          </w:p>
        </w:tc>
        <w:tc>
          <w:tcPr>
            <w:tcW w:w="1870" w:type="dxa"/>
          </w:tcPr>
          <w:p w14:paraId="33FA51BD" w14:textId="1662705D"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0.236829</w:t>
            </w:r>
          </w:p>
        </w:tc>
        <w:tc>
          <w:tcPr>
            <w:tcW w:w="1870" w:type="dxa"/>
          </w:tcPr>
          <w:p w14:paraId="251E9D9F" w14:textId="597D4E3D"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8.108189</w:t>
            </w:r>
          </w:p>
        </w:tc>
        <w:tc>
          <w:tcPr>
            <w:tcW w:w="1870" w:type="dxa"/>
          </w:tcPr>
          <w:p w14:paraId="2291AE10" w14:textId="372F6BAD"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14.26460</w:t>
            </w:r>
          </w:p>
        </w:tc>
        <w:tc>
          <w:tcPr>
            <w:tcW w:w="1870" w:type="dxa"/>
          </w:tcPr>
          <w:p w14:paraId="49CF525C" w14:textId="3142ACCE"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0.3678</w:t>
            </w:r>
          </w:p>
        </w:tc>
      </w:tr>
      <w:tr w:rsidR="0070694B" w:rsidRPr="00E452F7" w14:paraId="30A6C2EE" w14:textId="77777777" w:rsidTr="00A82F01">
        <w:tc>
          <w:tcPr>
            <w:cnfStyle w:val="001000000000" w:firstRow="0" w:lastRow="0" w:firstColumn="1" w:lastColumn="0" w:oddVBand="0" w:evenVBand="0" w:oddHBand="0" w:evenHBand="0" w:firstRowFirstColumn="0" w:firstRowLastColumn="0" w:lastRowFirstColumn="0" w:lastRowLastColumn="0"/>
            <w:tcW w:w="1870" w:type="dxa"/>
          </w:tcPr>
          <w:p w14:paraId="2317851C" w14:textId="0890F457" w:rsidR="0070694B" w:rsidRPr="00E452F7" w:rsidRDefault="0070694B" w:rsidP="00E452F7">
            <w:pPr>
              <w:rPr>
                <w:rFonts w:ascii="Times New Roman" w:hAnsi="Times New Roman" w:cs="Times New Roman"/>
                <w:b w:val="0"/>
                <w:color w:val="000000"/>
              </w:rPr>
            </w:pPr>
            <w:r w:rsidRPr="00E452F7">
              <w:rPr>
                <w:rFonts w:ascii="Times New Roman" w:hAnsi="Times New Roman" w:cs="Times New Roman"/>
                <w:b w:val="0"/>
                <w:color w:val="000000"/>
              </w:rPr>
              <w:t>At most 5</w:t>
            </w:r>
          </w:p>
        </w:tc>
        <w:tc>
          <w:tcPr>
            <w:tcW w:w="1870" w:type="dxa"/>
          </w:tcPr>
          <w:p w14:paraId="585A4089" w14:textId="3BFA52D8"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0.056596</w:t>
            </w:r>
          </w:p>
        </w:tc>
        <w:tc>
          <w:tcPr>
            <w:tcW w:w="1870" w:type="dxa"/>
          </w:tcPr>
          <w:p w14:paraId="196ABEE8" w14:textId="0D490CE0"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1.747812</w:t>
            </w:r>
          </w:p>
        </w:tc>
        <w:tc>
          <w:tcPr>
            <w:tcW w:w="1870" w:type="dxa"/>
          </w:tcPr>
          <w:p w14:paraId="2F2A9CC7" w14:textId="467FB023"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3.841466</w:t>
            </w:r>
          </w:p>
        </w:tc>
        <w:tc>
          <w:tcPr>
            <w:tcW w:w="1870" w:type="dxa"/>
          </w:tcPr>
          <w:p w14:paraId="10CD579C" w14:textId="2B95027C"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0.1862</w:t>
            </w:r>
          </w:p>
        </w:tc>
      </w:tr>
      <w:tr w:rsidR="00036715" w:rsidRPr="00E452F7" w14:paraId="681DA6AF" w14:textId="77777777" w:rsidTr="00A82F01">
        <w:tc>
          <w:tcPr>
            <w:cnfStyle w:val="001000000000" w:firstRow="0" w:lastRow="0" w:firstColumn="1" w:lastColumn="0" w:oddVBand="0" w:evenVBand="0" w:oddHBand="0" w:evenHBand="0" w:firstRowFirstColumn="0" w:firstRowLastColumn="0" w:lastRowFirstColumn="0" w:lastRowLastColumn="0"/>
            <w:tcW w:w="9350" w:type="dxa"/>
            <w:gridSpan w:val="5"/>
          </w:tcPr>
          <w:p w14:paraId="61968FF5" w14:textId="16724436" w:rsidR="00036715" w:rsidRPr="00E452F7" w:rsidRDefault="00036715" w:rsidP="00E452F7">
            <w:pPr>
              <w:rPr>
                <w:rFonts w:ascii="Times New Roman" w:hAnsi="Times New Roman" w:cs="Times New Roman"/>
                <w:b w:val="0"/>
                <w:i/>
                <w:color w:val="000000"/>
              </w:rPr>
            </w:pPr>
            <w:r w:rsidRPr="00E452F7">
              <w:rPr>
                <w:rFonts w:ascii="Times New Roman" w:hAnsi="Times New Roman" w:cs="Times New Roman"/>
                <w:b w:val="0"/>
                <w:i/>
                <w:color w:val="000000"/>
              </w:rPr>
              <w:t>Max-eigenvalue test indicates 1 cointegrating eqn(s) at the 0.05 level</w:t>
            </w:r>
          </w:p>
        </w:tc>
      </w:tr>
    </w:tbl>
    <w:p w14:paraId="5FB8C676" w14:textId="3E953425" w:rsidR="00623D22" w:rsidRPr="00E452F7" w:rsidRDefault="003C117B" w:rsidP="00E452F7">
      <w:pPr>
        <w:spacing w:line="240" w:lineRule="auto"/>
        <w:jc w:val="both"/>
        <w:rPr>
          <w:rFonts w:ascii="Times New Roman" w:hAnsi="Times New Roman" w:cs="Times New Roman"/>
        </w:rPr>
      </w:pPr>
      <w:r w:rsidRPr="00E452F7">
        <w:rPr>
          <w:rFonts w:ascii="Times New Roman" w:hAnsi="Times New Roman" w:cs="Times New Roman"/>
        </w:rPr>
        <w:t>Source: Authors’ Computation from Eviews 10</w:t>
      </w:r>
    </w:p>
    <w:p w14:paraId="0BECFF31" w14:textId="455E42FD" w:rsidR="00B241FE" w:rsidRPr="00E452F7" w:rsidRDefault="00374C4B" w:rsidP="00E452F7">
      <w:pPr>
        <w:spacing w:line="240" w:lineRule="auto"/>
        <w:jc w:val="both"/>
        <w:rPr>
          <w:rFonts w:ascii="Times New Roman" w:hAnsi="Times New Roman" w:cs="Times New Roman"/>
        </w:rPr>
      </w:pPr>
      <w:r w:rsidRPr="00E452F7">
        <w:rPr>
          <w:rFonts w:ascii="Times New Roman" w:hAnsi="Times New Roman" w:cs="Times New Roman"/>
        </w:rPr>
        <w:t xml:space="preserve">Table 2 presents the cointegration result; the null hypothesis is that there is no cointegrating vectors among the series. This null hypothesis is rejected at the level of 5 percent significance level by both the trace and maximum Eigenvalue. The trace statistics shows the presence of three cointegrating vectors while the maximum eigenvalue indicate just one cointegrating vector. This study follows the indication of maximum eigenvalue, since it is more preferable in small samples.   </w:t>
      </w:r>
      <w:r w:rsidR="00F656C7" w:rsidRPr="00E452F7">
        <w:rPr>
          <w:rFonts w:ascii="Times New Roman" w:hAnsi="Times New Roman" w:cs="Times New Roman"/>
        </w:rPr>
        <w:t>(Asaleye, Okodua, Oloni &amp; Ogunjobi, 2017)</w:t>
      </w:r>
      <w:r w:rsidR="0070694B" w:rsidRPr="00E452F7">
        <w:rPr>
          <w:rFonts w:ascii="Times New Roman" w:hAnsi="Times New Roman" w:cs="Times New Roman"/>
        </w:rPr>
        <w:t xml:space="preserve">. </w:t>
      </w:r>
    </w:p>
    <w:p w14:paraId="68739D3F" w14:textId="286A2A7E" w:rsidR="00256693" w:rsidRPr="00E452F7" w:rsidRDefault="00256693" w:rsidP="00E452F7">
      <w:pPr>
        <w:spacing w:after="0" w:line="240" w:lineRule="auto"/>
        <w:jc w:val="both"/>
        <w:rPr>
          <w:rFonts w:ascii="Times New Roman" w:hAnsi="Times New Roman" w:cs="Times New Roman"/>
          <w:b/>
        </w:rPr>
      </w:pPr>
      <w:r w:rsidRPr="00E452F7">
        <w:rPr>
          <w:rFonts w:ascii="Times New Roman" w:hAnsi="Times New Roman" w:cs="Times New Roman"/>
          <w:b/>
        </w:rPr>
        <w:t>Table</w:t>
      </w:r>
      <w:r w:rsidR="00F656C7" w:rsidRPr="00E452F7">
        <w:rPr>
          <w:rFonts w:ascii="Times New Roman" w:hAnsi="Times New Roman" w:cs="Times New Roman"/>
          <w:b/>
        </w:rPr>
        <w:t xml:space="preserve"> 3</w:t>
      </w:r>
      <w:r w:rsidR="00AB4AC5" w:rsidRPr="00E452F7">
        <w:rPr>
          <w:rFonts w:ascii="Times New Roman" w:hAnsi="Times New Roman" w:cs="Times New Roman"/>
          <w:b/>
        </w:rPr>
        <w:tab/>
      </w:r>
      <w:r w:rsidRPr="00E452F7">
        <w:rPr>
          <w:rFonts w:ascii="Times New Roman" w:hAnsi="Times New Roman" w:cs="Times New Roman"/>
          <w:b/>
        </w:rPr>
        <w:t>Normalized Co-integrating Coefficients</w:t>
      </w:r>
    </w:p>
    <w:tbl>
      <w:tblPr>
        <w:tblStyle w:val="LightShading"/>
        <w:tblW w:w="9355" w:type="dxa"/>
        <w:tblLook w:val="06A0" w:firstRow="1" w:lastRow="0" w:firstColumn="1" w:lastColumn="0" w:noHBand="1" w:noVBand="1"/>
      </w:tblPr>
      <w:tblGrid>
        <w:gridCol w:w="1525"/>
        <w:gridCol w:w="1530"/>
        <w:gridCol w:w="1440"/>
        <w:gridCol w:w="1440"/>
        <w:gridCol w:w="1440"/>
        <w:gridCol w:w="1980"/>
      </w:tblGrid>
      <w:tr w:rsidR="00E37C9E" w:rsidRPr="00E452F7" w14:paraId="247B7BB3" w14:textId="77777777" w:rsidTr="00754145">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355" w:type="dxa"/>
            <w:gridSpan w:val="6"/>
            <w:tcBorders>
              <w:bottom w:val="nil"/>
            </w:tcBorders>
          </w:tcPr>
          <w:p w14:paraId="430039DF" w14:textId="216C7C24" w:rsidR="00E37C9E" w:rsidRPr="00E452F7" w:rsidRDefault="00E37C9E" w:rsidP="00E452F7">
            <w:pPr>
              <w:jc w:val="both"/>
              <w:rPr>
                <w:rFonts w:ascii="Times New Roman" w:hAnsi="Times New Roman" w:cs="Times New Roman"/>
                <w:b w:val="0"/>
              </w:rPr>
            </w:pPr>
            <w:r w:rsidRPr="00E452F7">
              <w:rPr>
                <w:rFonts w:ascii="Times New Roman" w:hAnsi="Times New Roman" w:cs="Times New Roman"/>
                <w:b w:val="0"/>
                <w:color w:val="000000"/>
              </w:rPr>
              <w:t>Normalized cointegrating coefficients (standard error in parentheses)</w:t>
            </w:r>
          </w:p>
        </w:tc>
      </w:tr>
      <w:tr w:rsidR="00754145" w:rsidRPr="00E452F7" w14:paraId="4D566027" w14:textId="77777777" w:rsidTr="00754145">
        <w:tc>
          <w:tcPr>
            <w:cnfStyle w:val="001000000000" w:firstRow="0" w:lastRow="0" w:firstColumn="1" w:lastColumn="0" w:oddVBand="0" w:evenVBand="0" w:oddHBand="0" w:evenHBand="0" w:firstRowFirstColumn="0" w:firstRowLastColumn="0" w:lastRowFirstColumn="0" w:lastRowLastColumn="0"/>
            <w:tcW w:w="1525" w:type="dxa"/>
            <w:tcBorders>
              <w:top w:val="nil"/>
              <w:bottom w:val="single" w:sz="4" w:space="0" w:color="auto"/>
            </w:tcBorders>
          </w:tcPr>
          <w:p w14:paraId="3B43BF2D" w14:textId="16BAD7D0" w:rsidR="00E37C9E" w:rsidRPr="00E452F7" w:rsidRDefault="00F656C7" w:rsidP="00E452F7">
            <w:pPr>
              <w:jc w:val="both"/>
              <w:rPr>
                <w:rFonts w:ascii="Times New Roman" w:hAnsi="Times New Roman" w:cs="Times New Roman"/>
                <w:b w:val="0"/>
              </w:rPr>
            </w:pPr>
            <w:r w:rsidRPr="00E452F7">
              <w:rPr>
                <w:rFonts w:ascii="Times New Roman" w:hAnsi="Times New Roman" w:cs="Times New Roman"/>
                <w:b w:val="0"/>
                <w:color w:val="000000"/>
              </w:rPr>
              <w:t>EMP</w:t>
            </w:r>
          </w:p>
        </w:tc>
        <w:tc>
          <w:tcPr>
            <w:tcW w:w="1530" w:type="dxa"/>
            <w:tcBorders>
              <w:top w:val="nil"/>
              <w:bottom w:val="single" w:sz="4" w:space="0" w:color="auto"/>
            </w:tcBorders>
          </w:tcPr>
          <w:p w14:paraId="310A030E" w14:textId="39A261F4"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GDP</w:t>
            </w:r>
          </w:p>
        </w:tc>
        <w:tc>
          <w:tcPr>
            <w:tcW w:w="1440" w:type="dxa"/>
            <w:tcBorders>
              <w:top w:val="nil"/>
              <w:bottom w:val="single" w:sz="4" w:space="0" w:color="auto"/>
            </w:tcBorders>
          </w:tcPr>
          <w:p w14:paraId="68240487" w14:textId="2594926D"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INT</w:t>
            </w:r>
          </w:p>
        </w:tc>
        <w:tc>
          <w:tcPr>
            <w:tcW w:w="1440" w:type="dxa"/>
            <w:tcBorders>
              <w:top w:val="nil"/>
              <w:bottom w:val="single" w:sz="4" w:space="0" w:color="auto"/>
            </w:tcBorders>
          </w:tcPr>
          <w:p w14:paraId="48CEA415" w14:textId="4FC22FB2"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EXC</w:t>
            </w:r>
          </w:p>
        </w:tc>
        <w:tc>
          <w:tcPr>
            <w:tcW w:w="1440" w:type="dxa"/>
            <w:tcBorders>
              <w:top w:val="nil"/>
              <w:bottom w:val="single" w:sz="4" w:space="0" w:color="auto"/>
            </w:tcBorders>
          </w:tcPr>
          <w:p w14:paraId="3A7988D4" w14:textId="67ACA02B"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CPI</w:t>
            </w:r>
          </w:p>
        </w:tc>
        <w:tc>
          <w:tcPr>
            <w:tcW w:w="1980" w:type="dxa"/>
            <w:tcBorders>
              <w:top w:val="nil"/>
              <w:bottom w:val="single" w:sz="4" w:space="0" w:color="auto"/>
            </w:tcBorders>
          </w:tcPr>
          <w:p w14:paraId="638306A1" w14:textId="177FA2D2" w:rsidR="00E37C9E" w:rsidRPr="00E452F7" w:rsidRDefault="00CC66A9"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xml:space="preserve">OlL </w:t>
            </w:r>
          </w:p>
        </w:tc>
      </w:tr>
      <w:tr w:rsidR="00E37C9E" w:rsidRPr="00E452F7" w14:paraId="24975A89" w14:textId="77777777" w:rsidTr="007541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tcBorders>
          </w:tcPr>
          <w:p w14:paraId="05B38546" w14:textId="0C67206E" w:rsidR="00E37C9E" w:rsidRPr="00E452F7" w:rsidRDefault="00E37C9E" w:rsidP="00E452F7">
            <w:pPr>
              <w:jc w:val="both"/>
              <w:rPr>
                <w:rFonts w:ascii="Times New Roman" w:hAnsi="Times New Roman" w:cs="Times New Roman"/>
                <w:b w:val="0"/>
              </w:rPr>
            </w:pPr>
            <w:r w:rsidRPr="00E452F7">
              <w:rPr>
                <w:rFonts w:ascii="Times New Roman" w:hAnsi="Times New Roman" w:cs="Times New Roman"/>
                <w:b w:val="0"/>
                <w:color w:val="000000"/>
              </w:rPr>
              <w:t> 1.000000</w:t>
            </w:r>
          </w:p>
        </w:tc>
        <w:tc>
          <w:tcPr>
            <w:tcW w:w="1530" w:type="dxa"/>
            <w:tcBorders>
              <w:top w:val="single" w:sz="4" w:space="0" w:color="auto"/>
            </w:tcBorders>
          </w:tcPr>
          <w:p w14:paraId="530C7E62" w14:textId="6B53E52A"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1.121702</w:t>
            </w:r>
          </w:p>
        </w:tc>
        <w:tc>
          <w:tcPr>
            <w:tcW w:w="1440" w:type="dxa"/>
            <w:tcBorders>
              <w:top w:val="single" w:sz="4" w:space="0" w:color="auto"/>
            </w:tcBorders>
          </w:tcPr>
          <w:p w14:paraId="21595909" w14:textId="0C8B67DC"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-0.053909</w:t>
            </w:r>
          </w:p>
        </w:tc>
        <w:tc>
          <w:tcPr>
            <w:tcW w:w="1440" w:type="dxa"/>
            <w:tcBorders>
              <w:top w:val="single" w:sz="4" w:space="0" w:color="auto"/>
            </w:tcBorders>
          </w:tcPr>
          <w:p w14:paraId="7BB9632A" w14:textId="5B1C101A"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0.012856</w:t>
            </w:r>
          </w:p>
        </w:tc>
        <w:tc>
          <w:tcPr>
            <w:tcW w:w="1440" w:type="dxa"/>
            <w:tcBorders>
              <w:top w:val="single" w:sz="4" w:space="0" w:color="auto"/>
            </w:tcBorders>
          </w:tcPr>
          <w:p w14:paraId="121E4B9B" w14:textId="5EA2A397"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-0.012648</w:t>
            </w:r>
          </w:p>
        </w:tc>
        <w:tc>
          <w:tcPr>
            <w:tcW w:w="1980" w:type="dxa"/>
            <w:tcBorders>
              <w:top w:val="single" w:sz="4" w:space="0" w:color="auto"/>
            </w:tcBorders>
          </w:tcPr>
          <w:p w14:paraId="2F472AD6" w14:textId="4FBDED1E"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0.088594</w:t>
            </w:r>
          </w:p>
        </w:tc>
      </w:tr>
      <w:tr w:rsidR="00754145" w:rsidRPr="00E452F7" w14:paraId="1B786A1F" w14:textId="77777777" w:rsidTr="00754145">
        <w:trPr>
          <w:trHeight w:val="80"/>
        </w:trPr>
        <w:tc>
          <w:tcPr>
            <w:cnfStyle w:val="001000000000" w:firstRow="0" w:lastRow="0" w:firstColumn="1" w:lastColumn="0" w:oddVBand="0" w:evenVBand="0" w:oddHBand="0" w:evenHBand="0" w:firstRowFirstColumn="0" w:firstRowLastColumn="0" w:lastRowFirstColumn="0" w:lastRowLastColumn="0"/>
            <w:tcW w:w="1525" w:type="dxa"/>
          </w:tcPr>
          <w:p w14:paraId="5D78FE41" w14:textId="77777777" w:rsidR="00E37C9E" w:rsidRPr="00E452F7" w:rsidRDefault="00E37C9E" w:rsidP="00E452F7">
            <w:pPr>
              <w:jc w:val="both"/>
              <w:rPr>
                <w:rFonts w:ascii="Times New Roman" w:hAnsi="Times New Roman" w:cs="Times New Roman"/>
                <w:b w:val="0"/>
              </w:rPr>
            </w:pPr>
          </w:p>
        </w:tc>
        <w:tc>
          <w:tcPr>
            <w:tcW w:w="1530" w:type="dxa"/>
          </w:tcPr>
          <w:p w14:paraId="05BEDE35" w14:textId="38410A90"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(0.19065)</w:t>
            </w:r>
          </w:p>
        </w:tc>
        <w:tc>
          <w:tcPr>
            <w:tcW w:w="1440" w:type="dxa"/>
          </w:tcPr>
          <w:p w14:paraId="065F3B86" w14:textId="323EF6FA"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(0.00296)</w:t>
            </w:r>
          </w:p>
        </w:tc>
        <w:tc>
          <w:tcPr>
            <w:tcW w:w="1440" w:type="dxa"/>
          </w:tcPr>
          <w:p w14:paraId="0E7B33DD" w14:textId="3495A54B"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(0.00155)</w:t>
            </w:r>
          </w:p>
        </w:tc>
        <w:tc>
          <w:tcPr>
            <w:tcW w:w="1440" w:type="dxa"/>
          </w:tcPr>
          <w:p w14:paraId="278150E5" w14:textId="6BF30B3B"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(0.00182)</w:t>
            </w:r>
          </w:p>
        </w:tc>
        <w:tc>
          <w:tcPr>
            <w:tcW w:w="1980" w:type="dxa"/>
          </w:tcPr>
          <w:p w14:paraId="27093018" w14:textId="6602C03B" w:rsidR="00E37C9E" w:rsidRPr="00E452F7" w:rsidRDefault="00E37C9E"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(0.01388)</w:t>
            </w:r>
          </w:p>
        </w:tc>
      </w:tr>
      <w:tr w:rsidR="00754145" w:rsidRPr="00E452F7" w14:paraId="7E7D1B7E" w14:textId="77777777" w:rsidTr="00754145">
        <w:tc>
          <w:tcPr>
            <w:cnfStyle w:val="001000000000" w:firstRow="0" w:lastRow="0" w:firstColumn="1" w:lastColumn="0" w:oddVBand="0" w:evenVBand="0" w:oddHBand="0" w:evenHBand="0" w:firstRowFirstColumn="0" w:firstRowLastColumn="0" w:lastRowFirstColumn="0" w:lastRowLastColumn="0"/>
            <w:tcW w:w="1525" w:type="dxa"/>
          </w:tcPr>
          <w:p w14:paraId="30CA56C2" w14:textId="552F62D5" w:rsidR="00754145" w:rsidRPr="00E452F7" w:rsidRDefault="00754145" w:rsidP="00E452F7">
            <w:pPr>
              <w:jc w:val="both"/>
              <w:rPr>
                <w:rFonts w:ascii="Times New Roman" w:hAnsi="Times New Roman" w:cs="Times New Roman"/>
                <w:b w:val="0"/>
              </w:rPr>
            </w:pPr>
            <w:r w:rsidRPr="00E452F7">
              <w:rPr>
                <w:rFonts w:ascii="Times New Roman" w:hAnsi="Times New Roman" w:cs="Times New Roman"/>
                <w:b w:val="0"/>
              </w:rPr>
              <w:t>t-stat</w:t>
            </w:r>
          </w:p>
        </w:tc>
        <w:tc>
          <w:tcPr>
            <w:tcW w:w="1530" w:type="dxa"/>
          </w:tcPr>
          <w:p w14:paraId="5D6F1EB3" w14:textId="4466CBEA" w:rsidR="00754145" w:rsidRPr="00E452F7" w:rsidRDefault="00F4492D"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w:t>
            </w:r>
            <w:r w:rsidR="00754145" w:rsidRPr="00E452F7">
              <w:rPr>
                <w:rFonts w:ascii="Times New Roman" w:hAnsi="Times New Roman" w:cs="Times New Roman"/>
                <w:color w:val="000000"/>
              </w:rPr>
              <w:t>5.8836</w:t>
            </w:r>
            <w:r w:rsidRPr="00E452F7">
              <w:rPr>
                <w:rFonts w:ascii="Times New Roman" w:hAnsi="Times New Roman" w:cs="Times New Roman"/>
                <w:color w:val="000000"/>
              </w:rPr>
              <w:t>]</w:t>
            </w:r>
          </w:p>
        </w:tc>
        <w:tc>
          <w:tcPr>
            <w:tcW w:w="1440" w:type="dxa"/>
          </w:tcPr>
          <w:p w14:paraId="0AF9AB26" w14:textId="26DB31A6" w:rsidR="00754145" w:rsidRPr="00E452F7" w:rsidRDefault="00F4492D"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w:t>
            </w:r>
            <w:r w:rsidR="00754145" w:rsidRPr="00E452F7">
              <w:rPr>
                <w:rFonts w:ascii="Times New Roman" w:hAnsi="Times New Roman" w:cs="Times New Roman"/>
                <w:color w:val="000000"/>
              </w:rPr>
              <w:t>-18.2125</w:t>
            </w:r>
            <w:r w:rsidRPr="00E452F7">
              <w:rPr>
                <w:rFonts w:ascii="Times New Roman" w:hAnsi="Times New Roman" w:cs="Times New Roman"/>
                <w:color w:val="000000"/>
              </w:rPr>
              <w:t>]</w:t>
            </w:r>
          </w:p>
        </w:tc>
        <w:tc>
          <w:tcPr>
            <w:tcW w:w="1440" w:type="dxa"/>
          </w:tcPr>
          <w:p w14:paraId="2727766C" w14:textId="2E4DD9A8" w:rsidR="00754145" w:rsidRPr="00E452F7" w:rsidRDefault="00F4492D"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w:t>
            </w:r>
            <w:r w:rsidR="00754145" w:rsidRPr="00E452F7">
              <w:rPr>
                <w:rFonts w:ascii="Times New Roman" w:hAnsi="Times New Roman" w:cs="Times New Roman"/>
                <w:color w:val="000000"/>
              </w:rPr>
              <w:t>8.2942</w:t>
            </w:r>
            <w:r w:rsidRPr="00E452F7">
              <w:rPr>
                <w:rFonts w:ascii="Times New Roman" w:hAnsi="Times New Roman" w:cs="Times New Roman"/>
                <w:color w:val="000000"/>
              </w:rPr>
              <w:t>]</w:t>
            </w:r>
          </w:p>
        </w:tc>
        <w:tc>
          <w:tcPr>
            <w:tcW w:w="1440" w:type="dxa"/>
          </w:tcPr>
          <w:p w14:paraId="2FF6C7C1" w14:textId="5340A2A5" w:rsidR="00754145" w:rsidRPr="00E452F7" w:rsidRDefault="00F4492D"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w:t>
            </w:r>
            <w:r w:rsidR="00754145" w:rsidRPr="00E452F7">
              <w:rPr>
                <w:rFonts w:ascii="Times New Roman" w:hAnsi="Times New Roman" w:cs="Times New Roman"/>
                <w:color w:val="000000"/>
              </w:rPr>
              <w:t>-6.9495</w:t>
            </w:r>
            <w:r w:rsidRPr="00E452F7">
              <w:rPr>
                <w:rFonts w:ascii="Times New Roman" w:hAnsi="Times New Roman" w:cs="Times New Roman"/>
                <w:color w:val="000000"/>
              </w:rPr>
              <w:t>]</w:t>
            </w:r>
          </w:p>
        </w:tc>
        <w:tc>
          <w:tcPr>
            <w:tcW w:w="1980" w:type="dxa"/>
          </w:tcPr>
          <w:p w14:paraId="295A0BA2" w14:textId="2F3619F8" w:rsidR="00754145" w:rsidRPr="00E452F7" w:rsidRDefault="00F4492D" w:rsidP="00E452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w:t>
            </w:r>
            <w:r w:rsidR="00754145" w:rsidRPr="00E452F7">
              <w:rPr>
                <w:rFonts w:ascii="Times New Roman" w:hAnsi="Times New Roman" w:cs="Times New Roman"/>
                <w:color w:val="000000"/>
              </w:rPr>
              <w:t>6.3829</w:t>
            </w:r>
            <w:r w:rsidRPr="00E452F7">
              <w:rPr>
                <w:rFonts w:ascii="Times New Roman" w:hAnsi="Times New Roman" w:cs="Times New Roman"/>
                <w:color w:val="000000"/>
              </w:rPr>
              <w:t>]</w:t>
            </w:r>
          </w:p>
        </w:tc>
      </w:tr>
    </w:tbl>
    <w:p w14:paraId="6D083210" w14:textId="77777777" w:rsidR="00E37C9E" w:rsidRPr="00E452F7" w:rsidRDefault="00AB4AC5" w:rsidP="00E452F7">
      <w:pPr>
        <w:pStyle w:val="NoSpacing"/>
        <w:spacing w:after="240"/>
        <w:rPr>
          <w:rFonts w:ascii="Times New Roman" w:hAnsi="Times New Roman" w:cs="Times New Roman"/>
        </w:rPr>
      </w:pPr>
      <w:r w:rsidRPr="00E452F7">
        <w:rPr>
          <w:rFonts w:ascii="Times New Roman" w:hAnsi="Times New Roman" w:cs="Times New Roman"/>
        </w:rPr>
        <w:t xml:space="preserve">Source: Author’s Computation </w:t>
      </w:r>
    </w:p>
    <w:p w14:paraId="0166F3BD" w14:textId="2B30254A" w:rsidR="00166828" w:rsidRPr="00E452F7" w:rsidRDefault="00CC66A9" w:rsidP="00E452F7">
      <w:pPr>
        <w:pStyle w:val="NoSpacing"/>
        <w:spacing w:after="240"/>
        <w:jc w:val="both"/>
        <w:rPr>
          <w:rFonts w:ascii="Times New Roman" w:hAnsi="Times New Roman" w:cs="Times New Roman"/>
        </w:rPr>
      </w:pPr>
      <w:r w:rsidRPr="00E452F7">
        <w:rPr>
          <w:rFonts w:ascii="Times New Roman" w:hAnsi="Times New Roman" w:cs="Times New Roman"/>
        </w:rPr>
        <w:t>Table 3 presents the normalized cointegrating result. Due to the normalization process, the signs are reverted in the interpretation. Using employment as dependent variable, it has a negative relationship with GDP, EXC and OIL while it has a positive relationship wit</w:t>
      </w:r>
      <w:r w:rsidR="00862570" w:rsidRPr="00E452F7">
        <w:rPr>
          <w:rFonts w:ascii="Times New Roman" w:hAnsi="Times New Roman" w:cs="Times New Roman"/>
        </w:rPr>
        <w:t>h INT and CPI. All the series</w:t>
      </w:r>
      <w:r w:rsidRPr="00E452F7">
        <w:rPr>
          <w:rFonts w:ascii="Times New Roman" w:hAnsi="Times New Roman" w:cs="Times New Roman"/>
        </w:rPr>
        <w:t xml:space="preserve"> are statistically significant at the level of 5 percent.  </w:t>
      </w:r>
      <w:r w:rsidR="00CF7C4F" w:rsidRPr="00E452F7">
        <w:rPr>
          <w:rFonts w:ascii="Times New Roman" w:hAnsi="Times New Roman" w:cs="Times New Roman"/>
        </w:rPr>
        <w:t>The above result implies that GDP contributes inversely to employment in Nigeria, as a unit increase in GDP results in about 1.12 units decline in emplo</w:t>
      </w:r>
      <w:r w:rsidR="008F084E" w:rsidRPr="00E452F7">
        <w:rPr>
          <w:rFonts w:ascii="Times New Roman" w:hAnsi="Times New Roman" w:cs="Times New Roman"/>
        </w:rPr>
        <w:t xml:space="preserve">yment in Nigeria. This is not </w:t>
      </w:r>
      <w:r w:rsidR="00CF7C4F" w:rsidRPr="00E452F7">
        <w:rPr>
          <w:rFonts w:ascii="Times New Roman" w:hAnsi="Times New Roman" w:cs="Times New Roman"/>
        </w:rPr>
        <w:t xml:space="preserve">connected to the structure of sectorial contributions, as the major growth driver in the economy is the service sector – contributing over </w:t>
      </w:r>
      <w:r w:rsidR="00A26938" w:rsidRPr="00E452F7">
        <w:rPr>
          <w:rFonts w:ascii="Times New Roman" w:hAnsi="Times New Roman" w:cs="Times New Roman"/>
        </w:rPr>
        <w:t xml:space="preserve">50% to the GDP. This is particularly a detrimental to the economy because Nigeria is labour abundant, whereas the service sector is largely capital intensive and technological driven; the industrial sector needed to accommodate the teeming labour force is in mirage. </w:t>
      </w:r>
      <w:r w:rsidR="00664AAA" w:rsidRPr="00E452F7">
        <w:rPr>
          <w:rFonts w:ascii="Times New Roman" w:hAnsi="Times New Roman" w:cs="Times New Roman"/>
        </w:rPr>
        <w:t>In the same manner, employment responds inversely to changes in exchange rate and oil price.</w:t>
      </w:r>
      <w:r w:rsidR="00660C23" w:rsidRPr="00E452F7">
        <w:rPr>
          <w:rFonts w:ascii="Times New Roman" w:hAnsi="Times New Roman" w:cs="Times New Roman"/>
        </w:rPr>
        <w:t xml:space="preserve"> A unit increase in exchange rate and oil price result in 0.013 </w:t>
      </w:r>
      <w:r w:rsidR="00F12FEC" w:rsidRPr="00E452F7">
        <w:rPr>
          <w:rFonts w:ascii="Times New Roman" w:hAnsi="Times New Roman" w:cs="Times New Roman"/>
        </w:rPr>
        <w:t>units</w:t>
      </w:r>
      <w:r w:rsidR="00660C23" w:rsidRPr="00E452F7">
        <w:rPr>
          <w:rFonts w:ascii="Times New Roman" w:hAnsi="Times New Roman" w:cs="Times New Roman"/>
        </w:rPr>
        <w:t xml:space="preserve"> and 0.089 unit</w:t>
      </w:r>
      <w:r w:rsidR="00F12FEC" w:rsidRPr="00E452F7">
        <w:rPr>
          <w:rFonts w:ascii="Times New Roman" w:hAnsi="Times New Roman" w:cs="Times New Roman"/>
        </w:rPr>
        <w:t>s</w:t>
      </w:r>
      <w:r w:rsidR="00660C23" w:rsidRPr="00E452F7">
        <w:rPr>
          <w:rFonts w:ascii="Times New Roman" w:hAnsi="Times New Roman" w:cs="Times New Roman"/>
        </w:rPr>
        <w:t xml:space="preserve"> increase in employment. </w:t>
      </w:r>
    </w:p>
    <w:p w14:paraId="75D6C295" w14:textId="0CB14424" w:rsidR="001315C7" w:rsidRPr="00E452F7" w:rsidRDefault="00166828" w:rsidP="00E452F7">
      <w:pPr>
        <w:pStyle w:val="NoSpacing"/>
        <w:spacing w:after="240"/>
        <w:jc w:val="both"/>
        <w:rPr>
          <w:rFonts w:ascii="Times New Roman" w:hAnsi="Times New Roman" w:cs="Times New Roman"/>
        </w:rPr>
      </w:pPr>
      <w:r w:rsidRPr="00E452F7">
        <w:rPr>
          <w:rFonts w:ascii="Times New Roman" w:hAnsi="Times New Roman" w:cs="Times New Roman"/>
        </w:rPr>
        <w:t>The frequent episodes of exchange rate fluctuations as witnessed in Nigerian economy posed adverse effects for domestic industries</w:t>
      </w:r>
      <w:r w:rsidR="008F084E" w:rsidRPr="00E452F7">
        <w:rPr>
          <w:rFonts w:ascii="Times New Roman" w:hAnsi="Times New Roman" w:cs="Times New Roman"/>
        </w:rPr>
        <w:t>.  Since</w:t>
      </w:r>
      <w:r w:rsidRPr="00E452F7">
        <w:rPr>
          <w:rFonts w:ascii="Times New Roman" w:hAnsi="Times New Roman" w:cs="Times New Roman"/>
        </w:rPr>
        <w:t xml:space="preserve"> sourcing inputs from abroad </w:t>
      </w:r>
      <w:r w:rsidR="008F084E" w:rsidRPr="00E452F7">
        <w:rPr>
          <w:rFonts w:ascii="Times New Roman" w:hAnsi="Times New Roman" w:cs="Times New Roman"/>
        </w:rPr>
        <w:t>and</w:t>
      </w:r>
      <w:r w:rsidRPr="00E452F7">
        <w:rPr>
          <w:rFonts w:ascii="Times New Roman" w:hAnsi="Times New Roman" w:cs="Times New Roman"/>
        </w:rPr>
        <w:t xml:space="preserve"> discourage foreign domestic investment. These effects have the potential restrict economy expansion (especially capital seeking developing economy), hence, limiting the number of employment opportunities.</w:t>
      </w:r>
      <w:r w:rsidR="00C02E97" w:rsidRPr="00E452F7">
        <w:rPr>
          <w:rFonts w:ascii="Times New Roman" w:hAnsi="Times New Roman" w:cs="Times New Roman"/>
        </w:rPr>
        <w:t xml:space="preserve"> Likewise, the emergence of oil in commercial quantity led to the gross neglect </w:t>
      </w:r>
      <w:r w:rsidR="00440018" w:rsidRPr="00E452F7">
        <w:rPr>
          <w:rFonts w:ascii="Times New Roman" w:hAnsi="Times New Roman" w:cs="Times New Roman"/>
        </w:rPr>
        <w:t xml:space="preserve">of the agriculture and industrial sector. The former being the largest employer of labour in the country and providing </w:t>
      </w:r>
      <w:r w:rsidR="00567099" w:rsidRPr="00E452F7">
        <w:rPr>
          <w:rFonts w:ascii="Times New Roman" w:hAnsi="Times New Roman" w:cs="Times New Roman"/>
        </w:rPr>
        <w:t>livelihood</w:t>
      </w:r>
      <w:r w:rsidR="00440018" w:rsidRPr="00E452F7">
        <w:rPr>
          <w:rFonts w:ascii="Times New Roman" w:hAnsi="Times New Roman" w:cs="Times New Roman"/>
        </w:rPr>
        <w:t xml:space="preserve"> and food supply for the populace. The neglect of these sectors began the unemployment doom for the economy, with all the backward and forward linkages and productive value chains capable of engaging the teeming population completely lost. </w:t>
      </w:r>
      <w:r w:rsidR="008B187B" w:rsidRPr="00E452F7">
        <w:rPr>
          <w:rFonts w:ascii="Times New Roman" w:hAnsi="Times New Roman" w:cs="Times New Roman"/>
        </w:rPr>
        <w:t>Th</w:t>
      </w:r>
      <w:r w:rsidR="001315C7" w:rsidRPr="00E452F7">
        <w:rPr>
          <w:rFonts w:ascii="Times New Roman" w:hAnsi="Times New Roman" w:cs="Times New Roman"/>
        </w:rPr>
        <w:t>i</w:t>
      </w:r>
      <w:r w:rsidR="008B187B" w:rsidRPr="00E452F7">
        <w:rPr>
          <w:rFonts w:ascii="Times New Roman" w:hAnsi="Times New Roman" w:cs="Times New Roman"/>
        </w:rPr>
        <w:t>s led to growing poor rural communities, and continued disparity with the urban areas, which in turn, has resulted into growing into socio-economic and environmental problems experiencing in the urban areas resulting from heavy migration.</w:t>
      </w:r>
      <w:r w:rsidR="00440018" w:rsidRPr="00E452F7">
        <w:rPr>
          <w:rFonts w:ascii="Times New Roman" w:hAnsi="Times New Roman" w:cs="Times New Roman"/>
        </w:rPr>
        <w:t xml:space="preserve"> </w:t>
      </w:r>
      <w:r w:rsidRPr="00E452F7">
        <w:rPr>
          <w:rFonts w:ascii="Times New Roman" w:hAnsi="Times New Roman" w:cs="Times New Roman"/>
        </w:rPr>
        <w:t xml:space="preserve">  </w:t>
      </w:r>
      <w:r w:rsidR="00660C23" w:rsidRPr="00E452F7">
        <w:rPr>
          <w:rFonts w:ascii="Times New Roman" w:hAnsi="Times New Roman" w:cs="Times New Roman"/>
        </w:rPr>
        <w:t xml:space="preserve"> </w:t>
      </w:r>
    </w:p>
    <w:p w14:paraId="34E34D33" w14:textId="362DB3C0" w:rsidR="008C2A41" w:rsidRPr="00E452F7" w:rsidRDefault="001315C7" w:rsidP="00E452F7">
      <w:pPr>
        <w:pStyle w:val="NoSpacing"/>
        <w:spacing w:after="240"/>
        <w:jc w:val="both"/>
        <w:rPr>
          <w:rFonts w:ascii="Times New Roman" w:hAnsi="Times New Roman" w:cs="Times New Roman"/>
        </w:rPr>
      </w:pPr>
      <w:r w:rsidRPr="00E452F7">
        <w:rPr>
          <w:rFonts w:ascii="Times New Roman" w:hAnsi="Times New Roman" w:cs="Times New Roman"/>
        </w:rPr>
        <w:t>The direct relationship between interest rate and employment contradicts the position of theory, as an inverse relationship is expected. Nevertheless, this evidence portrays the contention against lowering the commercial banks’ lending rates by the CBN monetary policy committee.</w:t>
      </w:r>
      <w:r w:rsidR="0009792D" w:rsidRPr="00E452F7">
        <w:rPr>
          <w:rFonts w:ascii="Times New Roman" w:hAnsi="Times New Roman" w:cs="Times New Roman"/>
        </w:rPr>
        <w:t xml:space="preserve"> The committee agreed that lowering</w:t>
      </w:r>
      <w:r w:rsidR="000510E0" w:rsidRPr="00E452F7">
        <w:rPr>
          <w:rFonts w:ascii="Times New Roman" w:hAnsi="Times New Roman" w:cs="Times New Roman"/>
        </w:rPr>
        <w:t xml:space="preserve"> the rate</w:t>
      </w:r>
      <w:r w:rsidR="0009792D" w:rsidRPr="00E452F7">
        <w:rPr>
          <w:rFonts w:ascii="Times New Roman" w:hAnsi="Times New Roman" w:cs="Times New Roman"/>
        </w:rPr>
        <w:t xml:space="preserve"> is injurious to economic productivity at the present time in Nigeria; as lower retail lending rate makes cheap fund available to importers to source scare forex and in turn put pressure on </w:t>
      </w:r>
      <w:r w:rsidR="0009792D" w:rsidRPr="00E452F7">
        <w:rPr>
          <w:rFonts w:ascii="Times New Roman" w:hAnsi="Times New Roman" w:cs="Times New Roman"/>
        </w:rPr>
        <w:lastRenderedPageBreak/>
        <w:t>exchange rate and inflation in Nigeria.</w:t>
      </w:r>
      <w:r w:rsidR="005A1779" w:rsidRPr="00E452F7">
        <w:rPr>
          <w:rFonts w:ascii="Times New Roman" w:hAnsi="Times New Roman" w:cs="Times New Roman"/>
        </w:rPr>
        <w:t xml:space="preserve"> Also, the foregoing suggests (as visibly seen with the indicator of CPI) that rising inflationary pressure, especially imported inflation (as mostly the phenomenon) hampers economic productiveness and worsen employment situation in Nigeria. </w:t>
      </w:r>
    </w:p>
    <w:p w14:paraId="07B27DC3" w14:textId="34CF10E9" w:rsidR="0025209B" w:rsidRPr="00E452F7" w:rsidRDefault="008C2A41" w:rsidP="00E452F7">
      <w:pPr>
        <w:autoSpaceDE w:val="0"/>
        <w:autoSpaceDN w:val="0"/>
        <w:adjustRightInd w:val="0"/>
        <w:spacing w:after="0" w:line="240" w:lineRule="auto"/>
        <w:rPr>
          <w:rFonts w:ascii="Times New Roman" w:hAnsi="Times New Roman" w:cs="Times New Roman"/>
          <w:b/>
        </w:rPr>
      </w:pPr>
      <w:r w:rsidRPr="00E452F7">
        <w:rPr>
          <w:rFonts w:ascii="Times New Roman" w:hAnsi="Times New Roman" w:cs="Times New Roman"/>
          <w:b/>
        </w:rPr>
        <w:t>Table 4</w:t>
      </w:r>
      <w:r w:rsidRPr="00E452F7">
        <w:rPr>
          <w:rFonts w:ascii="Times New Roman" w:hAnsi="Times New Roman" w:cs="Times New Roman"/>
          <w:b/>
        </w:rPr>
        <w:tab/>
      </w:r>
      <w:r w:rsidR="0025209B" w:rsidRPr="00E452F7">
        <w:rPr>
          <w:rFonts w:ascii="Times New Roman" w:hAnsi="Times New Roman" w:cs="Times New Roman"/>
          <w:b/>
        </w:rPr>
        <w:t>Varian</w:t>
      </w:r>
      <w:r w:rsidR="00AD7DA2" w:rsidRPr="00E452F7">
        <w:rPr>
          <w:rFonts w:ascii="Times New Roman" w:hAnsi="Times New Roman" w:cs="Times New Roman"/>
          <w:b/>
        </w:rPr>
        <w:t>ce Decomposition of Oil Price Shock</w:t>
      </w:r>
      <w:r w:rsidR="0025209B" w:rsidRPr="00E452F7">
        <w:rPr>
          <w:rFonts w:ascii="Times New Roman" w:hAnsi="Times New Roman" w:cs="Times New Roman"/>
          <w:b/>
        </w:rPr>
        <w:t xml:space="preserve"> </w:t>
      </w:r>
    </w:p>
    <w:tbl>
      <w:tblPr>
        <w:tblStyle w:val="LightShading"/>
        <w:tblW w:w="9355" w:type="dxa"/>
        <w:tblLook w:val="06A0" w:firstRow="1" w:lastRow="0" w:firstColumn="1" w:lastColumn="0" w:noHBand="1" w:noVBand="1"/>
      </w:tblPr>
      <w:tblGrid>
        <w:gridCol w:w="985"/>
        <w:gridCol w:w="1440"/>
        <w:gridCol w:w="1440"/>
        <w:gridCol w:w="1260"/>
        <w:gridCol w:w="1530"/>
        <w:gridCol w:w="1350"/>
        <w:gridCol w:w="1350"/>
      </w:tblGrid>
      <w:tr w:rsidR="0070694B" w:rsidRPr="00E452F7" w14:paraId="15B6132D" w14:textId="6F536082" w:rsidTr="004442BF">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85" w:type="dxa"/>
          </w:tcPr>
          <w:p w14:paraId="2D700609" w14:textId="5B85BF1B" w:rsidR="0070694B" w:rsidRPr="00E452F7" w:rsidRDefault="0070694B" w:rsidP="00E452F7">
            <w:pPr>
              <w:pStyle w:val="NoSpacing"/>
              <w:rPr>
                <w:rFonts w:ascii="Times New Roman" w:hAnsi="Times New Roman" w:cs="Times New Roman"/>
              </w:rPr>
            </w:pPr>
            <w:r w:rsidRPr="00E452F7">
              <w:rPr>
                <w:rFonts w:ascii="Times New Roman" w:hAnsi="Times New Roman" w:cs="Times New Roman"/>
                <w:color w:val="000000"/>
              </w:rPr>
              <w:t>Period</w:t>
            </w:r>
          </w:p>
        </w:tc>
        <w:tc>
          <w:tcPr>
            <w:tcW w:w="1440" w:type="dxa"/>
          </w:tcPr>
          <w:p w14:paraId="62A1E9B5" w14:textId="7F9AD5AD" w:rsidR="0070694B" w:rsidRPr="00E452F7" w:rsidRDefault="0025209B" w:rsidP="00E452F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OIL</w:t>
            </w:r>
          </w:p>
        </w:tc>
        <w:tc>
          <w:tcPr>
            <w:tcW w:w="1440" w:type="dxa"/>
          </w:tcPr>
          <w:p w14:paraId="788FC268" w14:textId="7D7997D8" w:rsidR="0070694B" w:rsidRPr="00E452F7" w:rsidRDefault="0025209B" w:rsidP="00E452F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GDP</w:t>
            </w:r>
          </w:p>
        </w:tc>
        <w:tc>
          <w:tcPr>
            <w:tcW w:w="1260" w:type="dxa"/>
          </w:tcPr>
          <w:p w14:paraId="3E220113" w14:textId="6A7242E2" w:rsidR="0070694B" w:rsidRPr="00E452F7" w:rsidRDefault="0025209B" w:rsidP="00E452F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INT</w:t>
            </w:r>
          </w:p>
        </w:tc>
        <w:tc>
          <w:tcPr>
            <w:tcW w:w="1530" w:type="dxa"/>
          </w:tcPr>
          <w:p w14:paraId="399001F5" w14:textId="59F3E2A5" w:rsidR="0070694B" w:rsidRPr="00E452F7" w:rsidRDefault="0025209B" w:rsidP="00E452F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EXC</w:t>
            </w:r>
          </w:p>
        </w:tc>
        <w:tc>
          <w:tcPr>
            <w:tcW w:w="1350" w:type="dxa"/>
          </w:tcPr>
          <w:p w14:paraId="64A7D57D" w14:textId="13C72E3A" w:rsidR="0070694B" w:rsidRPr="00E452F7" w:rsidRDefault="0025209B" w:rsidP="00E452F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CPI</w:t>
            </w:r>
          </w:p>
        </w:tc>
        <w:tc>
          <w:tcPr>
            <w:tcW w:w="1350" w:type="dxa"/>
          </w:tcPr>
          <w:p w14:paraId="6CAA477F" w14:textId="16BEDBFC" w:rsidR="0070694B" w:rsidRPr="00E452F7" w:rsidRDefault="0025209B" w:rsidP="00E452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EMP</w:t>
            </w:r>
          </w:p>
        </w:tc>
      </w:tr>
      <w:tr w:rsidR="0070694B" w:rsidRPr="00E452F7" w14:paraId="529D5FFA" w14:textId="3E30B0A0" w:rsidTr="004442BF">
        <w:trPr>
          <w:trHeight w:val="60"/>
        </w:trPr>
        <w:tc>
          <w:tcPr>
            <w:cnfStyle w:val="001000000000" w:firstRow="0" w:lastRow="0" w:firstColumn="1" w:lastColumn="0" w:oddVBand="0" w:evenVBand="0" w:oddHBand="0" w:evenHBand="0" w:firstRowFirstColumn="0" w:firstRowLastColumn="0" w:lastRowFirstColumn="0" w:lastRowLastColumn="0"/>
            <w:tcW w:w="985" w:type="dxa"/>
          </w:tcPr>
          <w:p w14:paraId="4FA4E24C" w14:textId="05174C05" w:rsidR="0070694B" w:rsidRPr="00E452F7" w:rsidRDefault="0070694B" w:rsidP="00E452F7">
            <w:pPr>
              <w:pStyle w:val="NoSpacing"/>
              <w:rPr>
                <w:rFonts w:ascii="Times New Roman" w:hAnsi="Times New Roman" w:cs="Times New Roman"/>
                <w:b w:val="0"/>
              </w:rPr>
            </w:pPr>
            <w:r w:rsidRPr="00E452F7">
              <w:rPr>
                <w:rFonts w:ascii="Times New Roman" w:hAnsi="Times New Roman" w:cs="Times New Roman"/>
                <w:b w:val="0"/>
                <w:color w:val="000000"/>
              </w:rPr>
              <w:t> 1</w:t>
            </w:r>
          </w:p>
        </w:tc>
        <w:tc>
          <w:tcPr>
            <w:tcW w:w="1440" w:type="dxa"/>
          </w:tcPr>
          <w:p w14:paraId="6F6EAFBF" w14:textId="528AD7E7"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100.0000</w:t>
            </w:r>
          </w:p>
        </w:tc>
        <w:tc>
          <w:tcPr>
            <w:tcW w:w="1440" w:type="dxa"/>
          </w:tcPr>
          <w:p w14:paraId="04591E4A" w14:textId="33899C59"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0.000000</w:t>
            </w:r>
          </w:p>
        </w:tc>
        <w:tc>
          <w:tcPr>
            <w:tcW w:w="1260" w:type="dxa"/>
          </w:tcPr>
          <w:p w14:paraId="69EB9F93" w14:textId="413FDD98"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0.000000</w:t>
            </w:r>
          </w:p>
        </w:tc>
        <w:tc>
          <w:tcPr>
            <w:tcW w:w="1530" w:type="dxa"/>
          </w:tcPr>
          <w:p w14:paraId="0F55A811" w14:textId="4A24F333"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0.000000</w:t>
            </w:r>
          </w:p>
        </w:tc>
        <w:tc>
          <w:tcPr>
            <w:tcW w:w="1350" w:type="dxa"/>
          </w:tcPr>
          <w:p w14:paraId="641D4999" w14:textId="0692C359"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0.000000</w:t>
            </w:r>
          </w:p>
        </w:tc>
        <w:tc>
          <w:tcPr>
            <w:tcW w:w="1350" w:type="dxa"/>
          </w:tcPr>
          <w:p w14:paraId="6CF4C430" w14:textId="475CDC50"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0.000000</w:t>
            </w:r>
          </w:p>
        </w:tc>
      </w:tr>
      <w:tr w:rsidR="0070694B" w:rsidRPr="00E452F7" w14:paraId="2BF43BB1" w14:textId="507CBEA1"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7A77DB26" w14:textId="03598B7B" w:rsidR="0070694B" w:rsidRPr="00E452F7" w:rsidRDefault="0070694B" w:rsidP="00E452F7">
            <w:pPr>
              <w:pStyle w:val="NoSpacing"/>
              <w:rPr>
                <w:rFonts w:ascii="Times New Roman" w:hAnsi="Times New Roman" w:cs="Times New Roman"/>
                <w:b w:val="0"/>
              </w:rPr>
            </w:pPr>
            <w:r w:rsidRPr="00E452F7">
              <w:rPr>
                <w:rFonts w:ascii="Times New Roman" w:hAnsi="Times New Roman" w:cs="Times New Roman"/>
                <w:b w:val="0"/>
                <w:color w:val="000000"/>
              </w:rPr>
              <w:t> 2</w:t>
            </w:r>
          </w:p>
        </w:tc>
        <w:tc>
          <w:tcPr>
            <w:tcW w:w="1440" w:type="dxa"/>
          </w:tcPr>
          <w:p w14:paraId="40C5DEC8" w14:textId="072A6A42"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59.64332</w:t>
            </w:r>
          </w:p>
        </w:tc>
        <w:tc>
          <w:tcPr>
            <w:tcW w:w="1440" w:type="dxa"/>
          </w:tcPr>
          <w:p w14:paraId="020079EC" w14:textId="013B2332"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7.451747</w:t>
            </w:r>
          </w:p>
        </w:tc>
        <w:tc>
          <w:tcPr>
            <w:tcW w:w="1260" w:type="dxa"/>
          </w:tcPr>
          <w:p w14:paraId="67520F59" w14:textId="54C1F800"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0.025425</w:t>
            </w:r>
          </w:p>
        </w:tc>
        <w:tc>
          <w:tcPr>
            <w:tcW w:w="1530" w:type="dxa"/>
          </w:tcPr>
          <w:p w14:paraId="5223C783" w14:textId="3053F2BE"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0.831501</w:t>
            </w:r>
          </w:p>
        </w:tc>
        <w:tc>
          <w:tcPr>
            <w:tcW w:w="1350" w:type="dxa"/>
          </w:tcPr>
          <w:p w14:paraId="41A9D8F0" w14:textId="1F9420B1"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20.25477</w:t>
            </w:r>
          </w:p>
        </w:tc>
        <w:tc>
          <w:tcPr>
            <w:tcW w:w="1350" w:type="dxa"/>
          </w:tcPr>
          <w:p w14:paraId="5CAA10F6" w14:textId="10B6EC96"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11.79324</w:t>
            </w:r>
          </w:p>
        </w:tc>
      </w:tr>
      <w:tr w:rsidR="0070694B" w:rsidRPr="00E452F7" w14:paraId="7C21D1CF" w14:textId="549EF881"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53A2BA3C" w14:textId="12BA9762" w:rsidR="0070694B" w:rsidRPr="00E452F7" w:rsidRDefault="0070694B" w:rsidP="00E452F7">
            <w:pPr>
              <w:pStyle w:val="NoSpacing"/>
              <w:rPr>
                <w:rFonts w:ascii="Times New Roman" w:hAnsi="Times New Roman" w:cs="Times New Roman"/>
                <w:b w:val="0"/>
              </w:rPr>
            </w:pPr>
            <w:r w:rsidRPr="00E452F7">
              <w:rPr>
                <w:rFonts w:ascii="Times New Roman" w:hAnsi="Times New Roman" w:cs="Times New Roman"/>
                <w:b w:val="0"/>
                <w:color w:val="000000"/>
              </w:rPr>
              <w:t> 3</w:t>
            </w:r>
          </w:p>
        </w:tc>
        <w:tc>
          <w:tcPr>
            <w:tcW w:w="1440" w:type="dxa"/>
          </w:tcPr>
          <w:p w14:paraId="44B55CA5" w14:textId="271A2FA0"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46.52256</w:t>
            </w:r>
          </w:p>
        </w:tc>
        <w:tc>
          <w:tcPr>
            <w:tcW w:w="1440" w:type="dxa"/>
          </w:tcPr>
          <w:p w14:paraId="7CAFFEBA" w14:textId="32A1CD57"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6.830978</w:t>
            </w:r>
          </w:p>
        </w:tc>
        <w:tc>
          <w:tcPr>
            <w:tcW w:w="1260" w:type="dxa"/>
          </w:tcPr>
          <w:p w14:paraId="06CC2F24" w14:textId="044F4FA3"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3.295269</w:t>
            </w:r>
          </w:p>
        </w:tc>
        <w:tc>
          <w:tcPr>
            <w:tcW w:w="1530" w:type="dxa"/>
          </w:tcPr>
          <w:p w14:paraId="62393E6F" w14:textId="71AEC933"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1.143180</w:t>
            </w:r>
          </w:p>
        </w:tc>
        <w:tc>
          <w:tcPr>
            <w:tcW w:w="1350" w:type="dxa"/>
          </w:tcPr>
          <w:p w14:paraId="491D17AB" w14:textId="59699114"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18.77686</w:t>
            </w:r>
          </w:p>
        </w:tc>
        <w:tc>
          <w:tcPr>
            <w:tcW w:w="1350" w:type="dxa"/>
          </w:tcPr>
          <w:p w14:paraId="71B047AC" w14:textId="41EF874E"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2F7">
              <w:rPr>
                <w:rFonts w:ascii="Times New Roman" w:hAnsi="Times New Roman" w:cs="Times New Roman"/>
                <w:color w:val="000000"/>
              </w:rPr>
              <w:t> 23.43116</w:t>
            </w:r>
          </w:p>
        </w:tc>
      </w:tr>
      <w:tr w:rsidR="0070694B" w:rsidRPr="00E452F7" w14:paraId="5818FF6A"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2FD89F78" w14:textId="520B7A52"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4</w:t>
            </w:r>
          </w:p>
        </w:tc>
        <w:tc>
          <w:tcPr>
            <w:tcW w:w="1440" w:type="dxa"/>
          </w:tcPr>
          <w:p w14:paraId="244A9B55" w14:textId="19930765"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46.82098</w:t>
            </w:r>
          </w:p>
        </w:tc>
        <w:tc>
          <w:tcPr>
            <w:tcW w:w="1440" w:type="dxa"/>
          </w:tcPr>
          <w:p w14:paraId="5D35CB0B" w14:textId="388F6956"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6.704772</w:t>
            </w:r>
          </w:p>
        </w:tc>
        <w:tc>
          <w:tcPr>
            <w:tcW w:w="1260" w:type="dxa"/>
          </w:tcPr>
          <w:p w14:paraId="73BB438E" w14:textId="70C8D232"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3.603618</w:t>
            </w:r>
          </w:p>
        </w:tc>
        <w:tc>
          <w:tcPr>
            <w:tcW w:w="1530" w:type="dxa"/>
          </w:tcPr>
          <w:p w14:paraId="721B8144" w14:textId="6334ACB7"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1.149535</w:t>
            </w:r>
          </w:p>
        </w:tc>
        <w:tc>
          <w:tcPr>
            <w:tcW w:w="1350" w:type="dxa"/>
          </w:tcPr>
          <w:p w14:paraId="243AF016" w14:textId="76D2DFB0"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18.76742</w:t>
            </w:r>
          </w:p>
        </w:tc>
        <w:tc>
          <w:tcPr>
            <w:tcW w:w="1350" w:type="dxa"/>
          </w:tcPr>
          <w:p w14:paraId="04194281" w14:textId="12DC62C5"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22.95368</w:t>
            </w:r>
          </w:p>
        </w:tc>
      </w:tr>
      <w:tr w:rsidR="0070694B" w:rsidRPr="00E452F7" w14:paraId="068EA1B8"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60E4FA6A" w14:textId="28DECA11"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5</w:t>
            </w:r>
          </w:p>
        </w:tc>
        <w:tc>
          <w:tcPr>
            <w:tcW w:w="1440" w:type="dxa"/>
          </w:tcPr>
          <w:p w14:paraId="6298524A" w14:textId="7BDEAC6A"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44.74063</w:t>
            </w:r>
          </w:p>
        </w:tc>
        <w:tc>
          <w:tcPr>
            <w:tcW w:w="1440" w:type="dxa"/>
          </w:tcPr>
          <w:p w14:paraId="0899D4CD" w14:textId="28894E74"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7.417645</w:t>
            </w:r>
          </w:p>
        </w:tc>
        <w:tc>
          <w:tcPr>
            <w:tcW w:w="1260" w:type="dxa"/>
          </w:tcPr>
          <w:p w14:paraId="10856FE0" w14:textId="36937A01"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4.657886</w:t>
            </w:r>
          </w:p>
        </w:tc>
        <w:tc>
          <w:tcPr>
            <w:tcW w:w="1530" w:type="dxa"/>
          </w:tcPr>
          <w:p w14:paraId="6A21AF14" w14:textId="52BC453D"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1.899986</w:t>
            </w:r>
          </w:p>
        </w:tc>
        <w:tc>
          <w:tcPr>
            <w:tcW w:w="1350" w:type="dxa"/>
          </w:tcPr>
          <w:p w14:paraId="29466FC7" w14:textId="1BB91CF0"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18.46284</w:t>
            </w:r>
          </w:p>
        </w:tc>
        <w:tc>
          <w:tcPr>
            <w:tcW w:w="1350" w:type="dxa"/>
          </w:tcPr>
          <w:p w14:paraId="0E3AF326" w14:textId="2797EC9E"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22.82101</w:t>
            </w:r>
          </w:p>
        </w:tc>
      </w:tr>
      <w:tr w:rsidR="0070694B" w:rsidRPr="00E452F7" w14:paraId="11AAB795"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24A2F0E9" w14:textId="5D517B09"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6</w:t>
            </w:r>
          </w:p>
        </w:tc>
        <w:tc>
          <w:tcPr>
            <w:tcW w:w="1440" w:type="dxa"/>
          </w:tcPr>
          <w:p w14:paraId="318AAC67" w14:textId="3F1DC09E"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44.54637</w:t>
            </w:r>
          </w:p>
        </w:tc>
        <w:tc>
          <w:tcPr>
            <w:tcW w:w="1440" w:type="dxa"/>
          </w:tcPr>
          <w:p w14:paraId="3004ADA8" w14:textId="73733C25"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7.417123</w:t>
            </w:r>
          </w:p>
        </w:tc>
        <w:tc>
          <w:tcPr>
            <w:tcW w:w="1260" w:type="dxa"/>
          </w:tcPr>
          <w:p w14:paraId="3E86CF63" w14:textId="26D753F9"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4.647048</w:t>
            </w:r>
          </w:p>
        </w:tc>
        <w:tc>
          <w:tcPr>
            <w:tcW w:w="1530" w:type="dxa"/>
          </w:tcPr>
          <w:p w14:paraId="54CEDC22" w14:textId="2DBD4D1A"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1.915768</w:t>
            </w:r>
          </w:p>
        </w:tc>
        <w:tc>
          <w:tcPr>
            <w:tcW w:w="1350" w:type="dxa"/>
          </w:tcPr>
          <w:p w14:paraId="1EDFF605" w14:textId="5243A986"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18.47402</w:t>
            </w:r>
          </w:p>
        </w:tc>
        <w:tc>
          <w:tcPr>
            <w:tcW w:w="1350" w:type="dxa"/>
          </w:tcPr>
          <w:p w14:paraId="10EDE65A" w14:textId="08CB53AC"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22.99967</w:t>
            </w:r>
          </w:p>
        </w:tc>
      </w:tr>
      <w:tr w:rsidR="0070694B" w:rsidRPr="00E452F7" w14:paraId="6724F725"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5A821C76" w14:textId="102A37F6"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7</w:t>
            </w:r>
          </w:p>
        </w:tc>
        <w:tc>
          <w:tcPr>
            <w:tcW w:w="1440" w:type="dxa"/>
          </w:tcPr>
          <w:p w14:paraId="7F93FD50" w14:textId="3D5FC2DB"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43.66543</w:t>
            </w:r>
          </w:p>
        </w:tc>
        <w:tc>
          <w:tcPr>
            <w:tcW w:w="1440" w:type="dxa"/>
          </w:tcPr>
          <w:p w14:paraId="6B69D4A8" w14:textId="1DC31D15"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7.312154</w:t>
            </w:r>
          </w:p>
        </w:tc>
        <w:tc>
          <w:tcPr>
            <w:tcW w:w="1260" w:type="dxa"/>
          </w:tcPr>
          <w:p w14:paraId="56100EC4" w14:textId="613F7A14"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4.577745</w:t>
            </w:r>
          </w:p>
        </w:tc>
        <w:tc>
          <w:tcPr>
            <w:tcW w:w="1530" w:type="dxa"/>
          </w:tcPr>
          <w:p w14:paraId="41135809" w14:textId="5B3B4E18"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2.128229</w:t>
            </w:r>
          </w:p>
        </w:tc>
        <w:tc>
          <w:tcPr>
            <w:tcW w:w="1350" w:type="dxa"/>
          </w:tcPr>
          <w:p w14:paraId="1E251B27" w14:textId="0D2FE017"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18.13456</w:t>
            </w:r>
          </w:p>
        </w:tc>
        <w:tc>
          <w:tcPr>
            <w:tcW w:w="1350" w:type="dxa"/>
          </w:tcPr>
          <w:p w14:paraId="108F5E65" w14:textId="00B47F04"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24.18189</w:t>
            </w:r>
          </w:p>
        </w:tc>
      </w:tr>
      <w:tr w:rsidR="0070694B" w:rsidRPr="00E452F7" w14:paraId="4D4637EB"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774AB9AC" w14:textId="19DC1EB8"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8</w:t>
            </w:r>
          </w:p>
        </w:tc>
        <w:tc>
          <w:tcPr>
            <w:tcW w:w="1440" w:type="dxa"/>
          </w:tcPr>
          <w:p w14:paraId="1474259A" w14:textId="28D82C45"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43.45904</w:t>
            </w:r>
          </w:p>
        </w:tc>
        <w:tc>
          <w:tcPr>
            <w:tcW w:w="1440" w:type="dxa"/>
          </w:tcPr>
          <w:p w14:paraId="46D34216" w14:textId="08270ABE"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7.417579</w:t>
            </w:r>
          </w:p>
        </w:tc>
        <w:tc>
          <w:tcPr>
            <w:tcW w:w="1260" w:type="dxa"/>
          </w:tcPr>
          <w:p w14:paraId="319B2839" w14:textId="5CD3CCED"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4.539310</w:t>
            </w:r>
          </w:p>
        </w:tc>
        <w:tc>
          <w:tcPr>
            <w:tcW w:w="1530" w:type="dxa"/>
          </w:tcPr>
          <w:p w14:paraId="2862F191" w14:textId="446978E3"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2.109435</w:t>
            </w:r>
          </w:p>
        </w:tc>
        <w:tc>
          <w:tcPr>
            <w:tcW w:w="1350" w:type="dxa"/>
          </w:tcPr>
          <w:p w14:paraId="76DA1FDD" w14:textId="1D4F7FAC"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18.09710</w:t>
            </w:r>
          </w:p>
        </w:tc>
        <w:tc>
          <w:tcPr>
            <w:tcW w:w="1350" w:type="dxa"/>
          </w:tcPr>
          <w:p w14:paraId="29055979" w14:textId="0DE1AFD8"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24.37753</w:t>
            </w:r>
          </w:p>
        </w:tc>
      </w:tr>
      <w:tr w:rsidR="0070694B" w:rsidRPr="00E452F7" w14:paraId="668C8261"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Pr>
          <w:p w14:paraId="7A81F100" w14:textId="3772BCB3"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9</w:t>
            </w:r>
          </w:p>
        </w:tc>
        <w:tc>
          <w:tcPr>
            <w:tcW w:w="1440" w:type="dxa"/>
          </w:tcPr>
          <w:p w14:paraId="47E0F6BF" w14:textId="5AC8336F"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43.40341</w:t>
            </w:r>
          </w:p>
        </w:tc>
        <w:tc>
          <w:tcPr>
            <w:tcW w:w="1440" w:type="dxa"/>
          </w:tcPr>
          <w:p w14:paraId="1C66CA91" w14:textId="4D6A228F"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7.442204</w:t>
            </w:r>
          </w:p>
        </w:tc>
        <w:tc>
          <w:tcPr>
            <w:tcW w:w="1260" w:type="dxa"/>
          </w:tcPr>
          <w:p w14:paraId="2E75D39A" w14:textId="7BBC9DBD"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4.528729</w:t>
            </w:r>
          </w:p>
        </w:tc>
        <w:tc>
          <w:tcPr>
            <w:tcW w:w="1530" w:type="dxa"/>
          </w:tcPr>
          <w:p w14:paraId="794373E3" w14:textId="0DFC5B0B"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2.177876</w:t>
            </w:r>
          </w:p>
        </w:tc>
        <w:tc>
          <w:tcPr>
            <w:tcW w:w="1350" w:type="dxa"/>
          </w:tcPr>
          <w:p w14:paraId="2BC1CD78" w14:textId="253D6062"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18.06911</w:t>
            </w:r>
          </w:p>
        </w:tc>
        <w:tc>
          <w:tcPr>
            <w:tcW w:w="1350" w:type="dxa"/>
          </w:tcPr>
          <w:p w14:paraId="44F42DC4" w14:textId="3EA74999"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24.37867</w:t>
            </w:r>
          </w:p>
        </w:tc>
      </w:tr>
      <w:tr w:rsidR="0070694B" w:rsidRPr="00E452F7" w14:paraId="06E9C5C7" w14:textId="77777777" w:rsidTr="004442BF">
        <w:trPr>
          <w:trHeight w:val="80"/>
        </w:trPr>
        <w:tc>
          <w:tcPr>
            <w:cnfStyle w:val="001000000000" w:firstRow="0" w:lastRow="0" w:firstColumn="1" w:lastColumn="0" w:oddVBand="0" w:evenVBand="0" w:oddHBand="0" w:evenHBand="0" w:firstRowFirstColumn="0" w:firstRowLastColumn="0" w:lastRowFirstColumn="0" w:lastRowLastColumn="0"/>
            <w:tcW w:w="985" w:type="dxa"/>
            <w:tcBorders>
              <w:bottom w:val="double" w:sz="4" w:space="0" w:color="auto"/>
            </w:tcBorders>
          </w:tcPr>
          <w:p w14:paraId="20D91F9A" w14:textId="5155089B" w:rsidR="0070694B" w:rsidRPr="00E452F7" w:rsidRDefault="0070694B" w:rsidP="00E452F7">
            <w:pPr>
              <w:pStyle w:val="NoSpacing"/>
              <w:rPr>
                <w:rFonts w:ascii="Times New Roman" w:hAnsi="Times New Roman" w:cs="Times New Roman"/>
                <w:b w:val="0"/>
                <w:color w:val="000000"/>
              </w:rPr>
            </w:pPr>
            <w:r w:rsidRPr="00E452F7">
              <w:rPr>
                <w:rFonts w:ascii="Times New Roman" w:hAnsi="Times New Roman" w:cs="Times New Roman"/>
                <w:b w:val="0"/>
                <w:color w:val="000000"/>
              </w:rPr>
              <w:t> 10</w:t>
            </w:r>
          </w:p>
        </w:tc>
        <w:tc>
          <w:tcPr>
            <w:tcW w:w="1440" w:type="dxa"/>
            <w:tcBorders>
              <w:bottom w:val="double" w:sz="4" w:space="0" w:color="auto"/>
            </w:tcBorders>
          </w:tcPr>
          <w:p w14:paraId="0055BF25" w14:textId="6F71B136"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43.32879</w:t>
            </w:r>
          </w:p>
        </w:tc>
        <w:tc>
          <w:tcPr>
            <w:tcW w:w="1440" w:type="dxa"/>
            <w:tcBorders>
              <w:bottom w:val="double" w:sz="4" w:space="0" w:color="auto"/>
            </w:tcBorders>
          </w:tcPr>
          <w:p w14:paraId="74928F55" w14:textId="77A85F1F"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7.438036</w:t>
            </w:r>
          </w:p>
        </w:tc>
        <w:tc>
          <w:tcPr>
            <w:tcW w:w="1260" w:type="dxa"/>
            <w:tcBorders>
              <w:bottom w:val="double" w:sz="4" w:space="0" w:color="auto"/>
            </w:tcBorders>
          </w:tcPr>
          <w:p w14:paraId="3591A61E" w14:textId="115627DE"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4.547483</w:t>
            </w:r>
          </w:p>
        </w:tc>
        <w:tc>
          <w:tcPr>
            <w:tcW w:w="1530" w:type="dxa"/>
            <w:tcBorders>
              <w:bottom w:val="double" w:sz="4" w:space="0" w:color="auto"/>
            </w:tcBorders>
          </w:tcPr>
          <w:p w14:paraId="2F9EA6E3" w14:textId="31443003"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2.177233</w:t>
            </w:r>
          </w:p>
        </w:tc>
        <w:tc>
          <w:tcPr>
            <w:tcW w:w="1350" w:type="dxa"/>
            <w:tcBorders>
              <w:bottom w:val="double" w:sz="4" w:space="0" w:color="auto"/>
            </w:tcBorders>
          </w:tcPr>
          <w:p w14:paraId="74753212" w14:textId="1FF2BE0E" w:rsidR="0070694B" w:rsidRPr="00E452F7" w:rsidRDefault="0070694B" w:rsidP="00E452F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18.09802</w:t>
            </w:r>
          </w:p>
        </w:tc>
        <w:tc>
          <w:tcPr>
            <w:tcW w:w="1350" w:type="dxa"/>
            <w:tcBorders>
              <w:bottom w:val="double" w:sz="4" w:space="0" w:color="auto"/>
            </w:tcBorders>
          </w:tcPr>
          <w:p w14:paraId="4F0ED40D" w14:textId="3E71E631" w:rsidR="0070694B" w:rsidRPr="00E452F7" w:rsidRDefault="0070694B" w:rsidP="00E452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452F7">
              <w:rPr>
                <w:rFonts w:ascii="Times New Roman" w:hAnsi="Times New Roman" w:cs="Times New Roman"/>
                <w:color w:val="000000"/>
              </w:rPr>
              <w:t> 24.41044</w:t>
            </w:r>
          </w:p>
        </w:tc>
      </w:tr>
    </w:tbl>
    <w:p w14:paraId="3E63C6C3" w14:textId="77777777" w:rsidR="0025209B" w:rsidRPr="00E452F7" w:rsidRDefault="0025209B" w:rsidP="00E452F7">
      <w:pPr>
        <w:spacing w:line="240" w:lineRule="auto"/>
        <w:jc w:val="both"/>
        <w:rPr>
          <w:rFonts w:ascii="Times New Roman" w:hAnsi="Times New Roman" w:cs="Times New Roman"/>
        </w:rPr>
      </w:pPr>
      <w:r w:rsidRPr="00E452F7">
        <w:rPr>
          <w:rFonts w:ascii="Times New Roman" w:hAnsi="Times New Roman" w:cs="Times New Roman"/>
        </w:rPr>
        <w:t xml:space="preserve">Source: Author’s Computation </w:t>
      </w:r>
    </w:p>
    <w:p w14:paraId="2758B0EF" w14:textId="2944EF0C" w:rsidR="0025209B" w:rsidRPr="00E452F7" w:rsidRDefault="008C2A41" w:rsidP="00E452F7">
      <w:pPr>
        <w:spacing w:before="240" w:line="240" w:lineRule="auto"/>
        <w:jc w:val="both"/>
        <w:rPr>
          <w:rFonts w:ascii="Times New Roman" w:hAnsi="Times New Roman" w:cs="Times New Roman"/>
        </w:rPr>
      </w:pPr>
      <w:r w:rsidRPr="00E452F7">
        <w:rPr>
          <w:rFonts w:ascii="Times New Roman" w:hAnsi="Times New Roman" w:cs="Times New Roman"/>
        </w:rPr>
        <w:t>Table 4</w:t>
      </w:r>
      <w:r w:rsidR="0025209B" w:rsidRPr="00E452F7">
        <w:rPr>
          <w:rFonts w:ascii="Times New Roman" w:hAnsi="Times New Roman" w:cs="Times New Roman"/>
        </w:rPr>
        <w:t xml:space="preserve"> shows the Variance Decomposition of O</w:t>
      </w:r>
      <w:r w:rsidR="00F12FEC" w:rsidRPr="00E452F7">
        <w:rPr>
          <w:rFonts w:ascii="Times New Roman" w:hAnsi="Times New Roman" w:cs="Times New Roman"/>
        </w:rPr>
        <w:t>IL (Oil prices), from the T</w:t>
      </w:r>
      <w:r w:rsidR="0094049F" w:rsidRPr="00E452F7">
        <w:rPr>
          <w:rFonts w:ascii="Times New Roman" w:hAnsi="Times New Roman" w:cs="Times New Roman"/>
        </w:rPr>
        <w:t>able</w:t>
      </w:r>
      <w:r w:rsidR="00F12FEC" w:rsidRPr="00E452F7">
        <w:rPr>
          <w:rFonts w:ascii="Times New Roman" w:hAnsi="Times New Roman" w:cs="Times New Roman"/>
        </w:rPr>
        <w:t xml:space="preserve"> 4</w:t>
      </w:r>
      <w:r w:rsidR="0094049F" w:rsidRPr="00E452F7">
        <w:rPr>
          <w:rFonts w:ascii="Times New Roman" w:hAnsi="Times New Roman" w:cs="Times New Roman"/>
        </w:rPr>
        <w:t xml:space="preserve">, </w:t>
      </w:r>
      <w:r w:rsidR="0025209B" w:rsidRPr="00E452F7">
        <w:rPr>
          <w:rFonts w:ascii="Times New Roman" w:hAnsi="Times New Roman" w:cs="Times New Roman"/>
        </w:rPr>
        <w:t xml:space="preserve">in period one, the variation </w:t>
      </w:r>
      <w:r w:rsidR="00F12FEC" w:rsidRPr="00E452F7">
        <w:rPr>
          <w:rFonts w:ascii="Times New Roman" w:hAnsi="Times New Roman" w:cs="Times New Roman"/>
        </w:rPr>
        <w:t xml:space="preserve">oil price </w:t>
      </w:r>
      <w:r w:rsidR="0025209B" w:rsidRPr="00E452F7">
        <w:rPr>
          <w:rFonts w:ascii="Times New Roman" w:hAnsi="Times New Roman" w:cs="Times New Roman"/>
        </w:rPr>
        <w:t>is explained about 100 percent variation in the forecast error shock of itself. In period two, the variation of the forecast error shock OIL is explained about 0.025 percent of the variation in the variable INT (Interest rate). In period three, the variation of the forecast error shock in OIL is explained about 6.83 percent variation in GDP (Gross domestic product).</w:t>
      </w:r>
      <w:r w:rsidR="00AD7DA2" w:rsidRPr="00E452F7">
        <w:rPr>
          <w:rFonts w:ascii="Times New Roman" w:hAnsi="Times New Roman" w:cs="Times New Roman"/>
        </w:rPr>
        <w:t xml:space="preserve"> In period four, the forecast error shock of OIL </w:t>
      </w:r>
      <w:r w:rsidR="0025209B" w:rsidRPr="00E452F7">
        <w:rPr>
          <w:rFonts w:ascii="Times New Roman" w:hAnsi="Times New Roman" w:cs="Times New Roman"/>
        </w:rPr>
        <w:t>explained</w:t>
      </w:r>
      <w:r w:rsidR="00AD7DA2" w:rsidRPr="00E452F7">
        <w:rPr>
          <w:rFonts w:ascii="Times New Roman" w:hAnsi="Times New Roman" w:cs="Times New Roman"/>
        </w:rPr>
        <w:t xml:space="preserve"> about 30 percent </w:t>
      </w:r>
      <w:r w:rsidR="0094049F" w:rsidRPr="00E452F7">
        <w:rPr>
          <w:rFonts w:ascii="Times New Roman" w:hAnsi="Times New Roman" w:cs="Times New Roman"/>
        </w:rPr>
        <w:t xml:space="preserve">variation in EMP (Employment). </w:t>
      </w:r>
      <w:r w:rsidR="00567099" w:rsidRPr="00E452F7">
        <w:rPr>
          <w:rFonts w:ascii="Times New Roman" w:hAnsi="Times New Roman" w:cs="Times New Roman"/>
        </w:rPr>
        <w:t xml:space="preserve">In addition, in period five about 22.8 percent variation in employment is explained by the forecast error shock of oil.  The forecast error shock of </w:t>
      </w:r>
      <w:r w:rsidR="009B1165" w:rsidRPr="00E452F7">
        <w:rPr>
          <w:rFonts w:ascii="Times New Roman" w:hAnsi="Times New Roman" w:cs="Times New Roman"/>
        </w:rPr>
        <w:t>oil shows 6.65 per cent, 7.32 percent, 18 percent, 23.4 percent and 7.44 percent i</w:t>
      </w:r>
      <w:r w:rsidR="00567099" w:rsidRPr="00E452F7">
        <w:rPr>
          <w:rFonts w:ascii="Times New Roman" w:hAnsi="Times New Roman" w:cs="Times New Roman"/>
        </w:rPr>
        <w:t xml:space="preserve">n period six, seven, eight, nine and ten </w:t>
      </w:r>
      <w:r w:rsidR="009B1165" w:rsidRPr="00E452F7">
        <w:rPr>
          <w:rFonts w:ascii="Times New Roman" w:hAnsi="Times New Roman" w:cs="Times New Roman"/>
        </w:rPr>
        <w:t xml:space="preserve">respectively. </w:t>
      </w:r>
      <w:r w:rsidR="00567099" w:rsidRPr="00E452F7">
        <w:rPr>
          <w:rFonts w:ascii="Times New Roman" w:hAnsi="Times New Roman" w:cs="Times New Roman"/>
        </w:rPr>
        <w:t xml:space="preserve"> </w:t>
      </w:r>
    </w:p>
    <w:p w14:paraId="65BAE4E2" w14:textId="3DB012DA" w:rsidR="007133CE" w:rsidRPr="00E452F7" w:rsidRDefault="000F72F0" w:rsidP="00E452F7">
      <w:pPr>
        <w:spacing w:before="240" w:line="240" w:lineRule="auto"/>
        <w:jc w:val="both"/>
        <w:rPr>
          <w:rFonts w:ascii="Times New Roman" w:hAnsi="Times New Roman" w:cs="Times New Roman"/>
          <w:b/>
        </w:rPr>
      </w:pPr>
      <w:r w:rsidRPr="00E452F7">
        <w:rPr>
          <w:rFonts w:ascii="Times New Roman" w:hAnsi="Times New Roman" w:cs="Times New Roman"/>
          <w:b/>
        </w:rPr>
        <w:t xml:space="preserve">Inverse Roots of AR Characteristic Polynomial  </w:t>
      </w:r>
    </w:p>
    <w:p w14:paraId="26191834" w14:textId="77777777" w:rsidR="00253D0D" w:rsidRPr="00E452F7" w:rsidRDefault="00253D0D" w:rsidP="00E452F7">
      <w:pPr>
        <w:spacing w:before="240" w:line="240" w:lineRule="auto"/>
        <w:jc w:val="center"/>
        <w:rPr>
          <w:rFonts w:ascii="Times New Roman" w:hAnsi="Times New Roman" w:cs="Times New Roman"/>
          <w:b/>
        </w:rPr>
      </w:pPr>
      <w:r w:rsidRPr="00E452F7">
        <w:rPr>
          <w:rFonts w:ascii="Times New Roman" w:hAnsi="Times New Roman" w:cs="Times New Roman"/>
          <w:noProof/>
        </w:rPr>
        <w:drawing>
          <wp:inline distT="0" distB="0" distL="0" distR="0" wp14:anchorId="3280B291" wp14:editId="4952B5D7">
            <wp:extent cx="3028950" cy="1704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28950" cy="1704975"/>
                    </a:xfrm>
                    <a:prstGeom prst="rect">
                      <a:avLst/>
                    </a:prstGeom>
                    <a:noFill/>
                    <a:ln>
                      <a:noFill/>
                    </a:ln>
                  </pic:spPr>
                </pic:pic>
              </a:graphicData>
            </a:graphic>
          </wp:inline>
        </w:drawing>
      </w:r>
    </w:p>
    <w:p w14:paraId="1236B969" w14:textId="77777777" w:rsidR="008F084E" w:rsidRPr="00E452F7" w:rsidRDefault="008F084E" w:rsidP="00E452F7">
      <w:pPr>
        <w:spacing w:after="0" w:line="240" w:lineRule="auto"/>
        <w:jc w:val="center"/>
        <w:rPr>
          <w:rFonts w:ascii="Times New Roman" w:hAnsi="Times New Roman" w:cs="Times New Roman"/>
          <w:b/>
        </w:rPr>
      </w:pPr>
      <w:r w:rsidRPr="00E452F7">
        <w:rPr>
          <w:rFonts w:ascii="Times New Roman" w:hAnsi="Times New Roman" w:cs="Times New Roman"/>
          <w:b/>
        </w:rPr>
        <w:t>Figure 1: Stability Test</w:t>
      </w:r>
    </w:p>
    <w:p w14:paraId="74C227ED" w14:textId="7B47F2B3" w:rsidR="0064450E" w:rsidRPr="00E452F7" w:rsidRDefault="0064450E" w:rsidP="00E452F7">
      <w:pPr>
        <w:spacing w:after="0" w:line="240" w:lineRule="auto"/>
        <w:jc w:val="both"/>
        <w:rPr>
          <w:rFonts w:ascii="Times New Roman" w:hAnsi="Times New Roman" w:cs="Times New Roman"/>
          <w:b/>
        </w:rPr>
      </w:pPr>
      <w:r w:rsidRPr="00E452F7">
        <w:rPr>
          <w:rFonts w:ascii="Times New Roman" w:hAnsi="Times New Roman" w:cs="Times New Roman"/>
        </w:rPr>
        <w:t xml:space="preserve">Source: Author’s Computation  </w:t>
      </w:r>
    </w:p>
    <w:p w14:paraId="0C7B45A6" w14:textId="120AA3BE" w:rsidR="0094049F" w:rsidRPr="00E452F7" w:rsidRDefault="0094049F" w:rsidP="00E452F7">
      <w:pPr>
        <w:spacing w:before="240" w:line="240" w:lineRule="auto"/>
        <w:jc w:val="both"/>
        <w:rPr>
          <w:rFonts w:ascii="Times New Roman" w:hAnsi="Times New Roman" w:cs="Times New Roman"/>
        </w:rPr>
      </w:pPr>
      <w:r w:rsidRPr="00E452F7">
        <w:rPr>
          <w:rFonts w:ascii="Times New Roman" w:hAnsi="Times New Roman" w:cs="Times New Roman"/>
        </w:rPr>
        <w:t xml:space="preserve">Figure 1 presents the stability test of the model using the inverse roots of AR characteristic Polynomial.  It can be observed that </w:t>
      </w:r>
      <w:r w:rsidR="00B300D4" w:rsidRPr="00E452F7">
        <w:rPr>
          <w:rFonts w:ascii="Times New Roman" w:hAnsi="Times New Roman" w:cs="Times New Roman"/>
        </w:rPr>
        <w:t xml:space="preserve">the dots fall inside the circle </w:t>
      </w:r>
      <w:r w:rsidR="0064450E" w:rsidRPr="00E452F7">
        <w:rPr>
          <w:rFonts w:ascii="Times New Roman" w:hAnsi="Times New Roman" w:cs="Times New Roman"/>
        </w:rPr>
        <w:t>this means that it satisfies the stability condition.</w:t>
      </w:r>
    </w:p>
    <w:p w14:paraId="3273B142" w14:textId="020DE6DB" w:rsidR="00BA0D31" w:rsidRPr="00E452F7" w:rsidRDefault="00BA0D31" w:rsidP="00E452F7">
      <w:pPr>
        <w:pStyle w:val="ListParagraph"/>
        <w:numPr>
          <w:ilvl w:val="0"/>
          <w:numId w:val="15"/>
        </w:numPr>
        <w:spacing w:after="0" w:line="240" w:lineRule="auto"/>
        <w:ind w:left="720" w:hanging="720"/>
        <w:jc w:val="both"/>
        <w:rPr>
          <w:rFonts w:ascii="Times New Roman" w:hAnsi="Times New Roman" w:cs="Times New Roman"/>
          <w:b/>
          <w:lang w:val="en-GB"/>
        </w:rPr>
      </w:pPr>
      <w:r w:rsidRPr="00E452F7">
        <w:rPr>
          <w:rFonts w:ascii="Times New Roman" w:hAnsi="Times New Roman" w:cs="Times New Roman"/>
          <w:b/>
          <w:lang w:val="en-GB"/>
        </w:rPr>
        <w:t xml:space="preserve">Discussion of Findings </w:t>
      </w:r>
    </w:p>
    <w:p w14:paraId="4640AC60" w14:textId="02D8239A" w:rsidR="00AE0B60" w:rsidRPr="00E452F7" w:rsidRDefault="002E0521" w:rsidP="00E452F7">
      <w:pPr>
        <w:spacing w:line="240" w:lineRule="auto"/>
        <w:jc w:val="both"/>
        <w:rPr>
          <w:rFonts w:ascii="Times New Roman" w:hAnsi="Times New Roman" w:cs="Times New Roman"/>
        </w:rPr>
      </w:pPr>
      <w:r w:rsidRPr="00E452F7">
        <w:rPr>
          <w:rFonts w:ascii="Times New Roman" w:hAnsi="Times New Roman" w:cs="Times New Roman"/>
          <w:lang w:val="en-GB"/>
        </w:rPr>
        <w:t xml:space="preserve">This study examines the impact of oil shock on macroeconomic performance in Nigeria with focused on employment dimension. The preliminary test is carried out using augmented dickey fuller and </w:t>
      </w:r>
      <w:r w:rsidR="008F084E" w:rsidRPr="00E452F7">
        <w:rPr>
          <w:rFonts w:ascii="Times New Roman" w:hAnsi="Times New Roman" w:cs="Times New Roman"/>
          <w:lang w:val="en-GB"/>
        </w:rPr>
        <w:t>Phillips-Perron (PP)</w:t>
      </w:r>
      <w:r w:rsidRPr="00E452F7">
        <w:rPr>
          <w:rFonts w:ascii="Times New Roman" w:hAnsi="Times New Roman" w:cs="Times New Roman"/>
          <w:lang w:val="en-GB"/>
        </w:rPr>
        <w:t xml:space="preserve"> approaches to determine the unit root time series property of the series. Evidence from the </w:t>
      </w:r>
      <w:r w:rsidRPr="00E452F7">
        <w:rPr>
          <w:rFonts w:ascii="Times New Roman" w:hAnsi="Times New Roman" w:cs="Times New Roman"/>
          <w:lang w:val="en-GB"/>
        </w:rPr>
        <w:lastRenderedPageBreak/>
        <w:t xml:space="preserve">result shown that the series are not stationary at the level form, however, became stationary after first difference.  The Johansen cointegration approach was further used to test the number of cointegrating vectors.  </w:t>
      </w:r>
      <w:r w:rsidR="00AE0B60" w:rsidRPr="00E452F7">
        <w:rPr>
          <w:rFonts w:ascii="Times New Roman" w:hAnsi="Times New Roman" w:cs="Times New Roman"/>
        </w:rPr>
        <w:t>The result of the trace and maximum indica</w:t>
      </w:r>
      <w:r w:rsidR="00E70FA0" w:rsidRPr="00E452F7">
        <w:rPr>
          <w:rFonts w:ascii="Times New Roman" w:hAnsi="Times New Roman" w:cs="Times New Roman"/>
        </w:rPr>
        <w:t>te</w:t>
      </w:r>
      <w:r w:rsidR="00AE0B60" w:rsidRPr="00E452F7">
        <w:rPr>
          <w:rFonts w:ascii="Times New Roman" w:hAnsi="Times New Roman" w:cs="Times New Roman"/>
        </w:rPr>
        <w:t xml:space="preserve"> 3 co-integrating relationship while maximum Eigen value indicates 1 co-integrating relationship as well. </w:t>
      </w:r>
      <w:r w:rsidR="00E70FA0" w:rsidRPr="00E452F7">
        <w:rPr>
          <w:rFonts w:ascii="Times New Roman" w:hAnsi="Times New Roman" w:cs="Times New Roman"/>
        </w:rPr>
        <w:t xml:space="preserve">Based on this outcome, the long-run equation was estimated.  </w:t>
      </w:r>
      <w:r w:rsidR="00AE0B60" w:rsidRPr="00E452F7">
        <w:rPr>
          <w:rFonts w:ascii="Times New Roman" w:hAnsi="Times New Roman" w:cs="Times New Roman"/>
        </w:rPr>
        <w:t xml:space="preserve">Evidence from the long-run relationship showed that employment has a negative relationship with aggregated output, exchange rate and oil prices. </w:t>
      </w:r>
      <w:r w:rsidR="00A44CDE" w:rsidRPr="00E452F7">
        <w:rPr>
          <w:rFonts w:ascii="Times New Roman" w:hAnsi="Times New Roman" w:cs="Times New Roman"/>
        </w:rPr>
        <w:t xml:space="preserve">This result contradict the study by Katireioglu, Sertoglu, Candemir and Mercan, 2015 that report a positive relationship between oil price and employment. Theoretically, the implication of exchange can be either negative or positive. </w:t>
      </w:r>
      <w:r w:rsidR="00390C87" w:rsidRPr="00E452F7">
        <w:rPr>
          <w:rFonts w:ascii="Times New Roman" w:hAnsi="Times New Roman" w:cs="Times New Roman"/>
        </w:rPr>
        <w:t xml:space="preserve">According to the Marshall-Lerner condition, the implications of exchange rate depend on the sum of the long-term import demand elasticities.  </w:t>
      </w:r>
      <w:r w:rsidR="00A44CDE" w:rsidRPr="00E452F7">
        <w:rPr>
          <w:rFonts w:ascii="Times New Roman" w:hAnsi="Times New Roman" w:cs="Times New Roman"/>
        </w:rPr>
        <w:t>Also, the study is line with study of Asaleye, Olurinola, Oloni and Ogunjobi</w:t>
      </w:r>
      <w:r w:rsidR="00B92FE7" w:rsidRPr="00E452F7">
        <w:rPr>
          <w:rFonts w:ascii="Times New Roman" w:hAnsi="Times New Roman" w:cs="Times New Roman"/>
        </w:rPr>
        <w:t xml:space="preserve"> (2017)</w:t>
      </w:r>
      <w:r w:rsidR="00A44CDE" w:rsidRPr="00E452F7">
        <w:rPr>
          <w:rFonts w:ascii="Times New Roman" w:hAnsi="Times New Roman" w:cs="Times New Roman"/>
        </w:rPr>
        <w:t xml:space="preserve"> that documented a negative relationship between output and employment in Nigeria. The </w:t>
      </w:r>
      <w:r w:rsidR="00862570" w:rsidRPr="00E452F7">
        <w:rPr>
          <w:rFonts w:ascii="Times New Roman" w:hAnsi="Times New Roman" w:cs="Times New Roman"/>
        </w:rPr>
        <w:t>consequence</w:t>
      </w:r>
      <w:r w:rsidR="00A44CDE" w:rsidRPr="00E452F7">
        <w:rPr>
          <w:rFonts w:ascii="Times New Roman" w:hAnsi="Times New Roman" w:cs="Times New Roman"/>
        </w:rPr>
        <w:t xml:space="preserve"> of the result is that dependence on the oil sector has </w:t>
      </w:r>
      <w:r w:rsidR="00B92FE7" w:rsidRPr="00E452F7">
        <w:rPr>
          <w:rFonts w:ascii="Times New Roman" w:hAnsi="Times New Roman" w:cs="Times New Roman"/>
        </w:rPr>
        <w:t xml:space="preserve">not </w:t>
      </w:r>
      <w:r w:rsidR="00A44CDE" w:rsidRPr="00E452F7">
        <w:rPr>
          <w:rFonts w:ascii="Times New Roman" w:hAnsi="Times New Roman" w:cs="Times New Roman"/>
        </w:rPr>
        <w:t>promote</w:t>
      </w:r>
      <w:r w:rsidR="00B92FE7" w:rsidRPr="00E452F7">
        <w:rPr>
          <w:rFonts w:ascii="Times New Roman" w:hAnsi="Times New Roman" w:cs="Times New Roman"/>
        </w:rPr>
        <w:t>d</w:t>
      </w:r>
      <w:r w:rsidR="00A44CDE" w:rsidRPr="00E452F7">
        <w:rPr>
          <w:rFonts w:ascii="Times New Roman" w:hAnsi="Times New Roman" w:cs="Times New Roman"/>
        </w:rPr>
        <w:t xml:space="preserve"> employment generation over </w:t>
      </w:r>
      <w:r w:rsidR="00B92FE7" w:rsidRPr="00E452F7">
        <w:rPr>
          <w:rFonts w:ascii="Times New Roman" w:hAnsi="Times New Roman" w:cs="Times New Roman"/>
        </w:rPr>
        <w:t>time;</w:t>
      </w:r>
      <w:r w:rsidR="00A44CDE" w:rsidRPr="00E452F7">
        <w:rPr>
          <w:rFonts w:ascii="Times New Roman" w:hAnsi="Times New Roman" w:cs="Times New Roman"/>
        </w:rPr>
        <w:t xml:space="preserve"> there is a need to consider an alternative means to ensure sustainable growth and development. The </w:t>
      </w:r>
      <w:r w:rsidR="00B92FE7" w:rsidRPr="00E452F7">
        <w:rPr>
          <w:rFonts w:ascii="Times New Roman" w:hAnsi="Times New Roman" w:cs="Times New Roman"/>
        </w:rPr>
        <w:t>interest</w:t>
      </w:r>
      <w:r w:rsidR="00A44CDE" w:rsidRPr="00E452F7">
        <w:rPr>
          <w:rFonts w:ascii="Times New Roman" w:hAnsi="Times New Roman" w:cs="Times New Roman"/>
        </w:rPr>
        <w:t xml:space="preserve"> rate and consumer price index has a positive relationship with employment. Variation in oil shock affects most of the macroeconomic variables. More specifically, the oil price shock shows more variation across the </w:t>
      </w:r>
      <w:r w:rsidR="00B92FE7" w:rsidRPr="00E452F7">
        <w:rPr>
          <w:rFonts w:ascii="Times New Roman" w:hAnsi="Times New Roman" w:cs="Times New Roman"/>
        </w:rPr>
        <w:t>time horizon for employment. This finding is in line with studies by Eugenidis (2018</w:t>
      </w:r>
      <w:r w:rsidR="00191330" w:rsidRPr="00E452F7">
        <w:rPr>
          <w:rFonts w:ascii="Times New Roman" w:hAnsi="Times New Roman" w:cs="Times New Roman"/>
        </w:rPr>
        <w:t>), Herwartz and Plodt (2016),</w:t>
      </w:r>
      <w:r w:rsidR="00B92FE7" w:rsidRPr="00E452F7">
        <w:rPr>
          <w:rFonts w:ascii="Times New Roman" w:hAnsi="Times New Roman" w:cs="Times New Roman"/>
        </w:rPr>
        <w:t xml:space="preserve"> </w:t>
      </w:r>
      <w:r w:rsidR="00191330" w:rsidRPr="00E452F7">
        <w:rPr>
          <w:rFonts w:ascii="Times New Roman" w:hAnsi="Times New Roman" w:cs="Times New Roman"/>
        </w:rPr>
        <w:t xml:space="preserve">Lorusso and Pieroni (2018) that document oil price shock variation on macroeconomic performance. </w:t>
      </w:r>
    </w:p>
    <w:p w14:paraId="7D4D8B9A" w14:textId="2AE6D28A" w:rsidR="0025209B" w:rsidRPr="00E452F7" w:rsidRDefault="0025209B" w:rsidP="00E452F7">
      <w:pPr>
        <w:spacing w:after="0" w:line="240" w:lineRule="auto"/>
        <w:jc w:val="both"/>
        <w:rPr>
          <w:rFonts w:ascii="Times New Roman" w:hAnsi="Times New Roman" w:cs="Times New Roman"/>
        </w:rPr>
      </w:pPr>
      <w:r w:rsidRPr="00E452F7">
        <w:rPr>
          <w:rFonts w:ascii="Times New Roman" w:hAnsi="Times New Roman" w:cs="Times New Roman"/>
          <w:b/>
          <w:lang w:val="en-GB"/>
        </w:rPr>
        <w:t>5.</w:t>
      </w:r>
      <w:r w:rsidRPr="00E452F7">
        <w:rPr>
          <w:rFonts w:ascii="Times New Roman" w:hAnsi="Times New Roman" w:cs="Times New Roman"/>
          <w:b/>
          <w:lang w:val="en-GB"/>
        </w:rPr>
        <w:tab/>
        <w:t>Conclusion</w:t>
      </w:r>
    </w:p>
    <w:p w14:paraId="5627027A" w14:textId="77777777" w:rsidR="00BF5985" w:rsidRPr="00E452F7" w:rsidRDefault="00191330" w:rsidP="00E452F7">
      <w:pPr>
        <w:spacing w:line="240" w:lineRule="auto"/>
        <w:jc w:val="both"/>
        <w:rPr>
          <w:rFonts w:ascii="Times New Roman" w:hAnsi="Times New Roman" w:cs="Times New Roman"/>
        </w:rPr>
      </w:pPr>
      <w:r w:rsidRPr="00E452F7">
        <w:rPr>
          <w:rFonts w:ascii="Times New Roman" w:hAnsi="Times New Roman" w:cs="Times New Roman"/>
        </w:rPr>
        <w:t xml:space="preserve">The Nigerian economy has depended on the oil sector as the main source of revenue. Due to the heavy dependence on the oil </w:t>
      </w:r>
      <w:r w:rsidR="003B1256" w:rsidRPr="00E452F7">
        <w:rPr>
          <w:rFonts w:ascii="Times New Roman" w:hAnsi="Times New Roman" w:cs="Times New Roman"/>
        </w:rPr>
        <w:t>sector, which has exposed the country to both internal and external shocks,</w:t>
      </w:r>
      <w:r w:rsidRPr="00E452F7">
        <w:rPr>
          <w:rFonts w:ascii="Times New Roman" w:hAnsi="Times New Roman" w:cs="Times New Roman"/>
        </w:rPr>
        <w:t xml:space="preserve"> affecting the macroeconomic performance.</w:t>
      </w:r>
      <w:r w:rsidR="003B1256" w:rsidRPr="00E452F7">
        <w:rPr>
          <w:rFonts w:ascii="Times New Roman" w:hAnsi="Times New Roman" w:cs="Times New Roman"/>
        </w:rPr>
        <w:t xml:space="preserve"> Likewise, in the last decade, the global economy has continued friable due to the global financial crisis in 2008, which has affected Nigeria indirectly. Reduction in oil price in the international market, coupled high demand of foreign goods and </w:t>
      </w:r>
      <w:r w:rsidRPr="00E452F7">
        <w:rPr>
          <w:rFonts w:ascii="Times New Roman" w:hAnsi="Times New Roman" w:cs="Times New Roman"/>
        </w:rPr>
        <w:t>wide swings of oil prices in the international market has posed different challenges for policies to</w:t>
      </w:r>
      <w:r w:rsidR="003B1256" w:rsidRPr="00E452F7">
        <w:rPr>
          <w:rFonts w:ascii="Times New Roman" w:hAnsi="Times New Roman" w:cs="Times New Roman"/>
        </w:rPr>
        <w:t xml:space="preserve"> promote growth and development. </w:t>
      </w:r>
      <w:r w:rsidRPr="00E452F7">
        <w:rPr>
          <w:rFonts w:ascii="Times New Roman" w:hAnsi="Times New Roman" w:cs="Times New Roman"/>
        </w:rPr>
        <w:t xml:space="preserve">In recent time, the Nigerian government has emphasised on the diversification of the economy, one of the main reasons for this call is as the result of uncertainty in the oil sector. </w:t>
      </w:r>
      <w:r w:rsidR="00036715" w:rsidRPr="00E452F7">
        <w:rPr>
          <w:rFonts w:ascii="Times New Roman" w:hAnsi="Times New Roman" w:cs="Times New Roman"/>
        </w:rPr>
        <w:t>Ensuring</w:t>
      </w:r>
      <w:r w:rsidRPr="00E452F7">
        <w:rPr>
          <w:rFonts w:ascii="Times New Roman" w:hAnsi="Times New Roman" w:cs="Times New Roman"/>
        </w:rPr>
        <w:t xml:space="preserve"> macroeconomic stability is imperative to improve the macroeconomic problems the country is facing for decades such as high unemployment rate, poverty rate and low standard of living</w:t>
      </w:r>
      <w:r w:rsidR="003B1256" w:rsidRPr="00E452F7">
        <w:rPr>
          <w:rFonts w:ascii="Times New Roman" w:hAnsi="Times New Roman" w:cs="Times New Roman"/>
        </w:rPr>
        <w:t>.</w:t>
      </w:r>
      <w:r w:rsidRPr="00E452F7">
        <w:rPr>
          <w:rFonts w:ascii="Times New Roman" w:hAnsi="Times New Roman" w:cs="Times New Roman"/>
        </w:rPr>
        <w:t xml:space="preserve"> </w:t>
      </w:r>
      <w:r w:rsidR="00BD25B4" w:rsidRPr="00E452F7">
        <w:rPr>
          <w:rFonts w:ascii="Times New Roman" w:hAnsi="Times New Roman" w:cs="Times New Roman"/>
        </w:rPr>
        <w:t>This study investigates the impact of oil shock on macroeco</w:t>
      </w:r>
      <w:r w:rsidR="002D602E" w:rsidRPr="00E452F7">
        <w:rPr>
          <w:rFonts w:ascii="Times New Roman" w:hAnsi="Times New Roman" w:cs="Times New Roman"/>
        </w:rPr>
        <w:t>nomic performance using Structural V</w:t>
      </w:r>
      <w:r w:rsidR="00BD25B4" w:rsidRPr="00E452F7">
        <w:rPr>
          <w:rFonts w:ascii="Times New Roman" w:hAnsi="Times New Roman" w:cs="Times New Roman"/>
        </w:rPr>
        <w:t xml:space="preserve">ector Autoregression </w:t>
      </w:r>
      <w:r w:rsidR="002D602E" w:rsidRPr="00E452F7">
        <w:rPr>
          <w:rFonts w:ascii="Times New Roman" w:hAnsi="Times New Roman" w:cs="Times New Roman"/>
        </w:rPr>
        <w:t xml:space="preserve">and </w:t>
      </w:r>
      <w:r w:rsidR="00036715" w:rsidRPr="00E452F7">
        <w:rPr>
          <w:rFonts w:ascii="Times New Roman" w:hAnsi="Times New Roman" w:cs="Times New Roman"/>
        </w:rPr>
        <w:t xml:space="preserve">normalized equation </w:t>
      </w:r>
      <w:r w:rsidR="002D602E" w:rsidRPr="00E452F7">
        <w:rPr>
          <w:rFonts w:ascii="Times New Roman" w:hAnsi="Times New Roman" w:cs="Times New Roman"/>
        </w:rPr>
        <w:t xml:space="preserve">was used to established the long-run equation. </w:t>
      </w:r>
    </w:p>
    <w:p w14:paraId="77236BBB" w14:textId="347D5E86" w:rsidR="00BD25B4" w:rsidRPr="00E452F7" w:rsidRDefault="00BD25B4" w:rsidP="00E452F7">
      <w:pPr>
        <w:spacing w:line="240" w:lineRule="auto"/>
        <w:jc w:val="both"/>
        <w:rPr>
          <w:rFonts w:ascii="Times New Roman" w:hAnsi="Times New Roman" w:cs="Times New Roman"/>
        </w:rPr>
      </w:pPr>
      <w:r w:rsidRPr="00E452F7">
        <w:rPr>
          <w:rFonts w:ascii="Times New Roman" w:hAnsi="Times New Roman" w:cs="Times New Roman"/>
        </w:rPr>
        <w:t xml:space="preserve">Evidence from the long-run relationship showed that employment has a negative relationship with aggregated output, exchange rate and oil prices. The interest rate and consumer price index has a positive relationship with employment. Variation in oil shock affects most of the macroeconomic variables. More </w:t>
      </w:r>
      <w:r w:rsidR="00036715" w:rsidRPr="00E452F7">
        <w:rPr>
          <w:rFonts w:ascii="Times New Roman" w:hAnsi="Times New Roman" w:cs="Times New Roman"/>
        </w:rPr>
        <w:t>explicitly</w:t>
      </w:r>
      <w:r w:rsidRPr="00E452F7">
        <w:rPr>
          <w:rFonts w:ascii="Times New Roman" w:hAnsi="Times New Roman" w:cs="Times New Roman"/>
        </w:rPr>
        <w:t xml:space="preserve">, the oil price shock shows more variation across the time horizon for employment. </w:t>
      </w:r>
      <w:r w:rsidR="00036715" w:rsidRPr="00E452F7">
        <w:rPr>
          <w:rFonts w:ascii="Times New Roman" w:hAnsi="Times New Roman" w:cs="Times New Roman"/>
        </w:rPr>
        <w:t xml:space="preserve">The </w:t>
      </w:r>
      <w:r w:rsidR="005E1ECB" w:rsidRPr="00E452F7">
        <w:rPr>
          <w:rFonts w:ascii="Times New Roman" w:hAnsi="Times New Roman" w:cs="Times New Roman"/>
        </w:rPr>
        <w:t>consequence</w:t>
      </w:r>
      <w:r w:rsidR="00036715" w:rsidRPr="00E452F7">
        <w:rPr>
          <w:rFonts w:ascii="Times New Roman" w:hAnsi="Times New Roman" w:cs="Times New Roman"/>
        </w:rPr>
        <w:t xml:space="preserve"> of the result is that dependence on the oil sector has not promoted employment generation over time; there is a need to consider an alternative means to ensure sustainable growth and development.</w:t>
      </w:r>
      <w:r w:rsidR="00BF5985" w:rsidRPr="00E452F7">
        <w:rPr>
          <w:rFonts w:ascii="Times New Roman" w:hAnsi="Times New Roman" w:cs="Times New Roman"/>
        </w:rPr>
        <w:t xml:space="preserve"> Studies have shown that effect of oil prices affects employment. Most studies focused on the developed economies, this study investigated the impact of oil prices on macroeconomics performance with emphasis on employment. However, this study considered aggregate employment, it is suggested that future study should investigate the impact of oil price on sectoral employment.   </w:t>
      </w:r>
    </w:p>
    <w:p w14:paraId="28387C41" w14:textId="7BACBAA9" w:rsidR="00CC3CAF" w:rsidRPr="00E452F7" w:rsidRDefault="00CC3CAF" w:rsidP="00E452F7">
      <w:pPr>
        <w:spacing w:line="240" w:lineRule="auto"/>
        <w:jc w:val="both"/>
        <w:rPr>
          <w:rFonts w:ascii="Times New Roman" w:hAnsi="Times New Roman" w:cs="Times New Roman"/>
          <w:b/>
        </w:rPr>
      </w:pPr>
      <w:r w:rsidRPr="00E452F7">
        <w:rPr>
          <w:rFonts w:ascii="Times New Roman" w:hAnsi="Times New Roman" w:cs="Times New Roman"/>
          <w:b/>
        </w:rPr>
        <w:t xml:space="preserve">REFERENCES </w:t>
      </w:r>
    </w:p>
    <w:p w14:paraId="1AF93DB7" w14:textId="6950B68F" w:rsidR="00821CC7" w:rsidRPr="00E452F7" w:rsidRDefault="00821CC7" w:rsidP="00E452F7">
      <w:pPr>
        <w:autoSpaceDE w:val="0"/>
        <w:autoSpaceDN w:val="0"/>
        <w:adjustRightInd w:val="0"/>
        <w:spacing w:line="240" w:lineRule="auto"/>
        <w:jc w:val="both"/>
        <w:rPr>
          <w:rFonts w:ascii="Times New Roman" w:hAnsi="Times New Roman" w:cs="Times New Roman"/>
        </w:rPr>
      </w:pPr>
      <w:r w:rsidRPr="00E452F7">
        <w:rPr>
          <w:rFonts w:ascii="Times New Roman" w:hAnsi="Times New Roman" w:cs="Times New Roman"/>
        </w:rPr>
        <w:t xml:space="preserve">Adama, I.J., Asaleye, A.J., Oye, A.J., Ogunjobi, O.J. (2018). Agricultural Production in Rural Communities: Evidence from Nigeria. </w:t>
      </w:r>
      <w:r w:rsidRPr="00E452F7">
        <w:rPr>
          <w:rFonts w:ascii="Times New Roman" w:hAnsi="Times New Roman" w:cs="Times New Roman"/>
          <w:i/>
          <w:iCs/>
        </w:rPr>
        <w:t>Journal of Environmental Management and Tourism</w:t>
      </w:r>
      <w:r w:rsidRPr="00E452F7">
        <w:rPr>
          <w:rFonts w:ascii="Times New Roman" w:hAnsi="Times New Roman" w:cs="Times New Roman"/>
        </w:rPr>
        <w:t>, (Volume IX, Summer), 3(27): 428-438. DOI:10.14505/jemt.v9.3(27).04</w:t>
      </w:r>
    </w:p>
    <w:p w14:paraId="66C15757"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Ahmad, F. (2013). The effects of oil prices on unemployment: evidence from Pakistan. Journal of Business and economic Research, 4(1), 43-57.</w:t>
      </w:r>
    </w:p>
    <w:p w14:paraId="224097D9"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lastRenderedPageBreak/>
        <w:t xml:space="preserve">Ahmed K.,Bhutto N.A., &amp; Kalhoro M.R (2018). Decomposing the links between oil price shocks and macroeconomic indicators: Evidence from SAARC region, </w:t>
      </w:r>
      <w:hyperlink r:id="rId70" w:history="1">
        <w:r w:rsidRPr="00E452F7">
          <w:rPr>
            <w:rStyle w:val="Hyperlink"/>
            <w:rFonts w:ascii="Times New Roman" w:hAnsi="Times New Roman" w:cs="Times New Roman"/>
          </w:rPr>
          <w:t>https://doi.org/10.1016/j.resourpol.2018.03.001</w:t>
        </w:r>
      </w:hyperlink>
    </w:p>
    <w:p w14:paraId="230E213F" w14:textId="77777777" w:rsidR="00821CC7" w:rsidRPr="00E452F7" w:rsidRDefault="00821CC7" w:rsidP="00E452F7">
      <w:pPr>
        <w:autoSpaceDE w:val="0"/>
        <w:autoSpaceDN w:val="0"/>
        <w:adjustRightInd w:val="0"/>
        <w:spacing w:line="240" w:lineRule="auto"/>
        <w:jc w:val="both"/>
        <w:rPr>
          <w:rFonts w:ascii="Times New Roman" w:hAnsi="Times New Roman" w:cs="Times New Roman"/>
          <w:color w:val="000000"/>
        </w:rPr>
      </w:pPr>
      <w:r w:rsidRPr="00E452F7">
        <w:rPr>
          <w:rFonts w:ascii="Times New Roman" w:hAnsi="Times New Roman" w:cs="Times New Roman"/>
          <w:color w:val="000000"/>
        </w:rPr>
        <w:t>Aremu C.O, Alhassan E.A, Asaleye A.J, Alori E., Ige S. and Nayan G. (2018). Effect of Varietal and Tillage Methods on Agronomic and Yield Characters of Rice (ORYLA SATIVA L) International Journal of Civil Engineering and Technology (IJCIET), 9(13): 590 – 600</w:t>
      </w:r>
    </w:p>
    <w:p w14:paraId="3C4FBC7D" w14:textId="77777777" w:rsidR="004176BE" w:rsidRPr="00E452F7" w:rsidRDefault="004176BE" w:rsidP="00E452F7">
      <w:pPr>
        <w:pStyle w:val="Default"/>
        <w:rPr>
          <w:sz w:val="22"/>
          <w:szCs w:val="22"/>
        </w:rPr>
      </w:pPr>
      <w:r w:rsidRPr="00E452F7">
        <w:rPr>
          <w:iCs/>
          <w:sz w:val="22"/>
          <w:szCs w:val="22"/>
        </w:rPr>
        <w:t xml:space="preserve">Arisukwu O. Olasosebikan D. Asaleye A.J. &amp; Asamu F. (2019). Feeding Habit and Health of Undergraduate Students: Evidence from Nigeria, 5(2): 498-506 </w:t>
      </w:r>
      <w:hyperlink r:id="rId71" w:history="1">
        <w:r w:rsidRPr="00E452F7">
          <w:rPr>
            <w:rStyle w:val="Hyperlink"/>
            <w:sz w:val="22"/>
            <w:szCs w:val="22"/>
          </w:rPr>
          <w:t>https://doi.org/10.32861/jssr.52.498.506</w:t>
        </w:r>
      </w:hyperlink>
    </w:p>
    <w:p w14:paraId="2C0734F8" w14:textId="77777777" w:rsidR="004176BE" w:rsidRPr="00E452F7" w:rsidRDefault="004176BE" w:rsidP="00E452F7">
      <w:pPr>
        <w:autoSpaceDE w:val="0"/>
        <w:autoSpaceDN w:val="0"/>
        <w:adjustRightInd w:val="0"/>
        <w:spacing w:line="240" w:lineRule="auto"/>
        <w:jc w:val="both"/>
        <w:rPr>
          <w:rFonts w:ascii="Times New Roman" w:hAnsi="Times New Roman" w:cs="Times New Roman"/>
          <w:iCs/>
        </w:rPr>
      </w:pPr>
    </w:p>
    <w:p w14:paraId="523CF890" w14:textId="4322E064" w:rsidR="00821CC7" w:rsidRPr="00E452F7" w:rsidRDefault="00821CC7" w:rsidP="00E452F7">
      <w:pPr>
        <w:autoSpaceDE w:val="0"/>
        <w:autoSpaceDN w:val="0"/>
        <w:adjustRightInd w:val="0"/>
        <w:spacing w:line="240" w:lineRule="auto"/>
        <w:jc w:val="both"/>
        <w:rPr>
          <w:rFonts w:ascii="Times New Roman" w:hAnsi="Times New Roman" w:cs="Times New Roman"/>
          <w:color w:val="000000"/>
        </w:rPr>
      </w:pPr>
      <w:r w:rsidRPr="00E452F7">
        <w:rPr>
          <w:rFonts w:ascii="Times New Roman" w:hAnsi="Times New Roman" w:cs="Times New Roman"/>
          <w:color w:val="000000"/>
        </w:rPr>
        <w:t>Asaleye A.J,  Isoha L.A, Asamu F., Inegbedion H., Arisukwu O., &amp; Popoola O. (2018). Financial Development, Manufacturing Sector and Sustainability: Evidence from Nigeria, The Journal of Social Sciences Research, 4 (12), 539-546,</w:t>
      </w:r>
      <w:r w:rsidRPr="00E452F7">
        <w:rPr>
          <w:rFonts w:ascii="Times New Roman" w:hAnsi="Times New Roman" w:cs="Times New Roman"/>
        </w:rPr>
        <w:t xml:space="preserve"> </w:t>
      </w:r>
      <w:hyperlink r:id="rId72" w:history="1">
        <w:r w:rsidRPr="00E452F7">
          <w:rPr>
            <w:rStyle w:val="Hyperlink"/>
            <w:rFonts w:ascii="Times New Roman" w:hAnsi="Times New Roman" w:cs="Times New Roman"/>
          </w:rPr>
          <w:t>https://doi.org/10.32861/jssr.412.539.546</w:t>
        </w:r>
      </w:hyperlink>
    </w:p>
    <w:p w14:paraId="081899F0" w14:textId="77777777" w:rsidR="00821CC7" w:rsidRPr="00E452F7" w:rsidRDefault="00821CC7" w:rsidP="00E452F7">
      <w:pPr>
        <w:autoSpaceDE w:val="0"/>
        <w:autoSpaceDN w:val="0"/>
        <w:adjustRightInd w:val="0"/>
        <w:spacing w:line="240" w:lineRule="auto"/>
        <w:jc w:val="both"/>
        <w:rPr>
          <w:rFonts w:ascii="Times New Roman" w:hAnsi="Times New Roman" w:cs="Times New Roman"/>
          <w:color w:val="000000"/>
        </w:rPr>
      </w:pPr>
      <w:r w:rsidRPr="00E452F7">
        <w:rPr>
          <w:rFonts w:ascii="Times New Roman" w:hAnsi="Times New Roman" w:cs="Times New Roman"/>
          <w:color w:val="000000"/>
        </w:rPr>
        <w:t xml:space="preserve">Asaleye A.J, Adama J.I. and  Ogunjobi J.O. (2018). Financial sector and manufacturing sector performance: evidence from Nigeria. Investment Management and Financial Innovations, 15(3), 35-48. </w:t>
      </w:r>
      <w:hyperlink r:id="rId73" w:history="1">
        <w:r w:rsidRPr="00E452F7">
          <w:rPr>
            <w:rStyle w:val="Hyperlink"/>
            <w:rFonts w:ascii="Times New Roman" w:hAnsi="Times New Roman" w:cs="Times New Roman"/>
          </w:rPr>
          <w:t>http://dx.doi.org/10.21511/imfi.15(3).2018.03</w:t>
        </w:r>
      </w:hyperlink>
    </w:p>
    <w:p w14:paraId="32D635B3" w14:textId="77777777" w:rsidR="00821CC7" w:rsidRPr="00E452F7" w:rsidRDefault="00821CC7" w:rsidP="00E452F7">
      <w:pPr>
        <w:spacing w:line="240" w:lineRule="auto"/>
        <w:rPr>
          <w:rFonts w:ascii="Times New Roman" w:hAnsi="Times New Roman" w:cs="Times New Roman"/>
          <w:iCs/>
        </w:rPr>
      </w:pPr>
      <w:r w:rsidRPr="00E452F7">
        <w:rPr>
          <w:rFonts w:ascii="Times New Roman" w:hAnsi="Times New Roman" w:cs="Times New Roman"/>
          <w:iCs/>
        </w:rPr>
        <w:t>Asaleye A.J, Lawal A.I, Popoola O., Alege P.O &amp; Oyetade O.O. (2019). Financial Integration, Employment and Wages Nexus: Evidence from Nigeria, Montenegrin Journal of Economics, 15 (1): 141 - 154 , doi.10.14254/1800-5845/2019.15-1.11</w:t>
      </w:r>
    </w:p>
    <w:p w14:paraId="5ED6DFA1" w14:textId="77777777" w:rsidR="00821CC7" w:rsidRPr="00E452F7" w:rsidRDefault="00821CC7" w:rsidP="00E452F7">
      <w:pPr>
        <w:autoSpaceDE w:val="0"/>
        <w:autoSpaceDN w:val="0"/>
        <w:adjustRightInd w:val="0"/>
        <w:spacing w:line="240" w:lineRule="auto"/>
        <w:jc w:val="both"/>
        <w:rPr>
          <w:rFonts w:ascii="Times New Roman" w:hAnsi="Times New Roman" w:cs="Times New Roman"/>
          <w:color w:val="000000"/>
        </w:rPr>
      </w:pPr>
      <w:r w:rsidRPr="00E452F7">
        <w:rPr>
          <w:rFonts w:ascii="Times New Roman" w:hAnsi="Times New Roman" w:cs="Times New Roman"/>
          <w:color w:val="000000"/>
        </w:rPr>
        <w:t xml:space="preserve">Asaleye A.J, Popoola O., Lawal A.I, Ogundipe A.and Ezenwoke  O. (2018). The credit channels of monetary policy transmission: implications on output and employment in Nigeria. Banks and Bank Systems, 13(4), 103-118. </w:t>
      </w:r>
      <w:hyperlink r:id="rId74" w:history="1">
        <w:r w:rsidRPr="00E452F7">
          <w:rPr>
            <w:rStyle w:val="Hyperlink"/>
            <w:rFonts w:ascii="Times New Roman" w:hAnsi="Times New Roman" w:cs="Times New Roman"/>
          </w:rPr>
          <w:t>http://dx.doi.org/10.21511/bbs.13(4).2018.10</w:t>
        </w:r>
      </w:hyperlink>
    </w:p>
    <w:p w14:paraId="744E07E4" w14:textId="77777777" w:rsidR="00821CC7" w:rsidRPr="00E452F7" w:rsidRDefault="00821CC7" w:rsidP="00E452F7">
      <w:pPr>
        <w:autoSpaceDE w:val="0"/>
        <w:autoSpaceDN w:val="0"/>
        <w:adjustRightInd w:val="0"/>
        <w:spacing w:line="240" w:lineRule="auto"/>
        <w:jc w:val="both"/>
        <w:rPr>
          <w:rFonts w:ascii="Times New Roman" w:hAnsi="Times New Roman" w:cs="Times New Roman"/>
          <w:iCs/>
        </w:rPr>
      </w:pPr>
      <w:r w:rsidRPr="00E452F7">
        <w:rPr>
          <w:rFonts w:ascii="Times New Roman" w:hAnsi="Times New Roman" w:cs="Times New Roman"/>
          <w:iCs/>
        </w:rPr>
        <w:t>Asaleye A.J., Ogala A.F.,Aremu C.O., Ogala C.E., Lawal A.I., Inegbedion H. &amp; Popoola O. (2019). Design and Implementation of Workers’ Pension Verification System in Central Region of Nigeria, International Journal of Mechanical Engineering and Technology; 10(2); 127 – 136</w:t>
      </w:r>
    </w:p>
    <w:p w14:paraId="70919EF3" w14:textId="77777777" w:rsidR="00821CC7" w:rsidRPr="00E452F7" w:rsidRDefault="00821CC7" w:rsidP="00E452F7">
      <w:pPr>
        <w:autoSpaceDE w:val="0"/>
        <w:autoSpaceDN w:val="0"/>
        <w:adjustRightInd w:val="0"/>
        <w:spacing w:line="240" w:lineRule="auto"/>
        <w:jc w:val="both"/>
        <w:rPr>
          <w:rFonts w:ascii="Times New Roman" w:hAnsi="Times New Roman" w:cs="Times New Roman"/>
          <w:color w:val="000000"/>
        </w:rPr>
      </w:pPr>
      <w:r w:rsidRPr="00E452F7">
        <w:rPr>
          <w:rFonts w:ascii="Times New Roman" w:hAnsi="Times New Roman" w:cs="Times New Roman"/>
          <w:color w:val="000000"/>
        </w:rPr>
        <w:t>Asaleye, A.J., Okodua, H., Oloni, E.F., Ogunjobi, J.O. (2017). Trade Openness and Employment: Evidence from Nigeria. Journal of Applied Economic Sciences, Volume XII, Summer, 4(50): 1194-1209.</w:t>
      </w:r>
    </w:p>
    <w:p w14:paraId="1D8BCA7D" w14:textId="77777777" w:rsidR="00821CC7" w:rsidRPr="00E452F7" w:rsidRDefault="00821CC7" w:rsidP="00E452F7">
      <w:pPr>
        <w:autoSpaceDE w:val="0"/>
        <w:autoSpaceDN w:val="0"/>
        <w:adjustRightInd w:val="0"/>
        <w:spacing w:line="240" w:lineRule="auto"/>
        <w:jc w:val="both"/>
        <w:rPr>
          <w:rFonts w:ascii="Times New Roman" w:hAnsi="Times New Roman" w:cs="Times New Roman"/>
          <w:color w:val="000000"/>
        </w:rPr>
      </w:pPr>
      <w:r w:rsidRPr="00E452F7">
        <w:rPr>
          <w:rFonts w:ascii="Times New Roman" w:hAnsi="Times New Roman" w:cs="Times New Roman"/>
          <w:color w:val="000000"/>
        </w:rPr>
        <w:t>Asaleye, A.J., Olurinola, I., Oloni, E.F., Ogunjobi, O. (2017). Productivity growth, wages and employment nexus: Evidence from Nigeria. Journal of Applied Economic Sciences, Volume XII, Fall 5(51): 1362–1376.</w:t>
      </w:r>
    </w:p>
    <w:p w14:paraId="16E3DAC7"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Bwire T., Anguyo F.L. &amp; Opolot (2013). Exchange Rate Pass Through to Domestic Prices in Uganda: Evidence from a Structural Vector Autoregression (SVAR). Journal of Statistical and Econometric Methods, 2(4): 41-68</w:t>
      </w:r>
    </w:p>
    <w:p w14:paraId="3E4CD511" w14:textId="32BFE659"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Byrne J. P., Lorusso M., &amp; Xu B. (2018). Oil prices, fundamentals and expectations, Energy Economics, </w:t>
      </w:r>
      <w:hyperlink r:id="rId75" w:history="1">
        <w:r w:rsidRPr="00E452F7">
          <w:rPr>
            <w:rStyle w:val="Hyperlink"/>
            <w:rFonts w:ascii="Times New Roman" w:hAnsi="Times New Roman" w:cs="Times New Roman"/>
          </w:rPr>
          <w:t>https://doi.org/10.1016/j.eneco.2018.05.011</w:t>
        </w:r>
      </w:hyperlink>
    </w:p>
    <w:p w14:paraId="2496BFAD"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Caldara D, Cavallo M &amp; Lacoviello M (2018). Oil price elasticities and oil price fluctuations, Journal of Monetary Economics 0 0 0: 1–20 </w:t>
      </w:r>
      <w:hyperlink r:id="rId76" w:history="1">
        <w:r w:rsidRPr="00E452F7">
          <w:rPr>
            <w:rStyle w:val="Hyperlink"/>
            <w:rFonts w:ascii="Times New Roman" w:hAnsi="Times New Roman" w:cs="Times New Roman"/>
          </w:rPr>
          <w:t>https://doi.org/10.1016/j.jmoneco.2018.08.004</w:t>
        </w:r>
      </w:hyperlink>
    </w:p>
    <w:p w14:paraId="464402CD" w14:textId="77777777" w:rsidR="00821CC7" w:rsidRPr="00E452F7" w:rsidRDefault="00821CC7" w:rsidP="00E452F7">
      <w:pPr>
        <w:spacing w:line="240" w:lineRule="auto"/>
        <w:rPr>
          <w:rFonts w:ascii="Times New Roman" w:hAnsi="Times New Roman" w:cs="Times New Roman"/>
        </w:rPr>
      </w:pPr>
      <w:r w:rsidRPr="00E452F7">
        <w:rPr>
          <w:rFonts w:ascii="Times New Roman" w:hAnsi="Times New Roman" w:cs="Times New Roman"/>
        </w:rPr>
        <w:t xml:space="preserve">Chen P. (2015). Global oil prices, macroeconomic fundamentals and China's commodity sector co-movements, Energy Policy87, 284–294 </w:t>
      </w:r>
      <w:hyperlink r:id="rId77" w:history="1">
        <w:r w:rsidRPr="00E452F7">
          <w:rPr>
            <w:rStyle w:val="Hyperlink"/>
            <w:rFonts w:ascii="Times New Roman" w:hAnsi="Times New Roman" w:cs="Times New Roman"/>
          </w:rPr>
          <w:t>http://dx.doi.org/10.1016/j.enpol.2015.09.024</w:t>
        </w:r>
      </w:hyperlink>
    </w:p>
    <w:p w14:paraId="3A2C39BB" w14:textId="77777777" w:rsidR="00821CC7" w:rsidRPr="00E452F7" w:rsidRDefault="00821CC7" w:rsidP="00E452F7">
      <w:pPr>
        <w:spacing w:line="240" w:lineRule="auto"/>
        <w:rPr>
          <w:rFonts w:ascii="Times New Roman" w:hAnsi="Times New Roman" w:cs="Times New Roman"/>
        </w:rPr>
      </w:pPr>
      <w:r w:rsidRPr="00E452F7">
        <w:rPr>
          <w:rFonts w:ascii="Times New Roman" w:hAnsi="Times New Roman" w:cs="Times New Roman"/>
        </w:rPr>
        <w:t xml:space="preserve">Chen W., Hamori S. &amp; Kinkyo T. (2014). Macroeconomic impacts of oil prices and underlying financial shocks, Journal of International Financial Markets, Institutions and Money, 29: 1– 12 </w:t>
      </w:r>
      <w:hyperlink r:id="rId78" w:history="1">
        <w:r w:rsidRPr="00E452F7">
          <w:rPr>
            <w:rStyle w:val="Hyperlink"/>
            <w:rFonts w:ascii="Times New Roman" w:hAnsi="Times New Roman" w:cs="Times New Roman"/>
          </w:rPr>
          <w:t>http://dx.doi.org/10.1016/j.intfin.2013.11.006</w:t>
        </w:r>
      </w:hyperlink>
    </w:p>
    <w:p w14:paraId="4DAF8ACF" w14:textId="77777777" w:rsidR="00821CC7" w:rsidRPr="00E452F7" w:rsidRDefault="00821CC7" w:rsidP="00E452F7">
      <w:pPr>
        <w:spacing w:line="240" w:lineRule="auto"/>
        <w:jc w:val="both"/>
        <w:rPr>
          <w:rStyle w:val="Hyperlink"/>
          <w:rFonts w:ascii="Times New Roman" w:hAnsi="Times New Roman" w:cs="Times New Roman"/>
          <w:color w:val="auto"/>
        </w:rPr>
      </w:pPr>
      <w:r w:rsidRPr="00E452F7">
        <w:rPr>
          <w:rFonts w:ascii="Times New Roman" w:hAnsi="Times New Roman" w:cs="Times New Roman"/>
          <w:shd w:val="clear" w:color="auto" w:fill="FFFFFF"/>
        </w:rPr>
        <w:lastRenderedPageBreak/>
        <w:t>Clark, P. B. &amp; MacDonald, R. R (1998)., Exchange Rates and Economic Fundamentals: A Methodological Comparison of Beers and Feers. IMF Working Paper, Vol., pp. 1-38, 1998. Available at SSRN: </w:t>
      </w:r>
      <w:hyperlink r:id="rId79" w:tgtFrame="_blank" w:history="1">
        <w:r w:rsidRPr="00E452F7">
          <w:rPr>
            <w:rFonts w:ascii="Times New Roman" w:hAnsi="Times New Roman" w:cs="Times New Roman"/>
            <w:shd w:val="clear" w:color="auto" w:fill="FFFFFF"/>
          </w:rPr>
          <w:t>https://ssrn.com/abstract=882342</w:t>
        </w:r>
      </w:hyperlink>
    </w:p>
    <w:p w14:paraId="626CF2CD"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Cunado J.,Jo S. &amp; Gracia F. (2015). Macroeconomic impacts of oil price shocks in Asian economies, Energy Policy 86:867–879 </w:t>
      </w:r>
      <w:hyperlink r:id="rId80" w:history="1">
        <w:r w:rsidRPr="00E452F7">
          <w:rPr>
            <w:rStyle w:val="Hyperlink"/>
            <w:rFonts w:ascii="Times New Roman" w:hAnsi="Times New Roman" w:cs="Times New Roman"/>
          </w:rPr>
          <w:t>http://dx.doi.org/10.1016/j.enpol.2015.05.004</w:t>
        </w:r>
      </w:hyperlink>
    </w:p>
    <w:p w14:paraId="08AB86E1"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Ender W. (2003). Applied Econometrics Time Series, Page 221, John Wiley and Sons.</w:t>
      </w:r>
    </w:p>
    <w:p w14:paraId="37622880" w14:textId="77777777" w:rsidR="00821CC7" w:rsidRPr="00E452F7" w:rsidRDefault="00821CC7" w:rsidP="00E452F7">
      <w:pPr>
        <w:spacing w:line="240" w:lineRule="auto"/>
        <w:rPr>
          <w:rFonts w:ascii="Times New Roman" w:hAnsi="Times New Roman" w:cs="Times New Roman"/>
        </w:rPr>
      </w:pPr>
      <w:r w:rsidRPr="00E452F7">
        <w:rPr>
          <w:rFonts w:ascii="Times New Roman" w:hAnsi="Times New Roman" w:cs="Times New Roman"/>
        </w:rPr>
        <w:t xml:space="preserve">Evgenidis A. (2018). Do all oil price shocks have the same impact? Evidence from the euro area, Finance Research Letters 26, 150–155 </w:t>
      </w:r>
      <w:hyperlink r:id="rId81" w:history="1">
        <w:r w:rsidRPr="00E452F7">
          <w:rPr>
            <w:rStyle w:val="Hyperlink"/>
            <w:rFonts w:ascii="Times New Roman" w:hAnsi="Times New Roman" w:cs="Times New Roman"/>
          </w:rPr>
          <w:t>https://doi.org/10.1016/j.frl.2017.12.013</w:t>
        </w:r>
      </w:hyperlink>
    </w:p>
    <w:p w14:paraId="4BB88A45" w14:textId="77777777" w:rsidR="00821CC7" w:rsidRPr="00E452F7" w:rsidRDefault="00821CC7" w:rsidP="00E452F7">
      <w:pPr>
        <w:autoSpaceDE w:val="0"/>
        <w:autoSpaceDN w:val="0"/>
        <w:adjustRightInd w:val="0"/>
        <w:spacing w:line="240" w:lineRule="auto"/>
        <w:jc w:val="both"/>
        <w:rPr>
          <w:rFonts w:ascii="Times New Roman" w:hAnsi="Times New Roman" w:cs="Times New Roman"/>
          <w:iCs/>
        </w:rPr>
      </w:pPr>
      <w:r w:rsidRPr="00E452F7">
        <w:rPr>
          <w:rFonts w:ascii="Times New Roman" w:hAnsi="Times New Roman" w:cs="Times New Roman"/>
          <w:iCs/>
        </w:rPr>
        <w:t>Fashina, O. A., Asaleye, A.J., Ogunjobi, J.O., &amp; Lawal, A.I. (2018). Foreign aid, human capital and economic growth nexus: Evidence from Nigeria. Journal of International Studies, 11(2), 104-117. doi:10.14254/2071-8330.2018/11-2/8</w:t>
      </w:r>
    </w:p>
    <w:p w14:paraId="019D55C2"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Gupta K. &amp; Krishnamurti C. (2018). Do macroeconomic conditions and oil prices influence corporate risk-taking? Journal of Corporate Finance 53, 65–86 </w:t>
      </w:r>
      <w:hyperlink r:id="rId82" w:history="1">
        <w:r w:rsidRPr="00E452F7">
          <w:rPr>
            <w:rStyle w:val="Hyperlink"/>
            <w:rFonts w:ascii="Times New Roman" w:hAnsi="Times New Roman" w:cs="Times New Roman"/>
          </w:rPr>
          <w:t>https://doi.org/10.1016/j.jcorpfin.2018.10.003</w:t>
        </w:r>
      </w:hyperlink>
    </w:p>
    <w:p w14:paraId="0BEF9B0B"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Hahn E. (2003). Pass-through of External Shocks to Euro Areas Inflation, European Central Bank Working Paper Series </w:t>
      </w:r>
      <w:hyperlink r:id="rId83" w:history="1">
        <w:r w:rsidRPr="00E452F7">
          <w:rPr>
            <w:rStyle w:val="Hyperlink"/>
            <w:rFonts w:ascii="Times New Roman" w:hAnsi="Times New Roman" w:cs="Times New Roman"/>
          </w:rPr>
          <w:t>https://www.ecb.europa.eu/pub/pdf/scpwps/ecbwp243.pdf</w:t>
        </w:r>
      </w:hyperlink>
    </w:p>
    <w:p w14:paraId="021BA4E1"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Hamilton J.D. (1994). Time Series Analysis, Princeton University Press  </w:t>
      </w:r>
      <w:hyperlink r:id="rId84" w:history="1">
        <w:r w:rsidRPr="00E452F7">
          <w:rPr>
            <w:rStyle w:val="Hyperlink"/>
            <w:rFonts w:ascii="Times New Roman" w:hAnsi="Times New Roman" w:cs="Times New Roman"/>
          </w:rPr>
          <w:t>https://doi.org/10.1017/S0266466600009440</w:t>
        </w:r>
      </w:hyperlink>
    </w:p>
    <w:p w14:paraId="79910D56"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Ito T. &amp; Sato K. (2007). Exchange Rate Pass-Through and Domestic Inflation: A Comparison between East Asia and Latin American Countries, RIETI Discussion Paper Series 07-E-040 </w:t>
      </w:r>
      <w:hyperlink r:id="rId85" w:history="1">
        <w:r w:rsidRPr="00E452F7">
          <w:rPr>
            <w:rStyle w:val="Hyperlink"/>
            <w:rFonts w:ascii="Times New Roman" w:hAnsi="Times New Roman" w:cs="Times New Roman"/>
          </w:rPr>
          <w:t>https://www.rieti.go.jp/jp/publications/dp/07e040.pdf</w:t>
        </w:r>
      </w:hyperlink>
    </w:p>
    <w:p w14:paraId="4CB98A47"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Johansen S. (1995). A Statistical Analysis of Cointegration for I(2) Variables, Economic Theory, 11(1): 25 – 59</w:t>
      </w:r>
    </w:p>
    <w:p w14:paraId="04FA997E"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Ju K, Su B., Zhou D, Wu J and Liu L (2016). Macroeconomic performance of oil price shocks: Outlier evidence from nineteen major oil-related countries/regions, Energy Economics 60, 325–332, </w:t>
      </w:r>
      <w:hyperlink r:id="rId86" w:history="1">
        <w:r w:rsidRPr="00E452F7">
          <w:rPr>
            <w:rStyle w:val="Hyperlink"/>
            <w:rFonts w:ascii="Times New Roman" w:hAnsi="Times New Roman" w:cs="Times New Roman"/>
          </w:rPr>
          <w:t>http://dx.doi.org/10.1016/j.eneco.2016.10.009</w:t>
        </w:r>
      </w:hyperlink>
    </w:p>
    <w:p w14:paraId="1CDF2621" w14:textId="77777777" w:rsidR="00821CC7" w:rsidRPr="00E452F7" w:rsidRDefault="00821CC7" w:rsidP="00E452F7">
      <w:pPr>
        <w:spacing w:line="240" w:lineRule="auto"/>
        <w:rPr>
          <w:rFonts w:ascii="Times New Roman" w:hAnsi="Times New Roman" w:cs="Times New Roman"/>
        </w:rPr>
      </w:pPr>
      <w:r w:rsidRPr="00E452F7">
        <w:rPr>
          <w:rFonts w:ascii="Times New Roman" w:hAnsi="Times New Roman" w:cs="Times New Roman"/>
        </w:rPr>
        <w:t xml:space="preserve">Katircioglu S.T., Sertoglu K., Candemir M. &amp; Mercan M (2015). Oil price movements and macroeconomic performance: Evidence from twenty-six OECD countries, Renewable and Sustainable Energy Reviews 44, 257–270 </w:t>
      </w:r>
      <w:hyperlink r:id="rId87" w:history="1">
        <w:r w:rsidRPr="00E452F7">
          <w:rPr>
            <w:rStyle w:val="Hyperlink"/>
            <w:rFonts w:ascii="Times New Roman" w:hAnsi="Times New Roman" w:cs="Times New Roman"/>
          </w:rPr>
          <w:t>http://dx.doi.org/10.1016/j.rser.2014.12.016</w:t>
        </w:r>
      </w:hyperlink>
    </w:p>
    <w:p w14:paraId="37C69209"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Keane, M. P., &amp; Prasad, E. S. (1996). The employment and wage effects of oil price changes: a sectorial analysis. The Review of Economics and Statistics, 78(3), 389-400.</w:t>
      </w:r>
    </w:p>
    <w:p w14:paraId="57DD3923" w14:textId="77777777" w:rsidR="00821CC7" w:rsidRPr="00E452F7" w:rsidRDefault="00821CC7" w:rsidP="00E452F7">
      <w:pPr>
        <w:shd w:val="clear" w:color="auto" w:fill="FFFFFF"/>
        <w:spacing w:line="240" w:lineRule="auto"/>
        <w:rPr>
          <w:rFonts w:ascii="Times New Roman" w:eastAsia="Times New Roman" w:hAnsi="Times New Roman" w:cs="Times New Roman"/>
        </w:rPr>
      </w:pPr>
      <w:r w:rsidRPr="00E452F7">
        <w:rPr>
          <w:rFonts w:ascii="Times New Roman" w:eastAsia="Times New Roman" w:hAnsi="Times New Roman" w:cs="Times New Roman"/>
        </w:rPr>
        <w:t>Kim, I. M. &amp; Loungani. P. (1992).  “The  Role  of  Energy  in  Teal  Business  Cycles”  Journal  of Monetary Economics , 29:173-189.</w:t>
      </w:r>
    </w:p>
    <w:p w14:paraId="5CE5D3B2"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Lorusso M &amp; Pieroni L. (2018). Causes and consequences of oil price shocks on the UK economy, Economic Modelling 72: 223–236 </w:t>
      </w:r>
      <w:hyperlink r:id="rId88" w:history="1">
        <w:r w:rsidRPr="00E452F7">
          <w:rPr>
            <w:rStyle w:val="Hyperlink"/>
            <w:rFonts w:ascii="Times New Roman" w:hAnsi="Times New Roman" w:cs="Times New Roman"/>
          </w:rPr>
          <w:t>https://doi.org/10.1016/j.econmod.2018.01.018</w:t>
        </w:r>
      </w:hyperlink>
    </w:p>
    <w:p w14:paraId="77F747A6"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shd w:val="clear" w:color="auto" w:fill="FFFFFF"/>
        </w:rPr>
        <w:t>MacDonald, R. R. (1997). What Determines Real Exchange Rates? The Long and Short of it. IMF Working Paper, Vol., pp. 1-53, 1997. Available at SSRN: </w:t>
      </w:r>
      <w:hyperlink r:id="rId89" w:tgtFrame="_blank" w:history="1">
        <w:r w:rsidRPr="00E452F7">
          <w:rPr>
            <w:rFonts w:ascii="Times New Roman" w:hAnsi="Times New Roman" w:cs="Times New Roman"/>
            <w:shd w:val="clear" w:color="auto" w:fill="FFFFFF"/>
          </w:rPr>
          <w:t>https://ssrn.com/abstract=882249</w:t>
        </w:r>
      </w:hyperlink>
    </w:p>
    <w:p w14:paraId="6484B266" w14:textId="77777777" w:rsidR="00821CC7" w:rsidRPr="00E452F7" w:rsidRDefault="00821CC7" w:rsidP="00E452F7">
      <w:pPr>
        <w:shd w:val="clear" w:color="auto" w:fill="FFFFFF"/>
        <w:spacing w:line="240" w:lineRule="auto"/>
        <w:rPr>
          <w:rFonts w:ascii="Times New Roman" w:hAnsi="Times New Roman" w:cs="Times New Roman"/>
        </w:rPr>
      </w:pPr>
      <w:r w:rsidRPr="00E452F7">
        <w:rPr>
          <w:rFonts w:ascii="Times New Roman" w:hAnsi="Times New Roman" w:cs="Times New Roman"/>
        </w:rPr>
        <w:t>Majidi, M. (2006) “Impact of Oil on International economy” International Economics Course, Centre for Science and Innovation Studies.</w:t>
      </w:r>
      <w:r w:rsidRPr="00E452F7">
        <w:rPr>
          <w:rFonts w:ascii="Times New Roman" w:eastAsia="Times New Roman" w:hAnsi="Times New Roman" w:cs="Times New Roman"/>
        </w:rPr>
        <w:t xml:space="preserve"> </w:t>
      </w:r>
    </w:p>
    <w:p w14:paraId="51BCE013"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shd w:val="clear" w:color="auto" w:fill="FFFFFF"/>
        </w:rPr>
        <w:lastRenderedPageBreak/>
        <w:t>McCarthy J. (2000). Pass-Through of Exchange Rates and Import Prices to Domestic Inflation in Some Industrialized Economies. FRB of New York Staff Report No. 111. Available at SSRN: </w:t>
      </w:r>
      <w:hyperlink r:id="rId90" w:tgtFrame="_blank" w:history="1">
        <w:r w:rsidRPr="00E452F7">
          <w:rPr>
            <w:rFonts w:ascii="Times New Roman" w:hAnsi="Times New Roman" w:cs="Times New Roman"/>
            <w:shd w:val="clear" w:color="auto" w:fill="FFFFFF"/>
          </w:rPr>
          <w:t>https://ssrn.com/abstract=249576</w:t>
        </w:r>
      </w:hyperlink>
      <w:r w:rsidRPr="00E452F7">
        <w:rPr>
          <w:rFonts w:ascii="Times New Roman" w:hAnsi="Times New Roman" w:cs="Times New Roman"/>
          <w:shd w:val="clear" w:color="auto" w:fill="FFFFFF"/>
        </w:rPr>
        <w:t> or </w:t>
      </w:r>
      <w:hyperlink r:id="rId91" w:tgtFrame="_blank" w:history="1">
        <w:r w:rsidRPr="00E452F7">
          <w:rPr>
            <w:rFonts w:ascii="Times New Roman" w:hAnsi="Times New Roman" w:cs="Times New Roman"/>
            <w:shd w:val="clear" w:color="auto" w:fill="FFFFFF"/>
          </w:rPr>
          <w:t>http://dx.doi.org/10.2139/ssrn.249576</w:t>
        </w:r>
      </w:hyperlink>
    </w:p>
    <w:p w14:paraId="55ED1DC1"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Ministry of Budget and National Planning (2017), Economic Recovery and Growth Plan (2017 - 2020), Federal Republic of Nigeria. </w:t>
      </w:r>
    </w:p>
    <w:p w14:paraId="049B61B0" w14:textId="77777777" w:rsidR="00821CC7" w:rsidRPr="00E452F7" w:rsidRDefault="00821CC7" w:rsidP="00E452F7">
      <w:pPr>
        <w:autoSpaceDE w:val="0"/>
        <w:autoSpaceDN w:val="0"/>
        <w:adjustRightInd w:val="0"/>
        <w:spacing w:line="240" w:lineRule="auto"/>
        <w:jc w:val="both"/>
        <w:rPr>
          <w:rFonts w:ascii="Times New Roman" w:hAnsi="Times New Roman" w:cs="Times New Roman"/>
          <w:iCs/>
        </w:rPr>
      </w:pPr>
      <w:r w:rsidRPr="00E452F7">
        <w:rPr>
          <w:rFonts w:ascii="Times New Roman" w:hAnsi="Times New Roman" w:cs="Times New Roman"/>
          <w:iCs/>
        </w:rPr>
        <w:t xml:space="preserve">Obadiaru, D.E., Oloyede, J.A., Omankhanlen, A.E., Asaleye A.J. 2018. Stock market volatility spillover in West Africa: Regional and global perspectives. </w:t>
      </w:r>
      <w:r w:rsidRPr="00E452F7">
        <w:rPr>
          <w:rFonts w:ascii="Times New Roman" w:hAnsi="Times New Roman" w:cs="Times New Roman"/>
          <w:i/>
          <w:iCs/>
        </w:rPr>
        <w:t>Journal of Applied Economic Sciences</w:t>
      </w:r>
      <w:r w:rsidRPr="00E452F7">
        <w:rPr>
          <w:rFonts w:ascii="Times New Roman" w:hAnsi="Times New Roman" w:cs="Times New Roman"/>
          <w:iCs/>
        </w:rPr>
        <w:t>, Volume XIII, Fall 6(60): 1597-1604.</w:t>
      </w:r>
    </w:p>
    <w:p w14:paraId="57FF57FB" w14:textId="77777777" w:rsidR="00821CC7" w:rsidRPr="00E452F7" w:rsidRDefault="00821CC7" w:rsidP="00E452F7">
      <w:pPr>
        <w:autoSpaceDE w:val="0"/>
        <w:autoSpaceDN w:val="0"/>
        <w:adjustRightInd w:val="0"/>
        <w:spacing w:line="240" w:lineRule="auto"/>
        <w:jc w:val="both"/>
        <w:rPr>
          <w:rFonts w:ascii="Times New Roman" w:hAnsi="Times New Roman" w:cs="Times New Roman"/>
        </w:rPr>
      </w:pPr>
      <w:r w:rsidRPr="00E452F7">
        <w:rPr>
          <w:rFonts w:ascii="Times New Roman" w:hAnsi="Times New Roman" w:cs="Times New Roman"/>
        </w:rPr>
        <w:t xml:space="preserve">Oloni, E., Asaleye, A., Abiodun, F., Adeyemi O. (2017). Inclusive growth, agriculture and employment in Nigeria. </w:t>
      </w:r>
      <w:r w:rsidRPr="00E452F7">
        <w:rPr>
          <w:rFonts w:ascii="Times New Roman" w:hAnsi="Times New Roman" w:cs="Times New Roman"/>
          <w:iCs/>
        </w:rPr>
        <w:t>Journal of Environmental Management and Tourism</w:t>
      </w:r>
      <w:r w:rsidRPr="00E452F7">
        <w:rPr>
          <w:rFonts w:ascii="Times New Roman" w:hAnsi="Times New Roman" w:cs="Times New Roman"/>
        </w:rPr>
        <w:t>, Volume VIII, Spring, 1(17): 183 - 194. DOI:10.14505/jemt.v8.1(17).18</w:t>
      </w:r>
    </w:p>
    <w:p w14:paraId="79DF171D" w14:textId="77777777" w:rsidR="00821CC7" w:rsidRPr="00E452F7" w:rsidRDefault="00821CC7" w:rsidP="00E452F7">
      <w:pPr>
        <w:spacing w:line="240" w:lineRule="auto"/>
        <w:jc w:val="both"/>
        <w:rPr>
          <w:rFonts w:ascii="Times New Roman" w:hAnsi="Times New Roman" w:cs="Times New Roman"/>
        </w:rPr>
      </w:pPr>
      <w:r w:rsidRPr="00E452F7">
        <w:rPr>
          <w:rFonts w:ascii="Times New Roman" w:hAnsi="Times New Roman" w:cs="Times New Roman"/>
        </w:rPr>
        <w:t xml:space="preserve">Ratti R.A &amp; Vespignani J.L. (2016). Oil prices and global factor macroeconomic variables, Energy Economics 59: 198–212 </w:t>
      </w:r>
      <w:hyperlink r:id="rId92" w:history="1">
        <w:r w:rsidRPr="00E452F7">
          <w:rPr>
            <w:rStyle w:val="Hyperlink"/>
            <w:rFonts w:ascii="Times New Roman" w:hAnsi="Times New Roman" w:cs="Times New Roman"/>
          </w:rPr>
          <w:t>http://dx.doi.org/10.1016/j.eneco.2016.06.002</w:t>
        </w:r>
      </w:hyperlink>
    </w:p>
    <w:p w14:paraId="7E86B90E" w14:textId="77777777" w:rsidR="00821CC7" w:rsidRPr="00E452F7" w:rsidRDefault="00821CC7" w:rsidP="00E452F7">
      <w:pPr>
        <w:spacing w:after="0" w:line="240" w:lineRule="auto"/>
        <w:jc w:val="both"/>
        <w:rPr>
          <w:rStyle w:val="Hyperlink"/>
          <w:rFonts w:ascii="Times New Roman" w:hAnsi="Times New Roman" w:cs="Times New Roman"/>
        </w:rPr>
      </w:pPr>
      <w:r w:rsidRPr="00E452F7">
        <w:rPr>
          <w:rFonts w:ascii="Times New Roman" w:hAnsi="Times New Roman" w:cs="Times New Roman"/>
        </w:rPr>
        <w:t xml:space="preserve">Shah I.H. &amp;, Hiles C., &amp; Morley B. (2018). How do oil prices, macroeconomic factors and policies affect the market for renewable energy? Applied Energy 215, 87–9 </w:t>
      </w:r>
      <w:hyperlink r:id="rId93" w:history="1">
        <w:r w:rsidRPr="00E452F7">
          <w:rPr>
            <w:rStyle w:val="Hyperlink"/>
            <w:rFonts w:ascii="Times New Roman" w:hAnsi="Times New Roman" w:cs="Times New Roman"/>
          </w:rPr>
          <w:t>https://doi.org/10.1016/j.apenergy.2018.01.084</w:t>
        </w:r>
      </w:hyperlink>
    </w:p>
    <w:p w14:paraId="1176424E" w14:textId="77777777" w:rsidR="00821CC7" w:rsidRPr="00E452F7" w:rsidRDefault="00821CC7" w:rsidP="00E452F7">
      <w:pPr>
        <w:spacing w:after="0" w:line="240" w:lineRule="auto"/>
        <w:jc w:val="both"/>
        <w:rPr>
          <w:rFonts w:ascii="Times New Roman" w:hAnsi="Times New Roman" w:cs="Times New Roman"/>
        </w:rPr>
      </w:pPr>
      <w:r w:rsidRPr="00E452F7">
        <w:rPr>
          <w:rFonts w:ascii="Times New Roman" w:hAnsi="Times New Roman" w:cs="Times New Roman"/>
        </w:rPr>
        <w:t xml:space="preserve">Sims C. A. (1980). Macroeconomics and Reality, Econometrica, Vol. 48, Pp 1 -48 </w:t>
      </w:r>
      <w:hyperlink r:id="rId94" w:history="1">
        <w:r w:rsidRPr="00E452F7">
          <w:rPr>
            <w:rStyle w:val="Hyperlink"/>
            <w:rFonts w:ascii="Times New Roman" w:hAnsi="Times New Roman" w:cs="Times New Roman"/>
          </w:rPr>
          <w:t>http://links.jstor.org/sici?sici=00129682%28198001%2948%3A1%3C1%3AMAR%3E2.0.CO%3B2-A</w:t>
        </w:r>
      </w:hyperlink>
    </w:p>
    <w:p w14:paraId="3B70DD7F" w14:textId="77777777" w:rsidR="00344A19" w:rsidRPr="00E452F7" w:rsidRDefault="00344A19" w:rsidP="00E452F7">
      <w:pPr>
        <w:spacing w:after="0" w:line="240" w:lineRule="auto"/>
        <w:jc w:val="both"/>
        <w:rPr>
          <w:rFonts w:ascii="Times New Roman" w:hAnsi="Times New Roman" w:cs="Times New Roman"/>
        </w:rPr>
      </w:pPr>
      <w:bookmarkStart w:id="0" w:name="_GoBack"/>
      <w:bookmarkEnd w:id="0"/>
    </w:p>
    <w:sectPr w:rsidR="00344A19" w:rsidRPr="00E452F7">
      <w:footerReference w:type="defaul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16CA6" w14:textId="77777777" w:rsidR="00FB255B" w:rsidRDefault="00FB255B" w:rsidP="005000AC">
      <w:pPr>
        <w:spacing w:after="0" w:line="240" w:lineRule="auto"/>
      </w:pPr>
      <w:r>
        <w:separator/>
      </w:r>
    </w:p>
  </w:endnote>
  <w:endnote w:type="continuationSeparator" w:id="0">
    <w:p w14:paraId="0E2C3896" w14:textId="77777777" w:rsidR="00FB255B" w:rsidRDefault="00FB255B" w:rsidP="005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234365"/>
      <w:docPartObj>
        <w:docPartGallery w:val="Page Numbers (Bottom of Page)"/>
        <w:docPartUnique/>
      </w:docPartObj>
    </w:sdtPr>
    <w:sdtEndPr>
      <w:rPr>
        <w:color w:val="808080" w:themeColor="background1" w:themeShade="80"/>
        <w:spacing w:val="60"/>
      </w:rPr>
    </w:sdtEndPr>
    <w:sdtContent>
      <w:p w14:paraId="243ACE82" w14:textId="1B6B99AE" w:rsidR="001B215B" w:rsidRDefault="001B21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52F7">
          <w:rPr>
            <w:noProof/>
          </w:rPr>
          <w:t>12</w:t>
        </w:r>
        <w:r>
          <w:rPr>
            <w:noProof/>
          </w:rPr>
          <w:fldChar w:fldCharType="end"/>
        </w:r>
        <w:r>
          <w:t xml:space="preserve"> | </w:t>
        </w:r>
        <w:r>
          <w:rPr>
            <w:color w:val="808080" w:themeColor="background1" w:themeShade="80"/>
            <w:spacing w:val="60"/>
          </w:rPr>
          <w:t>Page</w:t>
        </w:r>
      </w:p>
    </w:sdtContent>
  </w:sdt>
  <w:p w14:paraId="7F1110B0" w14:textId="77777777" w:rsidR="001B215B" w:rsidRDefault="001B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A8C30" w14:textId="77777777" w:rsidR="00FB255B" w:rsidRDefault="00FB255B" w:rsidP="005000AC">
      <w:pPr>
        <w:spacing w:after="0" w:line="240" w:lineRule="auto"/>
      </w:pPr>
      <w:r>
        <w:separator/>
      </w:r>
    </w:p>
  </w:footnote>
  <w:footnote w:type="continuationSeparator" w:id="0">
    <w:p w14:paraId="6AA77D7D" w14:textId="77777777" w:rsidR="00FB255B" w:rsidRDefault="00FB255B" w:rsidP="00500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BF7"/>
    <w:multiLevelType w:val="multilevel"/>
    <w:tmpl w:val="88907632"/>
    <w:lvl w:ilvl="0">
      <w:start w:val="1"/>
      <w:numFmt w:val="decimal"/>
      <w:lvlText w:val="%1."/>
      <w:lvlJc w:val="left"/>
      <w:pPr>
        <w:ind w:left="720" w:hanging="360"/>
      </w:pPr>
    </w:lvl>
    <w:lvl w:ilvl="1">
      <w:start w:val="3"/>
      <w:numFmt w:val="decimal"/>
      <w:isLgl/>
      <w:lvlText w:val="%1.%2."/>
      <w:lvlJc w:val="left"/>
      <w:pPr>
        <w:ind w:left="1275" w:hanging="765"/>
      </w:pPr>
      <w:rPr>
        <w:rFonts w:hint="default"/>
      </w:rPr>
    </w:lvl>
    <w:lvl w:ilvl="2">
      <w:start w:val="3"/>
      <w:numFmt w:val="decimal"/>
      <w:isLgl/>
      <w:lvlText w:val="%1.%2.%3."/>
      <w:lvlJc w:val="left"/>
      <w:pPr>
        <w:ind w:left="1425" w:hanging="765"/>
      </w:pPr>
      <w:rPr>
        <w:rFonts w:hint="default"/>
      </w:rPr>
    </w:lvl>
    <w:lvl w:ilvl="3">
      <w:start w:val="3"/>
      <w:numFmt w:val="decimal"/>
      <w:isLgl/>
      <w:lvlText w:val="%1.%2.%3.%4."/>
      <w:lvlJc w:val="left"/>
      <w:pPr>
        <w:ind w:left="1575" w:hanging="765"/>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1F7D2DE9"/>
    <w:multiLevelType w:val="hybridMultilevel"/>
    <w:tmpl w:val="201C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50F4E"/>
    <w:multiLevelType w:val="hybridMultilevel"/>
    <w:tmpl w:val="BCAED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5F52D1"/>
    <w:multiLevelType w:val="hybridMultilevel"/>
    <w:tmpl w:val="C8F8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92243"/>
    <w:multiLevelType w:val="hybridMultilevel"/>
    <w:tmpl w:val="1D74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B4D4D"/>
    <w:multiLevelType w:val="multilevel"/>
    <w:tmpl w:val="92F8CA7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B549D0"/>
    <w:multiLevelType w:val="hybridMultilevel"/>
    <w:tmpl w:val="177A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B07BF"/>
    <w:multiLevelType w:val="hybridMultilevel"/>
    <w:tmpl w:val="96AE0304"/>
    <w:lvl w:ilvl="0" w:tplc="24148A0C">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7DE04A1"/>
    <w:multiLevelType w:val="hybridMultilevel"/>
    <w:tmpl w:val="894ED7D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3E9924C0"/>
    <w:multiLevelType w:val="hybridMultilevel"/>
    <w:tmpl w:val="08F02E0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15:restartNumberingAfterBreak="0">
    <w:nsid w:val="516C5721"/>
    <w:multiLevelType w:val="hybridMultilevel"/>
    <w:tmpl w:val="8D5EE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EA67AF"/>
    <w:multiLevelType w:val="hybridMultilevel"/>
    <w:tmpl w:val="EB3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E5BB1"/>
    <w:multiLevelType w:val="hybridMultilevel"/>
    <w:tmpl w:val="60D667B8"/>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5A5B97"/>
    <w:multiLevelType w:val="hybridMultilevel"/>
    <w:tmpl w:val="CB62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D5D53"/>
    <w:multiLevelType w:val="multilevel"/>
    <w:tmpl w:val="0E72A4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0"/>
  </w:num>
  <w:num w:numId="3">
    <w:abstractNumId w:val="0"/>
  </w:num>
  <w:num w:numId="4">
    <w:abstractNumId w:val="5"/>
  </w:num>
  <w:num w:numId="5">
    <w:abstractNumId w:val="2"/>
  </w:num>
  <w:num w:numId="6">
    <w:abstractNumId w:val="14"/>
  </w:num>
  <w:num w:numId="7">
    <w:abstractNumId w:val="11"/>
  </w:num>
  <w:num w:numId="8">
    <w:abstractNumId w:val="13"/>
  </w:num>
  <w:num w:numId="9">
    <w:abstractNumId w:val="4"/>
  </w:num>
  <w:num w:numId="10">
    <w:abstractNumId w:val="1"/>
  </w:num>
  <w:num w:numId="11">
    <w:abstractNumId w:val="8"/>
  </w:num>
  <w:num w:numId="12">
    <w:abstractNumId w:val="9"/>
  </w:num>
  <w:num w:numId="13">
    <w:abstractNumId w:val="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B4"/>
    <w:rsid w:val="00001191"/>
    <w:rsid w:val="00001F35"/>
    <w:rsid w:val="00004ADD"/>
    <w:rsid w:val="00005BC7"/>
    <w:rsid w:val="000070F9"/>
    <w:rsid w:val="000138A5"/>
    <w:rsid w:val="00017BFE"/>
    <w:rsid w:val="0002202F"/>
    <w:rsid w:val="000236AB"/>
    <w:rsid w:val="00025808"/>
    <w:rsid w:val="0002603E"/>
    <w:rsid w:val="00027692"/>
    <w:rsid w:val="00034473"/>
    <w:rsid w:val="00036715"/>
    <w:rsid w:val="00036D8B"/>
    <w:rsid w:val="00046BCC"/>
    <w:rsid w:val="000479F4"/>
    <w:rsid w:val="000510E0"/>
    <w:rsid w:val="000518C2"/>
    <w:rsid w:val="0006120F"/>
    <w:rsid w:val="00072897"/>
    <w:rsid w:val="00074664"/>
    <w:rsid w:val="000876E5"/>
    <w:rsid w:val="00094FBB"/>
    <w:rsid w:val="00096049"/>
    <w:rsid w:val="0009792D"/>
    <w:rsid w:val="000A1D23"/>
    <w:rsid w:val="000B3D85"/>
    <w:rsid w:val="000D1E2A"/>
    <w:rsid w:val="000D71E9"/>
    <w:rsid w:val="000E22F7"/>
    <w:rsid w:val="000E4978"/>
    <w:rsid w:val="000F07AD"/>
    <w:rsid w:val="000F72F0"/>
    <w:rsid w:val="00116B96"/>
    <w:rsid w:val="001306DE"/>
    <w:rsid w:val="001315C7"/>
    <w:rsid w:val="00131692"/>
    <w:rsid w:val="00131F9F"/>
    <w:rsid w:val="00136920"/>
    <w:rsid w:val="001409A7"/>
    <w:rsid w:val="00152E77"/>
    <w:rsid w:val="001612DA"/>
    <w:rsid w:val="001667CE"/>
    <w:rsid w:val="00166828"/>
    <w:rsid w:val="00167456"/>
    <w:rsid w:val="00172BC1"/>
    <w:rsid w:val="0018066E"/>
    <w:rsid w:val="0018152F"/>
    <w:rsid w:val="001876F1"/>
    <w:rsid w:val="00191330"/>
    <w:rsid w:val="00193ECC"/>
    <w:rsid w:val="001A5631"/>
    <w:rsid w:val="001A5C82"/>
    <w:rsid w:val="001A640F"/>
    <w:rsid w:val="001A7991"/>
    <w:rsid w:val="001B16A6"/>
    <w:rsid w:val="001B215B"/>
    <w:rsid w:val="001B24C8"/>
    <w:rsid w:val="001B3D35"/>
    <w:rsid w:val="001B56EA"/>
    <w:rsid w:val="001C06A6"/>
    <w:rsid w:val="001C3F69"/>
    <w:rsid w:val="001C6B90"/>
    <w:rsid w:val="001D0147"/>
    <w:rsid w:val="001E3485"/>
    <w:rsid w:val="001E548D"/>
    <w:rsid w:val="001E6F47"/>
    <w:rsid w:val="001F1D89"/>
    <w:rsid w:val="001F302F"/>
    <w:rsid w:val="001F39E9"/>
    <w:rsid w:val="001F4828"/>
    <w:rsid w:val="001F5168"/>
    <w:rsid w:val="001F67BD"/>
    <w:rsid w:val="00205752"/>
    <w:rsid w:val="0022508A"/>
    <w:rsid w:val="00225831"/>
    <w:rsid w:val="00227903"/>
    <w:rsid w:val="0023460F"/>
    <w:rsid w:val="00241535"/>
    <w:rsid w:val="0024269B"/>
    <w:rsid w:val="0024304A"/>
    <w:rsid w:val="0024694F"/>
    <w:rsid w:val="00251669"/>
    <w:rsid w:val="0025209B"/>
    <w:rsid w:val="00253D0D"/>
    <w:rsid w:val="00254C69"/>
    <w:rsid w:val="00256693"/>
    <w:rsid w:val="00264426"/>
    <w:rsid w:val="00266CF6"/>
    <w:rsid w:val="00275282"/>
    <w:rsid w:val="00275B32"/>
    <w:rsid w:val="00284586"/>
    <w:rsid w:val="002932BD"/>
    <w:rsid w:val="00294A6E"/>
    <w:rsid w:val="002A35CA"/>
    <w:rsid w:val="002B3144"/>
    <w:rsid w:val="002B72DA"/>
    <w:rsid w:val="002D0A7D"/>
    <w:rsid w:val="002D602E"/>
    <w:rsid w:val="002E0521"/>
    <w:rsid w:val="002E1D7B"/>
    <w:rsid w:val="002E3881"/>
    <w:rsid w:val="002E52AC"/>
    <w:rsid w:val="002F357A"/>
    <w:rsid w:val="002F4453"/>
    <w:rsid w:val="00303E26"/>
    <w:rsid w:val="00305786"/>
    <w:rsid w:val="0030709E"/>
    <w:rsid w:val="003101F5"/>
    <w:rsid w:val="00312000"/>
    <w:rsid w:val="0031229E"/>
    <w:rsid w:val="00313BFA"/>
    <w:rsid w:val="00323813"/>
    <w:rsid w:val="00325270"/>
    <w:rsid w:val="003310E7"/>
    <w:rsid w:val="00334090"/>
    <w:rsid w:val="003351BE"/>
    <w:rsid w:val="00344A19"/>
    <w:rsid w:val="00350ED6"/>
    <w:rsid w:val="00353739"/>
    <w:rsid w:val="003539DA"/>
    <w:rsid w:val="00360EB1"/>
    <w:rsid w:val="00361F5A"/>
    <w:rsid w:val="00374C4B"/>
    <w:rsid w:val="00376DE1"/>
    <w:rsid w:val="00380F81"/>
    <w:rsid w:val="00384696"/>
    <w:rsid w:val="00390C87"/>
    <w:rsid w:val="003A2542"/>
    <w:rsid w:val="003B0DB8"/>
    <w:rsid w:val="003B1256"/>
    <w:rsid w:val="003C117B"/>
    <w:rsid w:val="003C6F69"/>
    <w:rsid w:val="003D021F"/>
    <w:rsid w:val="003D17A5"/>
    <w:rsid w:val="003D3173"/>
    <w:rsid w:val="003D3EE0"/>
    <w:rsid w:val="003E0D6A"/>
    <w:rsid w:val="003E1938"/>
    <w:rsid w:val="003E25A7"/>
    <w:rsid w:val="003E67C6"/>
    <w:rsid w:val="00403709"/>
    <w:rsid w:val="00406FA4"/>
    <w:rsid w:val="00410340"/>
    <w:rsid w:val="00411ED1"/>
    <w:rsid w:val="00412AE1"/>
    <w:rsid w:val="00415D1A"/>
    <w:rsid w:val="004176BE"/>
    <w:rsid w:val="004262AF"/>
    <w:rsid w:val="0043347B"/>
    <w:rsid w:val="00440018"/>
    <w:rsid w:val="004407D8"/>
    <w:rsid w:val="00441D74"/>
    <w:rsid w:val="00442448"/>
    <w:rsid w:val="00442AA1"/>
    <w:rsid w:val="004442BF"/>
    <w:rsid w:val="00451179"/>
    <w:rsid w:val="00453D43"/>
    <w:rsid w:val="00460447"/>
    <w:rsid w:val="004624A5"/>
    <w:rsid w:val="00472B07"/>
    <w:rsid w:val="00475DB8"/>
    <w:rsid w:val="0048445A"/>
    <w:rsid w:val="0048550B"/>
    <w:rsid w:val="00487672"/>
    <w:rsid w:val="004947C7"/>
    <w:rsid w:val="004973CE"/>
    <w:rsid w:val="004A4A90"/>
    <w:rsid w:val="004A69E0"/>
    <w:rsid w:val="004B3971"/>
    <w:rsid w:val="004C45A6"/>
    <w:rsid w:val="004D0646"/>
    <w:rsid w:val="004D34AD"/>
    <w:rsid w:val="004E0601"/>
    <w:rsid w:val="004E0832"/>
    <w:rsid w:val="004E579D"/>
    <w:rsid w:val="004E7C41"/>
    <w:rsid w:val="004F6CBA"/>
    <w:rsid w:val="005000AC"/>
    <w:rsid w:val="00500A96"/>
    <w:rsid w:val="005024C4"/>
    <w:rsid w:val="00503CC8"/>
    <w:rsid w:val="005047FB"/>
    <w:rsid w:val="0050540F"/>
    <w:rsid w:val="00506135"/>
    <w:rsid w:val="00522F08"/>
    <w:rsid w:val="00525A4F"/>
    <w:rsid w:val="00525CFB"/>
    <w:rsid w:val="005357F4"/>
    <w:rsid w:val="00535F13"/>
    <w:rsid w:val="00543600"/>
    <w:rsid w:val="005439A7"/>
    <w:rsid w:val="00544DE8"/>
    <w:rsid w:val="00550E7C"/>
    <w:rsid w:val="005543F3"/>
    <w:rsid w:val="00566ED8"/>
    <w:rsid w:val="00567099"/>
    <w:rsid w:val="00567717"/>
    <w:rsid w:val="0057017C"/>
    <w:rsid w:val="00573FAB"/>
    <w:rsid w:val="00580770"/>
    <w:rsid w:val="00581A5C"/>
    <w:rsid w:val="005826E6"/>
    <w:rsid w:val="00582EB2"/>
    <w:rsid w:val="00583758"/>
    <w:rsid w:val="0058473F"/>
    <w:rsid w:val="005907F1"/>
    <w:rsid w:val="005A0620"/>
    <w:rsid w:val="005A1779"/>
    <w:rsid w:val="005A5D45"/>
    <w:rsid w:val="005A6986"/>
    <w:rsid w:val="005B1E62"/>
    <w:rsid w:val="005B50EB"/>
    <w:rsid w:val="005D14CE"/>
    <w:rsid w:val="005D7F74"/>
    <w:rsid w:val="005E11C1"/>
    <w:rsid w:val="005E1BBD"/>
    <w:rsid w:val="005E1ECB"/>
    <w:rsid w:val="005E4B38"/>
    <w:rsid w:val="005F0C57"/>
    <w:rsid w:val="005F2670"/>
    <w:rsid w:val="005F287D"/>
    <w:rsid w:val="00600EEE"/>
    <w:rsid w:val="00603A04"/>
    <w:rsid w:val="00606A78"/>
    <w:rsid w:val="00613F49"/>
    <w:rsid w:val="00623D22"/>
    <w:rsid w:val="006242C5"/>
    <w:rsid w:val="00626FA5"/>
    <w:rsid w:val="00633272"/>
    <w:rsid w:val="00633DA2"/>
    <w:rsid w:val="00636E12"/>
    <w:rsid w:val="00640BFA"/>
    <w:rsid w:val="00641ACA"/>
    <w:rsid w:val="0064450E"/>
    <w:rsid w:val="00650447"/>
    <w:rsid w:val="006555A2"/>
    <w:rsid w:val="00660AB6"/>
    <w:rsid w:val="00660C23"/>
    <w:rsid w:val="00661DBB"/>
    <w:rsid w:val="00664AAA"/>
    <w:rsid w:val="006673BC"/>
    <w:rsid w:val="00671EB4"/>
    <w:rsid w:val="00690C22"/>
    <w:rsid w:val="00693D62"/>
    <w:rsid w:val="00694E84"/>
    <w:rsid w:val="006A21C2"/>
    <w:rsid w:val="006A270C"/>
    <w:rsid w:val="006C5977"/>
    <w:rsid w:val="006D04D1"/>
    <w:rsid w:val="006E0FE6"/>
    <w:rsid w:val="006E40E1"/>
    <w:rsid w:val="006E5AF3"/>
    <w:rsid w:val="006F574E"/>
    <w:rsid w:val="00700B96"/>
    <w:rsid w:val="00701503"/>
    <w:rsid w:val="00702F25"/>
    <w:rsid w:val="00703253"/>
    <w:rsid w:val="0070694B"/>
    <w:rsid w:val="007133CE"/>
    <w:rsid w:val="00714C81"/>
    <w:rsid w:val="00721EDC"/>
    <w:rsid w:val="00724918"/>
    <w:rsid w:val="00730145"/>
    <w:rsid w:val="007335C1"/>
    <w:rsid w:val="00744EF2"/>
    <w:rsid w:val="0075296F"/>
    <w:rsid w:val="00754145"/>
    <w:rsid w:val="00766676"/>
    <w:rsid w:val="007700D2"/>
    <w:rsid w:val="00775E57"/>
    <w:rsid w:val="007807E4"/>
    <w:rsid w:val="00793909"/>
    <w:rsid w:val="007A5C9B"/>
    <w:rsid w:val="007A5D27"/>
    <w:rsid w:val="007B0710"/>
    <w:rsid w:val="007B082C"/>
    <w:rsid w:val="007B4D95"/>
    <w:rsid w:val="007C0A0C"/>
    <w:rsid w:val="007C19FE"/>
    <w:rsid w:val="007E0255"/>
    <w:rsid w:val="007E5746"/>
    <w:rsid w:val="007E7E89"/>
    <w:rsid w:val="007F2D63"/>
    <w:rsid w:val="007F35EC"/>
    <w:rsid w:val="0080176E"/>
    <w:rsid w:val="00801D10"/>
    <w:rsid w:val="00804325"/>
    <w:rsid w:val="008047F2"/>
    <w:rsid w:val="00814CD4"/>
    <w:rsid w:val="00821CC7"/>
    <w:rsid w:val="008277F3"/>
    <w:rsid w:val="00833ED6"/>
    <w:rsid w:val="0083697D"/>
    <w:rsid w:val="00836B71"/>
    <w:rsid w:val="0083722E"/>
    <w:rsid w:val="008502D1"/>
    <w:rsid w:val="00850E59"/>
    <w:rsid w:val="00853D74"/>
    <w:rsid w:val="00862570"/>
    <w:rsid w:val="008713EF"/>
    <w:rsid w:val="00871982"/>
    <w:rsid w:val="00871F77"/>
    <w:rsid w:val="00873D52"/>
    <w:rsid w:val="008748A8"/>
    <w:rsid w:val="00876918"/>
    <w:rsid w:val="0087739F"/>
    <w:rsid w:val="00877D4D"/>
    <w:rsid w:val="008A70A8"/>
    <w:rsid w:val="008B187B"/>
    <w:rsid w:val="008B3995"/>
    <w:rsid w:val="008B71BD"/>
    <w:rsid w:val="008B7CEA"/>
    <w:rsid w:val="008C2A41"/>
    <w:rsid w:val="008D1110"/>
    <w:rsid w:val="008D3540"/>
    <w:rsid w:val="008E4D62"/>
    <w:rsid w:val="008E5CB5"/>
    <w:rsid w:val="008E5D08"/>
    <w:rsid w:val="008E6734"/>
    <w:rsid w:val="008F084E"/>
    <w:rsid w:val="008F32C9"/>
    <w:rsid w:val="00900B85"/>
    <w:rsid w:val="00905A8C"/>
    <w:rsid w:val="0091016B"/>
    <w:rsid w:val="0091414C"/>
    <w:rsid w:val="009167E4"/>
    <w:rsid w:val="00921BCE"/>
    <w:rsid w:val="0092206F"/>
    <w:rsid w:val="0093072F"/>
    <w:rsid w:val="0093116B"/>
    <w:rsid w:val="0093223B"/>
    <w:rsid w:val="0093256E"/>
    <w:rsid w:val="0093265E"/>
    <w:rsid w:val="0094049F"/>
    <w:rsid w:val="009536E3"/>
    <w:rsid w:val="00953C07"/>
    <w:rsid w:val="0095642B"/>
    <w:rsid w:val="00956E0C"/>
    <w:rsid w:val="00957AB4"/>
    <w:rsid w:val="00966E51"/>
    <w:rsid w:val="00970D98"/>
    <w:rsid w:val="00971811"/>
    <w:rsid w:val="00992A0E"/>
    <w:rsid w:val="00995CF4"/>
    <w:rsid w:val="009A0714"/>
    <w:rsid w:val="009A126D"/>
    <w:rsid w:val="009A15A0"/>
    <w:rsid w:val="009A1C49"/>
    <w:rsid w:val="009B0403"/>
    <w:rsid w:val="009B0A04"/>
    <w:rsid w:val="009B1165"/>
    <w:rsid w:val="009B142B"/>
    <w:rsid w:val="009B1FCB"/>
    <w:rsid w:val="009C3BC3"/>
    <w:rsid w:val="009C5939"/>
    <w:rsid w:val="009C7422"/>
    <w:rsid w:val="009C7945"/>
    <w:rsid w:val="00A05D1C"/>
    <w:rsid w:val="00A072B9"/>
    <w:rsid w:val="00A07E3A"/>
    <w:rsid w:val="00A16537"/>
    <w:rsid w:val="00A22C99"/>
    <w:rsid w:val="00A26938"/>
    <w:rsid w:val="00A371F2"/>
    <w:rsid w:val="00A42690"/>
    <w:rsid w:val="00A44CDE"/>
    <w:rsid w:val="00A45AF4"/>
    <w:rsid w:val="00A507C1"/>
    <w:rsid w:val="00A52AF1"/>
    <w:rsid w:val="00A5401B"/>
    <w:rsid w:val="00A55E8E"/>
    <w:rsid w:val="00A6347E"/>
    <w:rsid w:val="00A669C2"/>
    <w:rsid w:val="00A82F01"/>
    <w:rsid w:val="00A83B15"/>
    <w:rsid w:val="00A85DB2"/>
    <w:rsid w:val="00A9305C"/>
    <w:rsid w:val="00A93E19"/>
    <w:rsid w:val="00A9638C"/>
    <w:rsid w:val="00A973E8"/>
    <w:rsid w:val="00A977B0"/>
    <w:rsid w:val="00AA2463"/>
    <w:rsid w:val="00AA2C30"/>
    <w:rsid w:val="00AA6899"/>
    <w:rsid w:val="00AA6955"/>
    <w:rsid w:val="00AB1BDC"/>
    <w:rsid w:val="00AB213B"/>
    <w:rsid w:val="00AB3D1A"/>
    <w:rsid w:val="00AB4896"/>
    <w:rsid w:val="00AB4AC5"/>
    <w:rsid w:val="00AB4BA7"/>
    <w:rsid w:val="00AD50E5"/>
    <w:rsid w:val="00AD7DA2"/>
    <w:rsid w:val="00AE0B60"/>
    <w:rsid w:val="00AE493F"/>
    <w:rsid w:val="00AF360E"/>
    <w:rsid w:val="00B006AB"/>
    <w:rsid w:val="00B03FB4"/>
    <w:rsid w:val="00B05203"/>
    <w:rsid w:val="00B145C7"/>
    <w:rsid w:val="00B173D3"/>
    <w:rsid w:val="00B1753F"/>
    <w:rsid w:val="00B2229C"/>
    <w:rsid w:val="00B241FE"/>
    <w:rsid w:val="00B2496A"/>
    <w:rsid w:val="00B25184"/>
    <w:rsid w:val="00B300D4"/>
    <w:rsid w:val="00B30E91"/>
    <w:rsid w:val="00B33611"/>
    <w:rsid w:val="00B464F6"/>
    <w:rsid w:val="00B47DD4"/>
    <w:rsid w:val="00B50624"/>
    <w:rsid w:val="00B61EAC"/>
    <w:rsid w:val="00B6447C"/>
    <w:rsid w:val="00B72253"/>
    <w:rsid w:val="00B741C2"/>
    <w:rsid w:val="00B92FE7"/>
    <w:rsid w:val="00BA0D31"/>
    <w:rsid w:val="00BB0346"/>
    <w:rsid w:val="00BB363E"/>
    <w:rsid w:val="00BB3880"/>
    <w:rsid w:val="00BB78DA"/>
    <w:rsid w:val="00BC2102"/>
    <w:rsid w:val="00BC6FC1"/>
    <w:rsid w:val="00BC7FDA"/>
    <w:rsid w:val="00BD121A"/>
    <w:rsid w:val="00BD25B4"/>
    <w:rsid w:val="00BD3FC7"/>
    <w:rsid w:val="00BE397B"/>
    <w:rsid w:val="00BE49D2"/>
    <w:rsid w:val="00BF2A10"/>
    <w:rsid w:val="00BF5985"/>
    <w:rsid w:val="00BF73C3"/>
    <w:rsid w:val="00C020E6"/>
    <w:rsid w:val="00C02E97"/>
    <w:rsid w:val="00C0300B"/>
    <w:rsid w:val="00C143B4"/>
    <w:rsid w:val="00C17CDA"/>
    <w:rsid w:val="00C34A57"/>
    <w:rsid w:val="00C34EF8"/>
    <w:rsid w:val="00C369B6"/>
    <w:rsid w:val="00C4349C"/>
    <w:rsid w:val="00C436B9"/>
    <w:rsid w:val="00C47097"/>
    <w:rsid w:val="00C52FDD"/>
    <w:rsid w:val="00C5432D"/>
    <w:rsid w:val="00C574F2"/>
    <w:rsid w:val="00C61145"/>
    <w:rsid w:val="00C64D09"/>
    <w:rsid w:val="00C82BC1"/>
    <w:rsid w:val="00C85007"/>
    <w:rsid w:val="00C85F0F"/>
    <w:rsid w:val="00C862CE"/>
    <w:rsid w:val="00C93FAF"/>
    <w:rsid w:val="00CA1108"/>
    <w:rsid w:val="00CA3087"/>
    <w:rsid w:val="00CA6CDE"/>
    <w:rsid w:val="00CB4B20"/>
    <w:rsid w:val="00CC0567"/>
    <w:rsid w:val="00CC1E69"/>
    <w:rsid w:val="00CC3CAF"/>
    <w:rsid w:val="00CC4677"/>
    <w:rsid w:val="00CC66A9"/>
    <w:rsid w:val="00CC75EF"/>
    <w:rsid w:val="00CE05F2"/>
    <w:rsid w:val="00CF16FB"/>
    <w:rsid w:val="00CF559F"/>
    <w:rsid w:val="00CF7562"/>
    <w:rsid w:val="00CF7C4F"/>
    <w:rsid w:val="00D02A65"/>
    <w:rsid w:val="00D07773"/>
    <w:rsid w:val="00D10B47"/>
    <w:rsid w:val="00D11D1F"/>
    <w:rsid w:val="00D142C7"/>
    <w:rsid w:val="00D1472F"/>
    <w:rsid w:val="00D168EF"/>
    <w:rsid w:val="00D219DC"/>
    <w:rsid w:val="00D25137"/>
    <w:rsid w:val="00D2527F"/>
    <w:rsid w:val="00D323B5"/>
    <w:rsid w:val="00D37C8F"/>
    <w:rsid w:val="00D43586"/>
    <w:rsid w:val="00D47448"/>
    <w:rsid w:val="00D51B61"/>
    <w:rsid w:val="00D53D58"/>
    <w:rsid w:val="00D55902"/>
    <w:rsid w:val="00D57E77"/>
    <w:rsid w:val="00D61FA3"/>
    <w:rsid w:val="00D620C4"/>
    <w:rsid w:val="00D708EB"/>
    <w:rsid w:val="00D741AC"/>
    <w:rsid w:val="00D77D2D"/>
    <w:rsid w:val="00D922FC"/>
    <w:rsid w:val="00D94222"/>
    <w:rsid w:val="00DA0BA4"/>
    <w:rsid w:val="00DB75C1"/>
    <w:rsid w:val="00DC0C98"/>
    <w:rsid w:val="00DC6297"/>
    <w:rsid w:val="00DD0A27"/>
    <w:rsid w:val="00DD35D1"/>
    <w:rsid w:val="00DD388F"/>
    <w:rsid w:val="00DD6B2F"/>
    <w:rsid w:val="00DE0ACD"/>
    <w:rsid w:val="00DF772A"/>
    <w:rsid w:val="00E04AEF"/>
    <w:rsid w:val="00E23D87"/>
    <w:rsid w:val="00E3171C"/>
    <w:rsid w:val="00E37C9E"/>
    <w:rsid w:val="00E433AE"/>
    <w:rsid w:val="00E452F7"/>
    <w:rsid w:val="00E63594"/>
    <w:rsid w:val="00E648E4"/>
    <w:rsid w:val="00E70FA0"/>
    <w:rsid w:val="00E757C7"/>
    <w:rsid w:val="00E825B9"/>
    <w:rsid w:val="00E84139"/>
    <w:rsid w:val="00E85886"/>
    <w:rsid w:val="00E87D94"/>
    <w:rsid w:val="00E910BB"/>
    <w:rsid w:val="00E91EB3"/>
    <w:rsid w:val="00E96A03"/>
    <w:rsid w:val="00E971B5"/>
    <w:rsid w:val="00EA3F5D"/>
    <w:rsid w:val="00EA40C8"/>
    <w:rsid w:val="00EA7B43"/>
    <w:rsid w:val="00EB5079"/>
    <w:rsid w:val="00EC2776"/>
    <w:rsid w:val="00EC4B91"/>
    <w:rsid w:val="00ED3909"/>
    <w:rsid w:val="00ED68A7"/>
    <w:rsid w:val="00EE2232"/>
    <w:rsid w:val="00EE2345"/>
    <w:rsid w:val="00EE516D"/>
    <w:rsid w:val="00EE52D2"/>
    <w:rsid w:val="00EF6209"/>
    <w:rsid w:val="00F12FEC"/>
    <w:rsid w:val="00F1367F"/>
    <w:rsid w:val="00F166F3"/>
    <w:rsid w:val="00F23B3A"/>
    <w:rsid w:val="00F25D52"/>
    <w:rsid w:val="00F4268C"/>
    <w:rsid w:val="00F4492D"/>
    <w:rsid w:val="00F46534"/>
    <w:rsid w:val="00F52145"/>
    <w:rsid w:val="00F55BBB"/>
    <w:rsid w:val="00F60A5A"/>
    <w:rsid w:val="00F6144E"/>
    <w:rsid w:val="00F63380"/>
    <w:rsid w:val="00F63C3F"/>
    <w:rsid w:val="00F656C7"/>
    <w:rsid w:val="00F70028"/>
    <w:rsid w:val="00F71882"/>
    <w:rsid w:val="00F80331"/>
    <w:rsid w:val="00F80D74"/>
    <w:rsid w:val="00F843D9"/>
    <w:rsid w:val="00F912E0"/>
    <w:rsid w:val="00F96D39"/>
    <w:rsid w:val="00FA2A69"/>
    <w:rsid w:val="00FA34FB"/>
    <w:rsid w:val="00FA7DC1"/>
    <w:rsid w:val="00FB255B"/>
    <w:rsid w:val="00FC0D4F"/>
    <w:rsid w:val="00FC6EEB"/>
    <w:rsid w:val="00FC7DC0"/>
    <w:rsid w:val="00FD5CC1"/>
    <w:rsid w:val="00FE6A7F"/>
    <w:rsid w:val="00FE6DF4"/>
    <w:rsid w:val="00FF3DE8"/>
    <w:rsid w:val="00FF4BDE"/>
    <w:rsid w:val="00FF645E"/>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007A"/>
  <w15:docId w15:val="{CC800F4A-DA6C-4CA7-9C03-0A7F4934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9DA"/>
    <w:pPr>
      <w:ind w:left="720"/>
      <w:contextualSpacing/>
    </w:pPr>
  </w:style>
  <w:style w:type="paragraph" w:styleId="Header">
    <w:name w:val="header"/>
    <w:basedOn w:val="Normal"/>
    <w:link w:val="HeaderChar"/>
    <w:uiPriority w:val="99"/>
    <w:unhideWhenUsed/>
    <w:rsid w:val="0050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0AC"/>
  </w:style>
  <w:style w:type="paragraph" w:styleId="Footer">
    <w:name w:val="footer"/>
    <w:basedOn w:val="Normal"/>
    <w:link w:val="FooterChar"/>
    <w:uiPriority w:val="99"/>
    <w:unhideWhenUsed/>
    <w:rsid w:val="0050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AC"/>
  </w:style>
  <w:style w:type="paragraph" w:styleId="BalloonText">
    <w:name w:val="Balloon Text"/>
    <w:basedOn w:val="Normal"/>
    <w:link w:val="BalloonTextChar"/>
    <w:uiPriority w:val="99"/>
    <w:semiHidden/>
    <w:unhideWhenUsed/>
    <w:rsid w:val="00E4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3AE"/>
    <w:rPr>
      <w:rFonts w:ascii="Tahoma" w:hAnsi="Tahoma" w:cs="Tahoma"/>
      <w:sz w:val="16"/>
      <w:szCs w:val="16"/>
    </w:rPr>
  </w:style>
  <w:style w:type="paragraph" w:customStyle="1" w:styleId="Default">
    <w:name w:val="Default"/>
    <w:rsid w:val="00360EB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9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71B5"/>
    <w:rPr>
      <w:sz w:val="16"/>
      <w:szCs w:val="16"/>
    </w:rPr>
  </w:style>
  <w:style w:type="paragraph" w:styleId="CommentText">
    <w:name w:val="annotation text"/>
    <w:basedOn w:val="Normal"/>
    <w:link w:val="CommentTextChar"/>
    <w:uiPriority w:val="99"/>
    <w:semiHidden/>
    <w:unhideWhenUsed/>
    <w:rsid w:val="00E971B5"/>
    <w:pPr>
      <w:spacing w:line="240" w:lineRule="auto"/>
    </w:pPr>
    <w:rPr>
      <w:sz w:val="20"/>
      <w:szCs w:val="20"/>
    </w:rPr>
  </w:style>
  <w:style w:type="character" w:customStyle="1" w:styleId="CommentTextChar">
    <w:name w:val="Comment Text Char"/>
    <w:basedOn w:val="DefaultParagraphFont"/>
    <w:link w:val="CommentText"/>
    <w:uiPriority w:val="99"/>
    <w:semiHidden/>
    <w:rsid w:val="00E971B5"/>
    <w:rPr>
      <w:sz w:val="20"/>
      <w:szCs w:val="20"/>
    </w:rPr>
  </w:style>
  <w:style w:type="paragraph" w:styleId="CommentSubject">
    <w:name w:val="annotation subject"/>
    <w:basedOn w:val="CommentText"/>
    <w:next w:val="CommentText"/>
    <w:link w:val="CommentSubjectChar"/>
    <w:uiPriority w:val="99"/>
    <w:semiHidden/>
    <w:unhideWhenUsed/>
    <w:rsid w:val="00E971B5"/>
    <w:rPr>
      <w:b/>
      <w:bCs/>
    </w:rPr>
  </w:style>
  <w:style w:type="character" w:customStyle="1" w:styleId="CommentSubjectChar">
    <w:name w:val="Comment Subject Char"/>
    <w:basedOn w:val="CommentTextChar"/>
    <w:link w:val="CommentSubject"/>
    <w:uiPriority w:val="99"/>
    <w:semiHidden/>
    <w:rsid w:val="00E971B5"/>
    <w:rPr>
      <w:b/>
      <w:bCs/>
      <w:sz w:val="20"/>
      <w:szCs w:val="20"/>
    </w:rPr>
  </w:style>
  <w:style w:type="paragraph" w:styleId="NoSpacing">
    <w:name w:val="No Spacing"/>
    <w:uiPriority w:val="1"/>
    <w:qFormat/>
    <w:rsid w:val="004E7C41"/>
    <w:pPr>
      <w:spacing w:after="0" w:line="240" w:lineRule="auto"/>
    </w:pPr>
  </w:style>
  <w:style w:type="character" w:styleId="Hyperlink">
    <w:name w:val="Hyperlink"/>
    <w:basedOn w:val="DefaultParagraphFont"/>
    <w:uiPriority w:val="99"/>
    <w:unhideWhenUsed/>
    <w:rsid w:val="000D71E9"/>
    <w:rPr>
      <w:color w:val="0563C1" w:themeColor="hyperlink"/>
      <w:u w:val="single"/>
    </w:rPr>
  </w:style>
  <w:style w:type="table" w:styleId="LightShading">
    <w:name w:val="Light Shading"/>
    <w:basedOn w:val="TableNormal"/>
    <w:uiPriority w:val="60"/>
    <w:rsid w:val="007541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14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FollowedHyperlink">
    <w:name w:val="FollowedHyperlink"/>
    <w:basedOn w:val="DefaultParagraphFont"/>
    <w:uiPriority w:val="99"/>
    <w:semiHidden/>
    <w:unhideWhenUsed/>
    <w:rsid w:val="00313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0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hyperlink" Target="https://doi.org/10.1017/S0266466600009440" TargetMode="External"/><Relationship Id="rId89" Type="http://schemas.openxmlformats.org/officeDocument/2006/relationships/hyperlink" Target="https://ssrn.com/abstract=882249"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hyperlink" Target="http://dx.doi.org/10.21511/bbs.13(4).2018.10" TargetMode="External"/><Relationship Id="rId79" Type="http://schemas.openxmlformats.org/officeDocument/2006/relationships/hyperlink" Target="https://ssrn.com/abstract=882342" TargetMode="External"/><Relationship Id="rId5" Type="http://schemas.openxmlformats.org/officeDocument/2006/relationships/webSettings" Target="webSettings.xml"/><Relationship Id="rId90" Type="http://schemas.openxmlformats.org/officeDocument/2006/relationships/hyperlink" Target="https://ssrn.com/abstract=249576" TargetMode="External"/><Relationship Id="rId95" Type="http://schemas.openxmlformats.org/officeDocument/2006/relationships/footer" Target="footer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emf"/><Relationship Id="rId80" Type="http://schemas.openxmlformats.org/officeDocument/2006/relationships/hyperlink" Target="http://dx.doi.org/10.1016/j.enpol.2015.05.004" TargetMode="External"/><Relationship Id="rId85" Type="http://schemas.openxmlformats.org/officeDocument/2006/relationships/hyperlink" Target="https://www.rieti.go.jp/jp/publications/dp/07e040.pdf"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hyperlink" Target="https://doi.org/10.1016/j.resourpol.2018.03.001" TargetMode="External"/><Relationship Id="rId75" Type="http://schemas.openxmlformats.org/officeDocument/2006/relationships/hyperlink" Target="https://doi.org/10.1016/j.eneco.2018.05.011" TargetMode="External"/><Relationship Id="rId83" Type="http://schemas.openxmlformats.org/officeDocument/2006/relationships/hyperlink" Target="https://www.ecb.europa.eu/pub/pdf/scpwps/ecbwp243.pdf" TargetMode="External"/><Relationship Id="rId88" Type="http://schemas.openxmlformats.org/officeDocument/2006/relationships/hyperlink" Target="https://doi.org/10.1016/j.econmod.2018.01.018" TargetMode="External"/><Relationship Id="rId91" Type="http://schemas.openxmlformats.org/officeDocument/2006/relationships/hyperlink" Target="https://dx.doi.org/10.2139/ssrn.249576"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hyperlink" Target="http://dx.doi.org/10.21511/imfi.15(3).2018.03" TargetMode="External"/><Relationship Id="rId78" Type="http://schemas.openxmlformats.org/officeDocument/2006/relationships/hyperlink" Target="http://dx.doi.org/10.1016/j.intfin.2013.11.006" TargetMode="External"/><Relationship Id="rId81" Type="http://schemas.openxmlformats.org/officeDocument/2006/relationships/hyperlink" Target="https://doi.org/10.1016/j.frl.2017.12.013" TargetMode="External"/><Relationship Id="rId86" Type="http://schemas.openxmlformats.org/officeDocument/2006/relationships/hyperlink" Target="http://dx.doi.org/10.1016/j.eneco.2016.10.009" TargetMode="External"/><Relationship Id="rId94" Type="http://schemas.openxmlformats.org/officeDocument/2006/relationships/hyperlink" Target="http://links.jstor.org/sici?sici=00129682%28198001%2948%3A1%3C1%3AMAR%3E2.0.CO%3B2-A" TargetMode="Externa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hyperlink" Target="https://doi.org/10.1016/j.jmoneco.2018.08.004"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32861/jssr.52.498.506" TargetMode="External"/><Relationship Id="rId92" Type="http://schemas.openxmlformats.org/officeDocument/2006/relationships/hyperlink" Target="http://dx.doi.org/10.1016/j.eneco.2016.06.002"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hyperlink" Target="http://dx.doi.org/10.1016/j.rser.2014.12.016" TargetMode="External"/><Relationship Id="rId61" Type="http://schemas.openxmlformats.org/officeDocument/2006/relationships/image" Target="media/image27.wmf"/><Relationship Id="rId82" Type="http://schemas.openxmlformats.org/officeDocument/2006/relationships/hyperlink" Target="https://doi.org/10.1016/j.jcorpfin.2018.10.003"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hyperlink" Target="http://dx.doi.org/10.1016/j.enpol.2015.09.024" TargetMode="External"/><Relationship Id="rId8" Type="http://schemas.openxmlformats.org/officeDocument/2006/relationships/hyperlink" Target="mailto:*asaleye.abiola@lmu.edu.ng" TargetMode="External"/><Relationship Id="rId51" Type="http://schemas.openxmlformats.org/officeDocument/2006/relationships/image" Target="media/image22.wmf"/><Relationship Id="rId72" Type="http://schemas.openxmlformats.org/officeDocument/2006/relationships/hyperlink" Target="https://doi.org/10.32861/jssr.412.539.546" TargetMode="External"/><Relationship Id="rId93" Type="http://schemas.openxmlformats.org/officeDocument/2006/relationships/hyperlink" Target="https://doi.org/10.1016/j.apenergy.2018.01.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Ade10</b:Tag>
    <b:SourceType>JournalArticle</b:SourceType>
    <b:Guid>{9E48847B-F90F-411B-A807-D1EF7B5667A2}</b:Guid>
    <b:Author>
      <b:Author>
        <b:NameList>
          <b:Person>
            <b:Last>A.</b:Last>
            <b:First>Adetiloye</b:First>
            <b:Middle>K.</b:Middle>
          </b:Person>
        </b:NameList>
      </b:Author>
    </b:Author>
    <b:Title>exchange rates and the consumer price index in nigeria</b:Title>
    <b:Year>2010</b:Year>
    <b:JournalName>journal of emerging trends in economics and management sciences</b:JournalName>
    <b:Pages>114-120</b:Pages>
    <b:RefOrder>1</b:RefOrder>
  </b:Source>
</b:Sources>
</file>

<file path=customXml/itemProps1.xml><?xml version="1.0" encoding="utf-8"?>
<ds:datastoreItem xmlns:ds="http://schemas.openxmlformats.org/officeDocument/2006/customXml" ds:itemID="{3B91A187-7B36-4E01-8A05-7EAFAA07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UGOCHUKWU</dc:creator>
  <cp:lastModifiedBy>Asaleye 'Biola J</cp:lastModifiedBy>
  <cp:revision>30</cp:revision>
  <cp:lastPrinted>2019-02-20T17:51:00Z</cp:lastPrinted>
  <dcterms:created xsi:type="dcterms:W3CDTF">2019-02-26T10:08:00Z</dcterms:created>
  <dcterms:modified xsi:type="dcterms:W3CDTF">2019-02-28T16:01:00Z</dcterms:modified>
</cp:coreProperties>
</file>