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FAF" w:rsidRPr="00795C9D" w:rsidRDefault="00777FAF" w:rsidP="00777FAF">
      <w:pPr>
        <w:ind w:firstLine="720"/>
        <w:jc w:val="center"/>
        <w:rPr>
          <w:b/>
          <w:sz w:val="22"/>
          <w:szCs w:val="22"/>
          <w:lang w:val="en-GB"/>
        </w:rPr>
      </w:pPr>
      <w:r w:rsidRPr="00795C9D">
        <w:rPr>
          <w:b/>
          <w:sz w:val="22"/>
          <w:szCs w:val="22"/>
          <w:lang w:val="en-GB"/>
        </w:rPr>
        <w:t>CROSS-COUNTRY ANALYSIS OF THE COMPARATIVE EFFICIENCY OF GOVERNMENT SUPPORT FOR COAL AND LIGNITE PRODUCTION</w:t>
      </w:r>
    </w:p>
    <w:p w:rsidR="00777FAF" w:rsidRPr="00795C9D" w:rsidRDefault="00777FAF" w:rsidP="00777FAF">
      <w:pPr>
        <w:ind w:firstLine="720"/>
        <w:jc w:val="center"/>
        <w:rPr>
          <w:b/>
          <w:sz w:val="22"/>
          <w:szCs w:val="22"/>
          <w:lang w:val="en-GB"/>
        </w:rPr>
      </w:pPr>
    </w:p>
    <w:p w:rsidR="00777FAF" w:rsidRPr="00795C9D" w:rsidRDefault="00777FAF" w:rsidP="00777FAF">
      <w:pPr>
        <w:ind w:firstLine="720"/>
        <w:jc w:val="center"/>
        <w:rPr>
          <w:b/>
          <w:sz w:val="22"/>
          <w:szCs w:val="22"/>
          <w:lang w:val="en-GB"/>
        </w:rPr>
      </w:pPr>
      <w:r w:rsidRPr="00795C9D">
        <w:rPr>
          <w:b/>
          <w:sz w:val="22"/>
          <w:szCs w:val="22"/>
          <w:lang w:val="en-GB"/>
        </w:rPr>
        <w:t xml:space="preserve">Alan Karaev¹, Vadim </w:t>
      </w:r>
      <w:proofErr w:type="spellStart"/>
      <w:r w:rsidRPr="00795C9D">
        <w:rPr>
          <w:b/>
          <w:sz w:val="22"/>
          <w:szCs w:val="22"/>
          <w:lang w:val="en-GB"/>
        </w:rPr>
        <w:t>Ponkratov</w:t>
      </w:r>
      <w:proofErr w:type="spellEnd"/>
      <w:r w:rsidRPr="00795C9D">
        <w:rPr>
          <w:b/>
          <w:sz w:val="22"/>
          <w:szCs w:val="22"/>
          <w:lang w:val="en-GB"/>
        </w:rPr>
        <w:t>*², Andrey Masterov</w:t>
      </w:r>
      <w:r w:rsidRPr="00795C9D">
        <w:rPr>
          <w:b/>
          <w:sz w:val="22"/>
          <w:szCs w:val="22"/>
          <w:vertAlign w:val="superscript"/>
          <w:lang w:val="en-GB"/>
        </w:rPr>
        <w:t>3</w:t>
      </w:r>
      <w:r w:rsidRPr="00795C9D">
        <w:rPr>
          <w:b/>
          <w:sz w:val="22"/>
          <w:szCs w:val="22"/>
          <w:lang w:val="en-GB"/>
        </w:rPr>
        <w:t>, Elena Kireeva</w:t>
      </w:r>
      <w:r w:rsidRPr="00795C9D">
        <w:rPr>
          <w:b/>
          <w:sz w:val="22"/>
          <w:szCs w:val="22"/>
          <w:vertAlign w:val="superscript"/>
          <w:lang w:val="en-GB"/>
        </w:rPr>
        <w:t>4</w:t>
      </w:r>
      <w:r w:rsidRPr="00795C9D">
        <w:rPr>
          <w:b/>
          <w:sz w:val="22"/>
          <w:szCs w:val="22"/>
          <w:lang w:val="en-GB"/>
        </w:rPr>
        <w:t>, Maria Volkova</w:t>
      </w:r>
      <w:r w:rsidRPr="00795C9D">
        <w:rPr>
          <w:b/>
          <w:sz w:val="22"/>
          <w:szCs w:val="22"/>
          <w:vertAlign w:val="superscript"/>
          <w:lang w:val="en-GB"/>
        </w:rPr>
        <w:t>5</w:t>
      </w:r>
      <w:r w:rsidRPr="00795C9D">
        <w:rPr>
          <w:b/>
          <w:sz w:val="22"/>
          <w:szCs w:val="22"/>
          <w:lang w:val="en-GB"/>
        </w:rPr>
        <w:t xml:space="preserve"> </w:t>
      </w:r>
    </w:p>
    <w:p w:rsidR="00777FAF" w:rsidRPr="00795C9D" w:rsidRDefault="00777FAF" w:rsidP="00777FAF">
      <w:pPr>
        <w:tabs>
          <w:tab w:val="center" w:pos="5040"/>
          <w:tab w:val="left" w:pos="9153"/>
        </w:tabs>
        <w:ind w:firstLine="720"/>
        <w:rPr>
          <w:b/>
          <w:sz w:val="22"/>
          <w:szCs w:val="22"/>
          <w:vertAlign w:val="superscript"/>
          <w:lang w:val="en-GB"/>
        </w:rPr>
      </w:pPr>
      <w:r w:rsidRPr="00795C9D">
        <w:rPr>
          <w:b/>
          <w:sz w:val="22"/>
          <w:szCs w:val="22"/>
          <w:lang w:val="en-GB"/>
        </w:rPr>
        <w:tab/>
      </w:r>
      <w:r w:rsidRPr="00795C9D">
        <w:rPr>
          <w:b/>
          <w:sz w:val="22"/>
          <w:szCs w:val="22"/>
          <w:lang w:val="en-GB"/>
        </w:rPr>
        <w:tab/>
      </w:r>
    </w:p>
    <w:p w:rsidR="00777FAF" w:rsidRPr="00795C9D" w:rsidRDefault="00777FAF" w:rsidP="00777FAF">
      <w:pPr>
        <w:ind w:firstLine="720"/>
        <w:rPr>
          <w:b/>
          <w:sz w:val="22"/>
          <w:szCs w:val="22"/>
          <w:vertAlign w:val="superscript"/>
          <w:lang w:val="en-GB"/>
        </w:rPr>
      </w:pPr>
    </w:p>
    <w:p w:rsidR="00777FAF" w:rsidRPr="00795C9D" w:rsidRDefault="00777FAF" w:rsidP="00777FAF">
      <w:pPr>
        <w:tabs>
          <w:tab w:val="center" w:pos="5040"/>
          <w:tab w:val="left" w:pos="8953"/>
        </w:tabs>
        <w:ind w:firstLine="720"/>
        <w:rPr>
          <w:i/>
          <w:sz w:val="22"/>
          <w:szCs w:val="22"/>
          <w:shd w:val="clear" w:color="auto" w:fill="FFFFFF"/>
          <w:lang w:val="en-GB"/>
        </w:rPr>
      </w:pPr>
      <w:r w:rsidRPr="00795C9D">
        <w:rPr>
          <w:i/>
          <w:sz w:val="22"/>
          <w:szCs w:val="22"/>
          <w:shd w:val="clear" w:color="auto" w:fill="FFFFFF"/>
          <w:vertAlign w:val="superscript"/>
          <w:lang w:val="en-GB"/>
        </w:rPr>
        <w:tab/>
        <w:t>1</w:t>
      </w:r>
      <w:proofErr w:type="gramStart"/>
      <w:r w:rsidRPr="00795C9D">
        <w:rPr>
          <w:i/>
          <w:sz w:val="22"/>
          <w:szCs w:val="22"/>
          <w:shd w:val="clear" w:color="auto" w:fill="FFFFFF"/>
          <w:vertAlign w:val="superscript"/>
          <w:lang w:val="en-GB"/>
        </w:rPr>
        <w:t>,2,3</w:t>
      </w:r>
      <w:proofErr w:type="gramEnd"/>
      <w:r w:rsidRPr="00795C9D">
        <w:rPr>
          <w:i/>
          <w:sz w:val="22"/>
          <w:szCs w:val="22"/>
          <w:shd w:val="clear" w:color="auto" w:fill="FFFFFF"/>
          <w:lang w:val="en-GB"/>
        </w:rPr>
        <w:t xml:space="preserve"> </w:t>
      </w:r>
      <w:proofErr w:type="spellStart"/>
      <w:r w:rsidRPr="00795C9D">
        <w:rPr>
          <w:i/>
          <w:sz w:val="22"/>
          <w:szCs w:val="22"/>
          <w:shd w:val="clear" w:color="auto" w:fill="FFFFFF"/>
          <w:lang w:val="en-GB"/>
        </w:rPr>
        <w:t>Center</w:t>
      </w:r>
      <w:proofErr w:type="spellEnd"/>
      <w:r w:rsidRPr="00795C9D">
        <w:rPr>
          <w:i/>
          <w:sz w:val="22"/>
          <w:szCs w:val="22"/>
          <w:shd w:val="clear" w:color="auto" w:fill="FFFFFF"/>
          <w:lang w:val="en-GB"/>
        </w:rPr>
        <w:t xml:space="preserve"> of Financial Policy, Department of Public Finance, Financial University, Moscow, Russia</w:t>
      </w:r>
    </w:p>
    <w:p w:rsidR="00777FAF" w:rsidRPr="00795C9D" w:rsidRDefault="00777FAF" w:rsidP="00777FAF">
      <w:pPr>
        <w:tabs>
          <w:tab w:val="center" w:pos="5040"/>
          <w:tab w:val="left" w:pos="8953"/>
        </w:tabs>
        <w:ind w:firstLine="720"/>
        <w:rPr>
          <w:i/>
          <w:sz w:val="22"/>
          <w:szCs w:val="22"/>
          <w:shd w:val="clear" w:color="auto" w:fill="FFFFFF"/>
          <w:lang w:val="en-GB"/>
        </w:rPr>
      </w:pPr>
      <w:r w:rsidRPr="00795C9D">
        <w:rPr>
          <w:i/>
          <w:sz w:val="22"/>
          <w:szCs w:val="22"/>
          <w:shd w:val="clear" w:color="auto" w:fill="FFFFFF"/>
          <w:lang w:val="en-GB"/>
        </w:rPr>
        <w:tab/>
      </w:r>
      <w:r w:rsidRPr="00795C9D">
        <w:rPr>
          <w:i/>
          <w:sz w:val="22"/>
          <w:szCs w:val="22"/>
          <w:shd w:val="clear" w:color="auto" w:fill="FFFFFF"/>
          <w:vertAlign w:val="superscript"/>
          <w:lang w:val="en-GB"/>
        </w:rPr>
        <w:t>4</w:t>
      </w:r>
      <w:r w:rsidRPr="00795C9D">
        <w:rPr>
          <w:i/>
          <w:sz w:val="22"/>
          <w:szCs w:val="22"/>
          <w:shd w:val="clear" w:color="auto" w:fill="FFFFFF"/>
          <w:lang w:val="en-GB"/>
        </w:rPr>
        <w:t>Belarus State Economic University, Minsk, Belarus</w:t>
      </w:r>
    </w:p>
    <w:p w:rsidR="00777FAF" w:rsidRPr="00795C9D" w:rsidRDefault="00777FAF" w:rsidP="00777FAF">
      <w:pPr>
        <w:tabs>
          <w:tab w:val="center" w:pos="5040"/>
          <w:tab w:val="left" w:pos="8953"/>
        </w:tabs>
        <w:ind w:firstLine="720"/>
        <w:rPr>
          <w:i/>
          <w:sz w:val="22"/>
          <w:szCs w:val="22"/>
          <w:shd w:val="clear" w:color="auto" w:fill="FFFFFF"/>
          <w:lang w:val="en-GB"/>
        </w:rPr>
      </w:pPr>
      <w:r w:rsidRPr="00795C9D">
        <w:rPr>
          <w:i/>
          <w:sz w:val="22"/>
          <w:szCs w:val="22"/>
          <w:shd w:val="clear" w:color="auto" w:fill="FFFFFF"/>
          <w:lang w:val="en-GB"/>
        </w:rPr>
        <w:tab/>
      </w:r>
      <w:r w:rsidRPr="00795C9D">
        <w:rPr>
          <w:i/>
          <w:sz w:val="22"/>
          <w:szCs w:val="22"/>
          <w:shd w:val="clear" w:color="auto" w:fill="FFFFFF"/>
          <w:vertAlign w:val="superscript"/>
          <w:lang w:val="en-GB"/>
        </w:rPr>
        <w:t>5</w:t>
      </w:r>
      <w:r w:rsidRPr="00795C9D">
        <w:rPr>
          <w:i/>
          <w:sz w:val="22"/>
          <w:szCs w:val="22"/>
          <w:shd w:val="clear" w:color="auto" w:fill="FFFFFF"/>
          <w:lang w:val="en-GB"/>
        </w:rPr>
        <w:t>Bauman Moscow State Technical University, Moscow, Russia</w:t>
      </w:r>
    </w:p>
    <w:p w:rsidR="00777FAF" w:rsidRPr="00795C9D" w:rsidRDefault="00777FAF" w:rsidP="00777FAF">
      <w:pPr>
        <w:tabs>
          <w:tab w:val="center" w:pos="5040"/>
          <w:tab w:val="left" w:pos="8953"/>
        </w:tabs>
        <w:ind w:firstLine="720"/>
        <w:jc w:val="center"/>
        <w:rPr>
          <w:i/>
          <w:sz w:val="22"/>
          <w:szCs w:val="22"/>
          <w:shd w:val="clear" w:color="auto" w:fill="FFFFFF"/>
          <w:lang w:val="en-GB"/>
        </w:rPr>
      </w:pPr>
      <w:r w:rsidRPr="00795C9D">
        <w:rPr>
          <w:i/>
          <w:sz w:val="22"/>
          <w:szCs w:val="22"/>
          <w:shd w:val="clear" w:color="auto" w:fill="FFFFFF"/>
          <w:lang w:val="en-GB"/>
        </w:rPr>
        <w:t>*Corresponding author, e-mail</w:t>
      </w:r>
      <w:r w:rsidRPr="00795C9D">
        <w:rPr>
          <w:i/>
          <w:sz w:val="22"/>
          <w:szCs w:val="22"/>
          <w:shd w:val="clear" w:color="auto" w:fill="FFFFFF"/>
        </w:rPr>
        <w:t xml:space="preserve">: </w:t>
      </w:r>
      <w:hyperlink r:id="rId4" w:history="1">
        <w:r w:rsidRPr="00795C9D">
          <w:rPr>
            <w:rStyle w:val="Hyperlink"/>
            <w:i/>
            <w:sz w:val="22"/>
            <w:szCs w:val="22"/>
          </w:rPr>
          <w:t>ponkratovvadim@yandex.ru</w:t>
        </w:r>
      </w:hyperlink>
    </w:p>
    <w:p w:rsidR="00777FAF" w:rsidRPr="00795C9D" w:rsidRDefault="00777FAF" w:rsidP="00777FAF">
      <w:pPr>
        <w:tabs>
          <w:tab w:val="center" w:pos="5040"/>
          <w:tab w:val="right" w:pos="10080"/>
        </w:tabs>
        <w:ind w:firstLine="720"/>
        <w:rPr>
          <w:i/>
          <w:sz w:val="22"/>
          <w:szCs w:val="22"/>
          <w:shd w:val="clear" w:color="auto" w:fill="FFFFFF"/>
          <w:lang w:val="en-GB"/>
        </w:rPr>
      </w:pPr>
      <w:r w:rsidRPr="00795C9D">
        <w:rPr>
          <w:i/>
          <w:sz w:val="22"/>
          <w:szCs w:val="22"/>
          <w:shd w:val="clear" w:color="auto" w:fill="FFFFFF"/>
          <w:lang w:val="en-GB"/>
        </w:rPr>
        <w:tab/>
      </w:r>
    </w:p>
    <w:p w:rsidR="00777FAF" w:rsidRPr="00795C9D" w:rsidRDefault="00777FAF" w:rsidP="00777FAF">
      <w:pPr>
        <w:ind w:firstLine="720"/>
        <w:jc w:val="both"/>
        <w:rPr>
          <w:sz w:val="22"/>
          <w:szCs w:val="22"/>
          <w:lang w:val="en-GB"/>
        </w:rPr>
      </w:pPr>
      <w:r w:rsidRPr="00795C9D">
        <w:rPr>
          <w:b/>
          <w:sz w:val="22"/>
          <w:szCs w:val="22"/>
          <w:lang w:val="en-GB"/>
        </w:rPr>
        <w:t xml:space="preserve">Abstract. </w:t>
      </w:r>
      <w:r w:rsidRPr="00795C9D">
        <w:rPr>
          <w:sz w:val="22"/>
          <w:szCs w:val="22"/>
          <w:lang w:val="en-GB"/>
        </w:rPr>
        <w:t>In this research, we applied the DEA method (data envelopment analysis) for a cross-country analysis of the comparative efficiency of government support for coal production in eight countries: the leading producers of coal and lignite, three OECD countries with developed economies (the USA, Germany, and Australia), four BRICS countries with developing economies and emerging markets (China, India, Russia, and South Africa), and Indonesia – the largest producer of coal and lignite in Southeast Asia from 2013 to 2018. An extended version of the DEA method allowed us to evaluate not only technicalities, but also price efficiency of budget support for natural gas production in the considered countries. The data for the empirical model characterizing the volume of financial support to oil producers through budgetary transfers and tax expenditures was taken from the OECD statistical base.</w:t>
      </w:r>
    </w:p>
    <w:p w:rsidR="00777FAF" w:rsidRPr="00795C9D" w:rsidRDefault="00777FAF" w:rsidP="00777FAF">
      <w:pPr>
        <w:ind w:firstLine="720"/>
        <w:jc w:val="both"/>
        <w:rPr>
          <w:sz w:val="22"/>
          <w:szCs w:val="22"/>
          <w:lang w:val="en-GB"/>
        </w:rPr>
      </w:pPr>
      <w:r w:rsidRPr="00795C9D">
        <w:rPr>
          <w:sz w:val="22"/>
          <w:szCs w:val="22"/>
          <w:lang w:val="en-GB"/>
        </w:rPr>
        <w:t>The obtained results indicate low efficiency of state support for coal and lignite production in Russia, the industry that is responsible for the largest generation and emission of greenhouse gases. In accordance with international obligations, Russia should solve this problem. To achieve this goal, the government should legislatively limit the funding of coal projects and exclude coal projects from the sphere of credit and export agencies, development banks, and state banks.</w:t>
      </w:r>
    </w:p>
    <w:p w:rsidR="00777FAF" w:rsidRPr="00795C9D" w:rsidRDefault="00777FAF" w:rsidP="00777FAF">
      <w:pPr>
        <w:ind w:firstLine="720"/>
        <w:jc w:val="both"/>
        <w:rPr>
          <w:b/>
          <w:sz w:val="22"/>
          <w:szCs w:val="22"/>
          <w:lang w:val="en-GB"/>
        </w:rPr>
      </w:pPr>
    </w:p>
    <w:p w:rsidR="00777FAF" w:rsidRPr="00795C9D" w:rsidRDefault="00777FAF" w:rsidP="00777FAF">
      <w:pPr>
        <w:ind w:firstLine="720"/>
        <w:jc w:val="both"/>
        <w:rPr>
          <w:sz w:val="22"/>
          <w:szCs w:val="22"/>
          <w:lang w:val="en-GB"/>
        </w:rPr>
      </w:pPr>
      <w:r w:rsidRPr="00795C9D">
        <w:rPr>
          <w:b/>
          <w:sz w:val="22"/>
          <w:szCs w:val="22"/>
          <w:lang w:val="en-GB"/>
        </w:rPr>
        <w:t>Keywords:</w:t>
      </w:r>
      <w:r w:rsidRPr="00795C9D">
        <w:rPr>
          <w:sz w:val="22"/>
          <w:szCs w:val="22"/>
          <w:lang w:val="en-GB"/>
        </w:rPr>
        <w:t xml:space="preserve"> energy subsidies, government support, fiscal measures, coal and lignite production, operational environment, DEA method</w:t>
      </w:r>
    </w:p>
    <w:p w:rsidR="00777FAF" w:rsidRPr="00795C9D" w:rsidRDefault="00777FAF" w:rsidP="00777FAF">
      <w:pPr>
        <w:ind w:firstLine="720"/>
        <w:jc w:val="both"/>
        <w:rPr>
          <w:sz w:val="22"/>
          <w:szCs w:val="22"/>
          <w:lang w:val="en-GB"/>
        </w:rPr>
      </w:pPr>
    </w:p>
    <w:p w:rsidR="00777FAF" w:rsidRPr="00795C9D" w:rsidRDefault="00777FAF" w:rsidP="00777FAF">
      <w:pPr>
        <w:ind w:firstLine="720"/>
        <w:jc w:val="both"/>
        <w:rPr>
          <w:sz w:val="22"/>
          <w:szCs w:val="22"/>
        </w:rPr>
      </w:pPr>
      <w:r w:rsidRPr="00795C9D">
        <w:rPr>
          <w:b/>
          <w:sz w:val="22"/>
          <w:szCs w:val="22"/>
          <w:lang w:val="en-GB"/>
        </w:rPr>
        <w:t>JEL Classifications:</w:t>
      </w:r>
      <w:r w:rsidRPr="00795C9D">
        <w:rPr>
          <w:sz w:val="22"/>
          <w:szCs w:val="22"/>
          <w:lang w:val="en-GB"/>
        </w:rPr>
        <w:t xml:space="preserve"> H39, H54, C60</w:t>
      </w:r>
    </w:p>
    <w:p w:rsidR="00C6111C" w:rsidRDefault="00C6111C">
      <w:bookmarkStart w:id="0" w:name="_GoBack"/>
      <w:bookmarkEnd w:id="0"/>
    </w:p>
    <w:sectPr w:rsidR="00C6111C" w:rsidSect="00185048">
      <w:pgSz w:w="11906" w:h="16838"/>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AF"/>
    <w:rsid w:val="00185048"/>
    <w:rsid w:val="00323D9D"/>
    <w:rsid w:val="00594336"/>
    <w:rsid w:val="00777FAF"/>
    <w:rsid w:val="00C6111C"/>
    <w:rsid w:val="00E1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6C048-0A48-4DC5-9CF1-C409379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FAF"/>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7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nkratovvadim@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Khvostova</dc:creator>
  <cp:keywords/>
  <dc:description/>
  <cp:lastModifiedBy>Daria Khvostova</cp:lastModifiedBy>
  <cp:revision>1</cp:revision>
  <dcterms:created xsi:type="dcterms:W3CDTF">2020-03-06T12:44:00Z</dcterms:created>
  <dcterms:modified xsi:type="dcterms:W3CDTF">2020-03-06T12:44:00Z</dcterms:modified>
</cp:coreProperties>
</file>