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1A8" w:rsidRDefault="00B20C9C">
      <w:pPr>
        <w:rPr>
          <w:rFonts w:ascii="Times New Roman" w:hAnsi="Times New Roman" w:cs="Times New Roman"/>
          <w:b/>
          <w:sz w:val="27"/>
          <w:szCs w:val="27"/>
        </w:rPr>
      </w:pPr>
      <w:r w:rsidRPr="00016A68">
        <w:rPr>
          <w:rFonts w:ascii="Times New Roman" w:hAnsi="Times New Roman" w:cs="Times New Roman"/>
          <w:b/>
          <w:sz w:val="27"/>
          <w:szCs w:val="27"/>
        </w:rPr>
        <w:t>The Performance analysis of Saud Bahwan Group</w:t>
      </w:r>
      <w:r w:rsidR="00FE6872" w:rsidRPr="00016A68">
        <w:rPr>
          <w:rFonts w:ascii="Times New Roman" w:hAnsi="Times New Roman" w:cs="Times New Roman"/>
          <w:b/>
          <w:sz w:val="27"/>
          <w:szCs w:val="27"/>
        </w:rPr>
        <w:t>,</w:t>
      </w:r>
      <w:r w:rsidR="00C9153E" w:rsidRPr="00016A68">
        <w:rPr>
          <w:rFonts w:ascii="Times New Roman" w:hAnsi="Times New Roman" w:cs="Times New Roman"/>
          <w:b/>
          <w:sz w:val="27"/>
          <w:szCs w:val="27"/>
        </w:rPr>
        <w:t xml:space="preserve"> </w:t>
      </w:r>
      <w:r w:rsidR="00016A68" w:rsidRPr="00016A68">
        <w:rPr>
          <w:rFonts w:ascii="Times New Roman" w:hAnsi="Times New Roman" w:cs="Times New Roman"/>
          <w:b/>
          <w:sz w:val="27"/>
          <w:szCs w:val="27"/>
        </w:rPr>
        <w:t xml:space="preserve">Oman: An Empirical </w:t>
      </w:r>
      <w:r w:rsidR="00FE6872" w:rsidRPr="00016A68">
        <w:rPr>
          <w:rFonts w:ascii="Times New Roman" w:hAnsi="Times New Roman" w:cs="Times New Roman"/>
          <w:b/>
          <w:sz w:val="27"/>
          <w:szCs w:val="27"/>
        </w:rPr>
        <w:t>Study</w:t>
      </w:r>
    </w:p>
    <w:p w:rsidR="00016A68" w:rsidRPr="00016A68" w:rsidRDefault="00016A68">
      <w:pPr>
        <w:rPr>
          <w:rFonts w:ascii="Times New Roman" w:hAnsi="Times New Roman" w:cs="Times New Roman"/>
          <w:b/>
          <w:sz w:val="27"/>
          <w:szCs w:val="27"/>
        </w:rPr>
      </w:pPr>
    </w:p>
    <w:p w:rsidR="003B6FE6" w:rsidRPr="00BB0FF0" w:rsidRDefault="003B6FE6" w:rsidP="003B6FE6">
      <w:pPr>
        <w:spacing w:after="0" w:line="240" w:lineRule="auto"/>
        <w:rPr>
          <w:rFonts w:ascii="Times New Roman" w:hAnsi="Times New Roman" w:cs="Times New Roman"/>
          <w:b/>
        </w:rPr>
      </w:pPr>
      <w:r w:rsidRPr="00BB0FF0">
        <w:rPr>
          <w:rFonts w:ascii="Times New Roman" w:hAnsi="Times New Roman" w:cs="Times New Roman"/>
          <w:b/>
          <w:sz w:val="24"/>
          <w:szCs w:val="20"/>
        </w:rPr>
        <w:t>Dr.</w:t>
      </w:r>
      <w:r w:rsidR="00C9153E" w:rsidRPr="00BB0FF0">
        <w:rPr>
          <w:rFonts w:ascii="Times New Roman" w:hAnsi="Times New Roman" w:cs="Times New Roman"/>
          <w:b/>
          <w:sz w:val="24"/>
          <w:szCs w:val="20"/>
        </w:rPr>
        <w:t xml:space="preserve"> Md. </w:t>
      </w:r>
      <w:r w:rsidRPr="00BB0FF0">
        <w:rPr>
          <w:rFonts w:ascii="Times New Roman" w:hAnsi="Times New Roman" w:cs="Times New Roman"/>
          <w:b/>
          <w:sz w:val="24"/>
          <w:szCs w:val="20"/>
        </w:rPr>
        <w:t>Shabbir Alam</w:t>
      </w:r>
      <w:r w:rsidR="00BB0FF0" w:rsidRPr="00BB0FF0">
        <w:rPr>
          <w:rFonts w:ascii="Times New Roman" w:hAnsi="Times New Roman" w:cs="Times New Roman"/>
          <w:b/>
        </w:rPr>
        <w:t>*</w:t>
      </w:r>
      <w:r w:rsidR="00C9153E" w:rsidRPr="00BB0FF0">
        <w:rPr>
          <w:rFonts w:ascii="Times New Roman" w:hAnsi="Times New Roman" w:cs="Times New Roman"/>
          <w:b/>
        </w:rPr>
        <w:t xml:space="preserve"> </w:t>
      </w:r>
      <w:r w:rsidR="00016A68" w:rsidRPr="00BB0FF0">
        <w:rPr>
          <w:rFonts w:ascii="Times New Roman" w:hAnsi="Times New Roman" w:cs="Times New Roman"/>
          <w:b/>
        </w:rPr>
        <w:t>(Assistant Professor, Department of Accounting &amp; Finance, CCBA, Dhofar University</w:t>
      </w:r>
      <w:r w:rsidR="001413E6" w:rsidRPr="00BB0FF0">
        <w:rPr>
          <w:rFonts w:ascii="Times New Roman" w:hAnsi="Times New Roman" w:cs="Times New Roman"/>
          <w:b/>
        </w:rPr>
        <w:t>)</w:t>
      </w:r>
      <w:r w:rsidR="00016A68" w:rsidRPr="00BB0FF0">
        <w:rPr>
          <w:rFonts w:ascii="Times New Roman" w:hAnsi="Times New Roman" w:cs="Times New Roman"/>
          <w:b/>
        </w:rPr>
        <w:t xml:space="preserve"> Email: </w:t>
      </w:r>
      <w:hyperlink r:id="rId7" w:history="1">
        <w:r w:rsidR="00016A68" w:rsidRPr="00BB0FF0">
          <w:rPr>
            <w:rStyle w:val="Hyperlink"/>
            <w:rFonts w:ascii="Times New Roman" w:hAnsi="Times New Roman" w:cs="Times New Roman"/>
            <w:b/>
          </w:rPr>
          <w:t>mdshabbir@du.edu.om</w:t>
        </w:r>
      </w:hyperlink>
    </w:p>
    <w:p w:rsidR="00016A68" w:rsidRPr="00016A68" w:rsidRDefault="00016A68" w:rsidP="003B6FE6">
      <w:pPr>
        <w:spacing w:after="0" w:line="240" w:lineRule="auto"/>
        <w:rPr>
          <w:rFonts w:ascii="Times New Roman" w:hAnsi="Times New Roman" w:cs="Times New Roman"/>
          <w:b/>
          <w:sz w:val="18"/>
          <w:szCs w:val="20"/>
        </w:rPr>
      </w:pPr>
    </w:p>
    <w:p w:rsidR="00BB0FF0" w:rsidRPr="00BB0FF0" w:rsidRDefault="003B6FE6" w:rsidP="00BB0FF0">
      <w:pPr>
        <w:rPr>
          <w:rFonts w:ascii="Times New Roman" w:hAnsi="Times New Roman" w:cs="Times New Roman"/>
          <w:sz w:val="24"/>
          <w:szCs w:val="24"/>
        </w:rPr>
      </w:pPr>
      <w:r w:rsidRPr="00BB0FF0">
        <w:rPr>
          <w:rFonts w:ascii="Times New Roman" w:hAnsi="Times New Roman" w:cs="Times New Roman"/>
          <w:b/>
        </w:rPr>
        <w:t>Dr.</w:t>
      </w:r>
      <w:r w:rsidR="00016A68" w:rsidRPr="00BB0FF0">
        <w:rPr>
          <w:rFonts w:ascii="Times New Roman" w:hAnsi="Times New Roman" w:cs="Times New Roman"/>
          <w:b/>
        </w:rPr>
        <w:t xml:space="preserve"> </w:t>
      </w:r>
      <w:r w:rsidRPr="00BB0FF0">
        <w:rPr>
          <w:rFonts w:ascii="Times New Roman" w:hAnsi="Times New Roman" w:cs="Times New Roman"/>
          <w:b/>
        </w:rPr>
        <w:t>Naushad Alam</w:t>
      </w:r>
      <w:r w:rsidR="00BB0FF0" w:rsidRPr="00BB0FF0">
        <w:rPr>
          <w:rFonts w:ascii="Times New Roman" w:hAnsi="Times New Roman" w:cs="Times New Roman"/>
          <w:b/>
        </w:rPr>
        <w:t>**</w:t>
      </w:r>
      <w:r w:rsidR="00C9153E" w:rsidRPr="00016A68">
        <w:rPr>
          <w:rFonts w:ascii="Times New Roman" w:hAnsi="Times New Roman" w:cs="Times New Roman"/>
          <w:b/>
          <w:sz w:val="24"/>
          <w:szCs w:val="20"/>
        </w:rPr>
        <w:t xml:space="preserve"> </w:t>
      </w:r>
      <w:r w:rsidRPr="00BB0FF0">
        <w:rPr>
          <w:rFonts w:ascii="Times New Roman" w:hAnsi="Times New Roman" w:cs="Times New Roman"/>
          <w:b/>
          <w:sz w:val="20"/>
          <w:szCs w:val="20"/>
        </w:rPr>
        <w:t>(Assistant Professor-Saudi Electronic University)</w:t>
      </w:r>
      <w:r w:rsidR="00BB0FF0" w:rsidRPr="00BB0FF0">
        <w:rPr>
          <w:rFonts w:ascii="Times New Roman" w:hAnsi="Times New Roman" w:cs="Times New Roman"/>
          <w:b/>
          <w:sz w:val="20"/>
          <w:szCs w:val="20"/>
        </w:rPr>
        <w:t xml:space="preserve"> Email: </w:t>
      </w:r>
      <w:hyperlink r:id="rId8" w:history="1">
        <w:r w:rsidR="00BB0FF0" w:rsidRPr="00B07B86">
          <w:rPr>
            <w:rStyle w:val="Hyperlink"/>
            <w:rFonts w:ascii="Times New Roman" w:hAnsi="Times New Roman" w:cs="Times New Roman"/>
            <w:sz w:val="24"/>
            <w:szCs w:val="24"/>
          </w:rPr>
          <w:t>naushadamu@gmail.com</w:t>
        </w:r>
      </w:hyperlink>
      <w:r w:rsidR="00BB0FF0">
        <w:rPr>
          <w:rFonts w:ascii="Times New Roman" w:hAnsi="Times New Roman" w:cs="Times New Roman"/>
          <w:sz w:val="24"/>
          <w:szCs w:val="24"/>
        </w:rPr>
        <w:t xml:space="preserve"> </w:t>
      </w:r>
    </w:p>
    <w:p w:rsidR="003B6FE6" w:rsidRPr="00BB0FF0" w:rsidRDefault="00BB0FF0" w:rsidP="003B6FE6">
      <w:pPr>
        <w:spacing w:after="0" w:line="240" w:lineRule="auto"/>
        <w:rPr>
          <w:rFonts w:ascii="Times New Roman" w:hAnsi="Times New Roman" w:cs="Times New Roman"/>
          <w:b/>
          <w:sz w:val="16"/>
          <w:szCs w:val="20"/>
        </w:rPr>
      </w:pPr>
      <w:r>
        <w:rPr>
          <w:rFonts w:ascii="Times New Roman" w:hAnsi="Times New Roman" w:cs="Times New Roman"/>
          <w:b/>
          <w:sz w:val="20"/>
          <w:szCs w:val="20"/>
        </w:rPr>
        <w:t xml:space="preserve"> </w:t>
      </w:r>
    </w:p>
    <w:p w:rsidR="00016A68" w:rsidRDefault="00016A68" w:rsidP="00505AD0">
      <w:pPr>
        <w:spacing w:before="120" w:after="120" w:line="240" w:lineRule="auto"/>
        <w:jc w:val="both"/>
        <w:rPr>
          <w:rFonts w:ascii="Times New Roman" w:hAnsi="Times New Roman" w:cs="Times New Roman"/>
          <w:sz w:val="20"/>
          <w:szCs w:val="20"/>
        </w:rPr>
      </w:pPr>
    </w:p>
    <w:p w:rsidR="001413E6" w:rsidRDefault="001413E6" w:rsidP="00016A68">
      <w:pPr>
        <w:spacing w:before="120" w:after="120" w:line="240" w:lineRule="auto"/>
        <w:jc w:val="center"/>
        <w:rPr>
          <w:rFonts w:ascii="Times New Roman" w:hAnsi="Times New Roman" w:cs="Times New Roman"/>
          <w:b/>
          <w:sz w:val="28"/>
          <w:szCs w:val="16"/>
        </w:rPr>
      </w:pPr>
    </w:p>
    <w:p w:rsidR="00016A68" w:rsidRPr="001413E6" w:rsidRDefault="00016A68" w:rsidP="00016A68">
      <w:pPr>
        <w:spacing w:before="120" w:after="120" w:line="240" w:lineRule="auto"/>
        <w:jc w:val="center"/>
        <w:rPr>
          <w:rFonts w:ascii="Times New Roman" w:hAnsi="Times New Roman" w:cs="Times New Roman"/>
          <w:b/>
          <w:sz w:val="28"/>
          <w:szCs w:val="16"/>
        </w:rPr>
      </w:pPr>
      <w:r w:rsidRPr="001413E6">
        <w:rPr>
          <w:rFonts w:ascii="Times New Roman" w:hAnsi="Times New Roman" w:cs="Times New Roman"/>
          <w:b/>
          <w:sz w:val="28"/>
          <w:szCs w:val="16"/>
        </w:rPr>
        <w:t>Abstract</w:t>
      </w:r>
    </w:p>
    <w:p w:rsidR="00016A68" w:rsidRPr="00016A68" w:rsidRDefault="00016A68" w:rsidP="00016A68">
      <w:pPr>
        <w:spacing w:before="120" w:after="120" w:line="240" w:lineRule="auto"/>
        <w:jc w:val="center"/>
        <w:rPr>
          <w:rFonts w:ascii="Times New Roman" w:hAnsi="Times New Roman" w:cs="Times New Roman"/>
          <w:b/>
          <w:sz w:val="24"/>
          <w:szCs w:val="16"/>
        </w:rPr>
      </w:pPr>
    </w:p>
    <w:p w:rsidR="00503492" w:rsidRPr="00016A68" w:rsidRDefault="00C70F56" w:rsidP="00016A68">
      <w:pPr>
        <w:spacing w:before="120" w:after="120" w:line="276" w:lineRule="auto"/>
        <w:jc w:val="both"/>
        <w:rPr>
          <w:rFonts w:ascii="Times New Roman" w:hAnsi="Times New Roman" w:cs="Times New Roman"/>
          <w:sz w:val="24"/>
          <w:szCs w:val="16"/>
        </w:rPr>
      </w:pPr>
      <w:r w:rsidRPr="00505AD0">
        <w:rPr>
          <w:rFonts w:ascii="Times New Roman" w:hAnsi="Times New Roman" w:cs="Times New Roman"/>
          <w:sz w:val="16"/>
          <w:szCs w:val="16"/>
        </w:rPr>
        <w:t xml:space="preserve"> </w:t>
      </w:r>
      <w:r w:rsidRPr="00016A68">
        <w:rPr>
          <w:rFonts w:ascii="Times New Roman" w:hAnsi="Times New Roman" w:cs="Times New Roman"/>
          <w:sz w:val="24"/>
          <w:szCs w:val="16"/>
        </w:rPr>
        <w:t xml:space="preserve">The present study examines the </w:t>
      </w:r>
      <w:r w:rsidR="00B676A5" w:rsidRPr="00016A68">
        <w:rPr>
          <w:rFonts w:ascii="Times New Roman" w:hAnsi="Times New Roman" w:cs="Times New Roman"/>
          <w:sz w:val="24"/>
          <w:szCs w:val="16"/>
        </w:rPr>
        <w:t xml:space="preserve">financial performance Saud Bahawan group vis a vis its </w:t>
      </w:r>
      <w:r w:rsidR="00E13929" w:rsidRPr="00016A68">
        <w:rPr>
          <w:rFonts w:ascii="Times New Roman" w:hAnsi="Times New Roman" w:cs="Times New Roman"/>
          <w:sz w:val="24"/>
          <w:szCs w:val="16"/>
        </w:rPr>
        <w:t>competitor</w:t>
      </w:r>
      <w:r w:rsidR="006A6D03" w:rsidRPr="00016A68">
        <w:rPr>
          <w:rFonts w:ascii="Times New Roman" w:hAnsi="Times New Roman" w:cs="Times New Roman"/>
          <w:sz w:val="24"/>
          <w:szCs w:val="16"/>
        </w:rPr>
        <w:t xml:space="preserve"> and its role in the economic development of </w:t>
      </w:r>
      <w:r w:rsidR="00222267" w:rsidRPr="00016A68">
        <w:rPr>
          <w:rFonts w:ascii="Times New Roman" w:hAnsi="Times New Roman" w:cs="Times New Roman"/>
          <w:sz w:val="24"/>
          <w:szCs w:val="16"/>
        </w:rPr>
        <w:t>Oman. From</w:t>
      </w:r>
      <w:r w:rsidR="007C6B94" w:rsidRPr="00016A68">
        <w:rPr>
          <w:rFonts w:ascii="Times New Roman" w:hAnsi="Times New Roman" w:cs="Times New Roman"/>
          <w:sz w:val="24"/>
          <w:szCs w:val="16"/>
        </w:rPr>
        <w:t xml:space="preserve"> the empirical work carried out it was established that the ROE has increased over the years from 1350 in 2010 to 14245 in 2014.However on the contrary the net assets to book value, earning per share have declined considerably over the years. The debt ratio has too increased from 0.18 to 0.28 which is a marginal increase and that’s may have attributed to the decline in the EPS.</w:t>
      </w:r>
      <w:r w:rsidR="00505AD0" w:rsidRPr="00016A68">
        <w:rPr>
          <w:rFonts w:ascii="Times New Roman" w:hAnsi="Times New Roman" w:cs="Times New Roman"/>
          <w:sz w:val="24"/>
          <w:szCs w:val="16"/>
        </w:rPr>
        <w:t xml:space="preserve"> The results </w:t>
      </w:r>
      <w:r w:rsidR="00222267" w:rsidRPr="00016A68">
        <w:rPr>
          <w:rFonts w:ascii="Times New Roman" w:hAnsi="Times New Roman" w:cs="Times New Roman"/>
          <w:sz w:val="24"/>
          <w:szCs w:val="16"/>
        </w:rPr>
        <w:t>showed</w:t>
      </w:r>
      <w:r w:rsidR="00505AD0" w:rsidRPr="00016A68">
        <w:rPr>
          <w:rFonts w:ascii="Times New Roman" w:hAnsi="Times New Roman" w:cs="Times New Roman"/>
          <w:sz w:val="24"/>
          <w:szCs w:val="16"/>
        </w:rPr>
        <w:t xml:space="preserve"> that, there is no significance different between return on equity of Saud Bahawan and five other companies chosen for the study.</w:t>
      </w:r>
      <w:r w:rsidR="00222267" w:rsidRPr="00016A68">
        <w:rPr>
          <w:rFonts w:ascii="Times New Roman" w:hAnsi="Times New Roman" w:cs="Times New Roman"/>
          <w:sz w:val="24"/>
          <w:szCs w:val="16"/>
        </w:rPr>
        <w:t xml:space="preserve"> </w:t>
      </w:r>
      <w:r w:rsidR="00E13929" w:rsidRPr="00016A68">
        <w:rPr>
          <w:rFonts w:ascii="Times New Roman" w:hAnsi="Times New Roman" w:cs="Times New Roman"/>
          <w:sz w:val="24"/>
          <w:szCs w:val="16"/>
        </w:rPr>
        <w:t xml:space="preserve">If we just consider the difference of mean in Return on equity of all companies establishes the fact the firm profitability is comparatively better than that of its </w:t>
      </w:r>
      <w:r w:rsidR="00FA3E4B" w:rsidRPr="00016A68">
        <w:rPr>
          <w:rFonts w:ascii="Times New Roman" w:hAnsi="Times New Roman" w:cs="Times New Roman"/>
          <w:sz w:val="24"/>
          <w:szCs w:val="16"/>
        </w:rPr>
        <w:t xml:space="preserve">competitor. Thus the study reveals that the </w:t>
      </w:r>
      <w:r w:rsidR="00222267" w:rsidRPr="00016A68">
        <w:rPr>
          <w:rFonts w:ascii="Times New Roman" w:hAnsi="Times New Roman" w:cs="Times New Roman"/>
          <w:sz w:val="24"/>
          <w:szCs w:val="16"/>
        </w:rPr>
        <w:t>companies chosen for the study were</w:t>
      </w:r>
      <w:r w:rsidR="00FA3E4B" w:rsidRPr="00016A68">
        <w:rPr>
          <w:rFonts w:ascii="Times New Roman" w:hAnsi="Times New Roman" w:cs="Times New Roman"/>
          <w:sz w:val="24"/>
          <w:szCs w:val="16"/>
        </w:rPr>
        <w:t xml:space="preserve"> no better than that of the Saud Bahawan group in all the parameters taken for the study.</w:t>
      </w:r>
    </w:p>
    <w:p w:rsidR="00503492" w:rsidRPr="001413E6" w:rsidRDefault="00503492" w:rsidP="00016A68">
      <w:pPr>
        <w:spacing w:before="120" w:after="120" w:line="276" w:lineRule="auto"/>
        <w:jc w:val="both"/>
        <w:rPr>
          <w:rFonts w:ascii="Times New Roman" w:hAnsi="Times New Roman" w:cs="Times New Roman"/>
          <w:i/>
          <w:sz w:val="24"/>
          <w:szCs w:val="16"/>
        </w:rPr>
      </w:pPr>
      <w:r w:rsidRPr="001413E6">
        <w:rPr>
          <w:rFonts w:ascii="Times New Roman" w:hAnsi="Times New Roman" w:cs="Times New Roman"/>
          <w:i/>
          <w:sz w:val="24"/>
          <w:szCs w:val="16"/>
        </w:rPr>
        <w:t>Key Words: financial performance</w:t>
      </w:r>
      <w:r w:rsidR="006A6D03" w:rsidRPr="001413E6">
        <w:rPr>
          <w:rFonts w:ascii="Times New Roman" w:hAnsi="Times New Roman" w:cs="Times New Roman"/>
          <w:i/>
          <w:sz w:val="24"/>
          <w:szCs w:val="16"/>
        </w:rPr>
        <w:t>, ROE, EPS</w:t>
      </w:r>
      <w:r w:rsidR="00222267" w:rsidRPr="001413E6">
        <w:rPr>
          <w:rFonts w:ascii="Times New Roman" w:hAnsi="Times New Roman" w:cs="Times New Roman"/>
          <w:i/>
          <w:sz w:val="24"/>
          <w:szCs w:val="16"/>
        </w:rPr>
        <w:t xml:space="preserve"> </w:t>
      </w:r>
      <w:r w:rsidRPr="001413E6">
        <w:rPr>
          <w:rFonts w:ascii="Times New Roman" w:hAnsi="Times New Roman" w:cs="Times New Roman"/>
          <w:i/>
          <w:sz w:val="24"/>
          <w:szCs w:val="16"/>
        </w:rPr>
        <w:t>&amp;</w:t>
      </w:r>
      <w:r w:rsidR="00222267" w:rsidRPr="001413E6">
        <w:rPr>
          <w:rFonts w:ascii="Times New Roman" w:hAnsi="Times New Roman" w:cs="Times New Roman"/>
          <w:i/>
          <w:sz w:val="24"/>
          <w:szCs w:val="16"/>
        </w:rPr>
        <w:t xml:space="preserve"> </w:t>
      </w:r>
      <w:r w:rsidRPr="001413E6">
        <w:rPr>
          <w:rFonts w:ascii="Times New Roman" w:hAnsi="Times New Roman" w:cs="Times New Roman"/>
          <w:i/>
          <w:sz w:val="24"/>
          <w:szCs w:val="16"/>
        </w:rPr>
        <w:t>Debt ra</w:t>
      </w:r>
      <w:r w:rsidR="006A6D03" w:rsidRPr="001413E6">
        <w:rPr>
          <w:rFonts w:ascii="Times New Roman" w:hAnsi="Times New Roman" w:cs="Times New Roman"/>
          <w:i/>
          <w:sz w:val="24"/>
          <w:szCs w:val="16"/>
        </w:rPr>
        <w:t>tio.</w:t>
      </w:r>
    </w:p>
    <w:p w:rsidR="00016A68" w:rsidRDefault="00016A68" w:rsidP="00016A68">
      <w:pPr>
        <w:spacing w:before="120" w:after="120" w:line="276" w:lineRule="auto"/>
        <w:jc w:val="both"/>
        <w:rPr>
          <w:rFonts w:ascii="Times New Roman" w:hAnsi="Times New Roman" w:cs="Times New Roman"/>
          <w:i/>
          <w:sz w:val="24"/>
          <w:szCs w:val="16"/>
        </w:rPr>
      </w:pPr>
    </w:p>
    <w:p w:rsidR="00016A68" w:rsidRDefault="00016A68" w:rsidP="00016A68">
      <w:pPr>
        <w:spacing w:before="120" w:after="120" w:line="276" w:lineRule="auto"/>
        <w:jc w:val="both"/>
        <w:rPr>
          <w:rFonts w:ascii="Times New Roman" w:hAnsi="Times New Roman" w:cs="Times New Roman"/>
          <w:i/>
          <w:sz w:val="24"/>
          <w:szCs w:val="16"/>
        </w:rPr>
      </w:pPr>
    </w:p>
    <w:p w:rsidR="00016A68" w:rsidRDefault="00016A68" w:rsidP="00016A68">
      <w:pPr>
        <w:spacing w:before="120" w:after="120" w:line="276" w:lineRule="auto"/>
        <w:jc w:val="both"/>
        <w:rPr>
          <w:rFonts w:ascii="Times New Roman" w:hAnsi="Times New Roman" w:cs="Times New Roman"/>
          <w:i/>
          <w:sz w:val="24"/>
          <w:szCs w:val="16"/>
        </w:rPr>
      </w:pPr>
    </w:p>
    <w:p w:rsidR="00016A68" w:rsidRDefault="00016A68" w:rsidP="00016A68">
      <w:pPr>
        <w:spacing w:before="120" w:after="120" w:line="276" w:lineRule="auto"/>
        <w:jc w:val="both"/>
        <w:rPr>
          <w:rFonts w:ascii="Times New Roman" w:hAnsi="Times New Roman" w:cs="Times New Roman"/>
          <w:i/>
          <w:sz w:val="24"/>
          <w:szCs w:val="16"/>
        </w:rPr>
      </w:pPr>
    </w:p>
    <w:p w:rsidR="00016A68" w:rsidRDefault="00016A68" w:rsidP="00016A68">
      <w:pPr>
        <w:spacing w:before="120" w:after="120" w:line="276" w:lineRule="auto"/>
        <w:jc w:val="both"/>
        <w:rPr>
          <w:rFonts w:ascii="Times New Roman" w:hAnsi="Times New Roman" w:cs="Times New Roman"/>
          <w:i/>
          <w:sz w:val="24"/>
          <w:szCs w:val="16"/>
        </w:rPr>
      </w:pPr>
    </w:p>
    <w:p w:rsidR="00016A68" w:rsidRDefault="00016A68" w:rsidP="00016A68">
      <w:pPr>
        <w:spacing w:before="120" w:after="120" w:line="276" w:lineRule="auto"/>
        <w:jc w:val="both"/>
        <w:rPr>
          <w:rFonts w:ascii="Times New Roman" w:hAnsi="Times New Roman" w:cs="Times New Roman"/>
          <w:i/>
          <w:sz w:val="24"/>
          <w:szCs w:val="16"/>
        </w:rPr>
      </w:pPr>
    </w:p>
    <w:p w:rsidR="00016A68" w:rsidRDefault="00016A68" w:rsidP="00016A68">
      <w:pPr>
        <w:spacing w:before="120" w:after="120" w:line="276" w:lineRule="auto"/>
        <w:jc w:val="both"/>
        <w:rPr>
          <w:rFonts w:ascii="Times New Roman" w:hAnsi="Times New Roman" w:cs="Times New Roman"/>
          <w:i/>
          <w:sz w:val="24"/>
          <w:szCs w:val="16"/>
        </w:rPr>
      </w:pPr>
    </w:p>
    <w:p w:rsidR="00016A68" w:rsidRPr="00016A68" w:rsidRDefault="00016A68" w:rsidP="00016A68">
      <w:pPr>
        <w:spacing w:before="120" w:after="120" w:line="276" w:lineRule="auto"/>
        <w:jc w:val="both"/>
        <w:rPr>
          <w:rFonts w:ascii="Times New Roman" w:hAnsi="Times New Roman" w:cs="Times New Roman"/>
          <w:i/>
          <w:sz w:val="24"/>
          <w:szCs w:val="16"/>
        </w:rPr>
      </w:pPr>
    </w:p>
    <w:p w:rsidR="00016A68" w:rsidRDefault="00016A68" w:rsidP="006D5E0F">
      <w:pPr>
        <w:spacing w:before="120" w:after="120" w:line="240" w:lineRule="auto"/>
        <w:jc w:val="both"/>
        <w:rPr>
          <w:rFonts w:ascii="Times New Roman" w:hAnsi="Times New Roman" w:cs="Times New Roman"/>
          <w:b/>
          <w:sz w:val="20"/>
          <w:szCs w:val="20"/>
        </w:rPr>
      </w:pPr>
    </w:p>
    <w:p w:rsidR="00016A68" w:rsidRDefault="00016A68" w:rsidP="006D5E0F">
      <w:pPr>
        <w:spacing w:before="120" w:after="120" w:line="240" w:lineRule="auto"/>
        <w:jc w:val="both"/>
        <w:rPr>
          <w:rFonts w:ascii="Times New Roman" w:hAnsi="Times New Roman" w:cs="Times New Roman"/>
          <w:b/>
          <w:sz w:val="20"/>
          <w:szCs w:val="20"/>
        </w:rPr>
      </w:pPr>
    </w:p>
    <w:p w:rsidR="00016A68" w:rsidRDefault="00016A68" w:rsidP="006D5E0F">
      <w:pPr>
        <w:spacing w:before="120" w:after="120" w:line="240" w:lineRule="auto"/>
        <w:jc w:val="both"/>
        <w:rPr>
          <w:rFonts w:ascii="Times New Roman" w:hAnsi="Times New Roman" w:cs="Times New Roman"/>
          <w:b/>
          <w:sz w:val="20"/>
          <w:szCs w:val="20"/>
        </w:rPr>
      </w:pPr>
    </w:p>
    <w:p w:rsidR="00016A68" w:rsidRDefault="00016A68" w:rsidP="006D5E0F">
      <w:pPr>
        <w:spacing w:before="120" w:after="120" w:line="240" w:lineRule="auto"/>
        <w:jc w:val="both"/>
        <w:rPr>
          <w:rFonts w:ascii="Times New Roman" w:hAnsi="Times New Roman" w:cs="Times New Roman"/>
          <w:b/>
          <w:sz w:val="20"/>
          <w:szCs w:val="20"/>
        </w:rPr>
      </w:pPr>
    </w:p>
    <w:p w:rsidR="00016A68" w:rsidRDefault="00016A68" w:rsidP="006D5E0F">
      <w:pPr>
        <w:spacing w:before="120" w:after="120" w:line="240" w:lineRule="auto"/>
        <w:jc w:val="both"/>
        <w:rPr>
          <w:rFonts w:ascii="Times New Roman" w:hAnsi="Times New Roman" w:cs="Times New Roman"/>
          <w:b/>
          <w:sz w:val="20"/>
          <w:szCs w:val="20"/>
        </w:rPr>
      </w:pPr>
    </w:p>
    <w:p w:rsidR="00B20C9C" w:rsidRPr="00016A68" w:rsidRDefault="00B20C9C" w:rsidP="00AE3545">
      <w:pPr>
        <w:spacing w:before="120" w:after="120" w:line="276" w:lineRule="auto"/>
        <w:jc w:val="both"/>
        <w:rPr>
          <w:rFonts w:ascii="Times New Roman" w:hAnsi="Times New Roman" w:cs="Times New Roman"/>
          <w:sz w:val="24"/>
          <w:szCs w:val="24"/>
          <w:shd w:val="clear" w:color="auto" w:fill="FFFFFF"/>
        </w:rPr>
      </w:pPr>
      <w:r w:rsidRPr="00016A68">
        <w:rPr>
          <w:rFonts w:ascii="Times New Roman" w:hAnsi="Times New Roman" w:cs="Times New Roman"/>
          <w:b/>
          <w:sz w:val="24"/>
          <w:szCs w:val="24"/>
        </w:rPr>
        <w:t>Introduction:</w:t>
      </w:r>
      <w:r w:rsidR="007E64A2" w:rsidRPr="00016A68">
        <w:rPr>
          <w:rFonts w:ascii="Times New Roman" w:hAnsi="Times New Roman" w:cs="Times New Roman"/>
          <w:b/>
          <w:sz w:val="24"/>
          <w:szCs w:val="24"/>
        </w:rPr>
        <w:t xml:space="preserve"> </w:t>
      </w:r>
      <w:r w:rsidRPr="00016A68">
        <w:rPr>
          <w:rFonts w:ascii="Times New Roman" w:hAnsi="Times New Roman" w:cs="Times New Roman"/>
          <w:sz w:val="24"/>
          <w:szCs w:val="24"/>
        </w:rPr>
        <w:t xml:space="preserve">The present study is carried out to find out the working performance of </w:t>
      </w:r>
      <w:r w:rsidRPr="00016A68">
        <w:rPr>
          <w:rFonts w:ascii="Times New Roman" w:hAnsi="Times New Roman" w:cs="Times New Roman"/>
          <w:sz w:val="24"/>
          <w:szCs w:val="24"/>
          <w:shd w:val="clear" w:color="auto" w:fill="FFFFFF"/>
        </w:rPr>
        <w:t xml:space="preserve">Saud Bahawan Group one of the leading company of Oman. The group has been playing a great role in the Oman </w:t>
      </w:r>
      <w:r w:rsidR="006A6D03" w:rsidRPr="00016A68">
        <w:rPr>
          <w:rFonts w:ascii="Times New Roman" w:hAnsi="Times New Roman" w:cs="Times New Roman"/>
          <w:sz w:val="24"/>
          <w:szCs w:val="24"/>
          <w:shd w:val="clear" w:color="auto" w:fill="FFFFFF"/>
        </w:rPr>
        <w:t>economy since its inception. It initially</w:t>
      </w:r>
      <w:r w:rsidRPr="00016A68">
        <w:rPr>
          <w:rFonts w:ascii="Times New Roman" w:hAnsi="Times New Roman" w:cs="Times New Roman"/>
          <w:sz w:val="24"/>
          <w:szCs w:val="24"/>
          <w:shd w:val="clear" w:color="auto" w:fill="FFFFFF"/>
        </w:rPr>
        <w:t xml:space="preserve"> started with </w:t>
      </w:r>
      <w:r w:rsidR="00AE706B" w:rsidRPr="00016A68">
        <w:rPr>
          <w:rFonts w:ascii="Times New Roman" w:hAnsi="Times New Roman" w:cs="Times New Roman"/>
          <w:sz w:val="24"/>
          <w:szCs w:val="24"/>
          <w:shd w:val="clear" w:color="auto" w:fill="FFFFFF"/>
        </w:rPr>
        <w:t>in the field of Automotive &amp; Allied businesses and since then diversified into turnkey projects, constr</w:t>
      </w:r>
      <w:r w:rsidR="006A6D03" w:rsidRPr="00016A68">
        <w:rPr>
          <w:rFonts w:ascii="Times New Roman" w:hAnsi="Times New Roman" w:cs="Times New Roman"/>
          <w:sz w:val="24"/>
          <w:szCs w:val="24"/>
          <w:shd w:val="clear" w:color="auto" w:fill="FFFFFF"/>
        </w:rPr>
        <w:t>uction equipment, oil and gas, municipal</w:t>
      </w:r>
      <w:r w:rsidR="00AE706B" w:rsidRPr="00016A68">
        <w:rPr>
          <w:rFonts w:ascii="Times New Roman" w:hAnsi="Times New Roman" w:cs="Times New Roman"/>
          <w:sz w:val="24"/>
          <w:szCs w:val="24"/>
          <w:shd w:val="clear" w:color="auto" w:fill="FFFFFF"/>
        </w:rPr>
        <w:t xml:space="preserve"> civic services, special equipment, </w:t>
      </w:r>
      <w:r w:rsidR="00F9267B" w:rsidRPr="00016A68">
        <w:rPr>
          <w:rFonts w:ascii="Times New Roman" w:hAnsi="Times New Roman" w:cs="Times New Roman"/>
          <w:sz w:val="24"/>
          <w:szCs w:val="24"/>
          <w:shd w:val="clear" w:color="auto" w:fill="FFFFFF"/>
        </w:rPr>
        <w:t>travel &amp; tourism, and</w:t>
      </w:r>
      <w:r w:rsidR="00AE706B" w:rsidRPr="00016A68">
        <w:rPr>
          <w:rFonts w:ascii="Times New Roman" w:hAnsi="Times New Roman" w:cs="Times New Roman"/>
          <w:sz w:val="24"/>
          <w:szCs w:val="24"/>
          <w:shd w:val="clear" w:color="auto" w:fill="FFFFFF"/>
        </w:rPr>
        <w:t xml:space="preserve"> real </w:t>
      </w:r>
      <w:r w:rsidR="00F9267B" w:rsidRPr="00016A68">
        <w:rPr>
          <w:rFonts w:ascii="Times New Roman" w:hAnsi="Times New Roman" w:cs="Times New Roman"/>
          <w:sz w:val="24"/>
          <w:szCs w:val="24"/>
          <w:shd w:val="clear" w:color="auto" w:fill="FFFFFF"/>
        </w:rPr>
        <w:t>estates. The present study is thus an attempt to find out the</w:t>
      </w:r>
      <w:r w:rsidR="00F9267B" w:rsidRPr="00016A68">
        <w:rPr>
          <w:rFonts w:ascii="Times New Roman" w:hAnsi="Times New Roman" w:cs="Times New Roman"/>
          <w:sz w:val="24"/>
          <w:szCs w:val="24"/>
        </w:rPr>
        <w:t xml:space="preserve"> firm performance </w:t>
      </w:r>
      <w:r w:rsidR="00540500" w:rsidRPr="00016A68">
        <w:rPr>
          <w:rFonts w:ascii="Times New Roman" w:hAnsi="Times New Roman" w:cs="Times New Roman"/>
          <w:sz w:val="24"/>
          <w:szCs w:val="24"/>
        </w:rPr>
        <w:t>relative to the performance of other company involved in similar business.</w:t>
      </w:r>
      <w:r w:rsidR="007E64A2" w:rsidRPr="00016A68">
        <w:rPr>
          <w:rFonts w:ascii="Times New Roman" w:hAnsi="Times New Roman" w:cs="Times New Roman"/>
          <w:sz w:val="24"/>
          <w:szCs w:val="24"/>
        </w:rPr>
        <w:t xml:space="preserve"> </w:t>
      </w:r>
      <w:r w:rsidR="009E0261" w:rsidRPr="00016A68">
        <w:rPr>
          <w:rFonts w:ascii="Times New Roman" w:hAnsi="Times New Roman" w:cs="Times New Roman"/>
          <w:sz w:val="24"/>
          <w:szCs w:val="24"/>
          <w:shd w:val="clear" w:color="auto" w:fill="FFFFFF"/>
        </w:rPr>
        <w:t>The study is also an attempt to find out the profitability of the firm as compare</w:t>
      </w:r>
      <w:r w:rsidR="006A6D03" w:rsidRPr="00016A68">
        <w:rPr>
          <w:rFonts w:ascii="Times New Roman" w:hAnsi="Times New Roman" w:cs="Times New Roman"/>
          <w:sz w:val="24"/>
          <w:szCs w:val="24"/>
          <w:shd w:val="clear" w:color="auto" w:fill="FFFFFF"/>
        </w:rPr>
        <w:t>d</w:t>
      </w:r>
      <w:r w:rsidR="009E0261" w:rsidRPr="00016A68">
        <w:rPr>
          <w:rFonts w:ascii="Times New Roman" w:hAnsi="Times New Roman" w:cs="Times New Roman"/>
          <w:sz w:val="24"/>
          <w:szCs w:val="24"/>
          <w:shd w:val="clear" w:color="auto" w:fill="FFFFFF"/>
        </w:rPr>
        <w:t xml:space="preserve"> to its competitors to determine the market share of the </w:t>
      </w:r>
      <w:r w:rsidR="00540500" w:rsidRPr="00016A68">
        <w:rPr>
          <w:rFonts w:ascii="Times New Roman" w:hAnsi="Times New Roman" w:cs="Times New Roman"/>
          <w:sz w:val="24"/>
          <w:szCs w:val="24"/>
          <w:shd w:val="clear" w:color="auto" w:fill="FFFFFF"/>
        </w:rPr>
        <w:t>firm.</w:t>
      </w:r>
    </w:p>
    <w:p w:rsidR="009E0261" w:rsidRPr="00016A68" w:rsidRDefault="009E0261" w:rsidP="00AE3545">
      <w:pPr>
        <w:spacing w:before="120" w:after="120" w:line="276" w:lineRule="auto"/>
        <w:jc w:val="both"/>
        <w:rPr>
          <w:rFonts w:ascii="Times New Roman" w:hAnsi="Times New Roman" w:cs="Times New Roman"/>
          <w:sz w:val="24"/>
          <w:szCs w:val="24"/>
          <w:shd w:val="clear" w:color="auto" w:fill="FFFFFF"/>
        </w:rPr>
      </w:pPr>
    </w:p>
    <w:p w:rsidR="009E0261" w:rsidRPr="00016A68" w:rsidRDefault="009E0261" w:rsidP="00AE3545">
      <w:pPr>
        <w:spacing w:before="120" w:after="120" w:line="276" w:lineRule="auto"/>
        <w:jc w:val="both"/>
        <w:rPr>
          <w:rFonts w:ascii="Times New Roman" w:hAnsi="Times New Roman" w:cs="Times New Roman"/>
          <w:b/>
          <w:sz w:val="24"/>
          <w:szCs w:val="24"/>
          <w:shd w:val="clear" w:color="auto" w:fill="FFFFFF"/>
        </w:rPr>
      </w:pPr>
      <w:r w:rsidRPr="00016A68">
        <w:rPr>
          <w:rFonts w:ascii="Times New Roman" w:hAnsi="Times New Roman" w:cs="Times New Roman"/>
          <w:b/>
          <w:sz w:val="24"/>
          <w:szCs w:val="24"/>
          <w:shd w:val="clear" w:color="auto" w:fill="FFFFFF"/>
        </w:rPr>
        <w:t>Literature Review:</w:t>
      </w:r>
    </w:p>
    <w:p w:rsidR="00F479E1" w:rsidRPr="00016A68" w:rsidRDefault="00F479E1" w:rsidP="00AE3545">
      <w:pPr>
        <w:shd w:val="clear" w:color="auto" w:fill="FFFFFF"/>
        <w:spacing w:before="120" w:after="120" w:line="276" w:lineRule="auto"/>
        <w:jc w:val="both"/>
        <w:rPr>
          <w:rFonts w:ascii="Times New Roman" w:eastAsia="Arial Unicode MS" w:hAnsi="Times New Roman" w:cs="Times New Roman"/>
          <w:sz w:val="24"/>
          <w:szCs w:val="24"/>
          <w:shd w:val="clear" w:color="auto" w:fill="FFFFFF"/>
        </w:rPr>
      </w:pPr>
      <w:r w:rsidRPr="00016A68">
        <w:rPr>
          <w:rFonts w:ascii="Times New Roman" w:hAnsi="Times New Roman" w:cs="Times New Roman"/>
          <w:sz w:val="24"/>
          <w:szCs w:val="24"/>
          <w:shd w:val="clear" w:color="auto" w:fill="FFFFFF"/>
        </w:rPr>
        <w:t xml:space="preserve">To fulfill the need of the study a through literature review was carried out mainly research papers containing research from the Arab countries </w:t>
      </w:r>
      <w:r w:rsidR="008C6A84" w:rsidRPr="00016A68">
        <w:rPr>
          <w:rFonts w:ascii="Times New Roman" w:hAnsi="Times New Roman" w:cs="Times New Roman"/>
          <w:sz w:val="24"/>
          <w:szCs w:val="24"/>
          <w:shd w:val="clear" w:color="auto" w:fill="FFFFFF"/>
        </w:rPr>
        <w:t>were reviewed. A</w:t>
      </w:r>
      <w:r w:rsidRPr="00016A68">
        <w:rPr>
          <w:rFonts w:ascii="Times New Roman" w:hAnsi="Times New Roman" w:cs="Times New Roman"/>
          <w:sz w:val="24"/>
          <w:szCs w:val="24"/>
          <w:shd w:val="clear" w:color="auto" w:fill="FFFFFF"/>
        </w:rPr>
        <w:t xml:space="preserve"> representative group of 304 firms from different sectors </w:t>
      </w:r>
      <w:r w:rsidR="008C6A84" w:rsidRPr="00016A68">
        <w:rPr>
          <w:rFonts w:ascii="Times New Roman" w:hAnsi="Times New Roman" w:cs="Times New Roman"/>
          <w:sz w:val="24"/>
          <w:szCs w:val="24"/>
          <w:shd w:val="clear" w:color="auto" w:fill="FFFFFF"/>
        </w:rPr>
        <w:t>of the economy were selected</w:t>
      </w:r>
      <w:r w:rsidRPr="00016A68">
        <w:rPr>
          <w:rFonts w:ascii="Times New Roman" w:hAnsi="Times New Roman" w:cs="Times New Roman"/>
          <w:sz w:val="24"/>
          <w:szCs w:val="24"/>
          <w:shd w:val="clear" w:color="auto" w:fill="FFFFFF"/>
        </w:rPr>
        <w:t xml:space="preserve">. We first of all important descriptive statistics, identity and their performance and market station from firms on the steps, and then use the variable to capture the relationship between the world but incredibly equality. In particular, we study the determinant ownership concentration. Instrumental variables and properties owned by the country used as concentration on concentration ownership of firms control </w:t>
      </w:r>
      <w:r w:rsidR="0005334B" w:rsidRPr="00016A68">
        <w:rPr>
          <w:rFonts w:ascii="Times New Roman" w:hAnsi="Times New Roman" w:cs="Times New Roman"/>
          <w:sz w:val="24"/>
          <w:szCs w:val="24"/>
          <w:shd w:val="clear" w:color="auto" w:fill="FFFFFF"/>
        </w:rPr>
        <w:t>endogeneity</w:t>
      </w:r>
      <w:r w:rsidRPr="00016A68">
        <w:rPr>
          <w:rFonts w:ascii="Times New Roman" w:hAnsi="Times New Roman" w:cs="Times New Roman"/>
          <w:sz w:val="24"/>
          <w:szCs w:val="24"/>
          <w:shd w:val="clear" w:color="auto" w:fill="FFFFFF"/>
        </w:rPr>
        <w:t xml:space="preserve"> to display and the influence of market incentives. And identify the effects of ownership and are block</w:t>
      </w:r>
      <w:r w:rsidR="007E64A2" w:rsidRPr="00016A68">
        <w:rPr>
          <w:rFonts w:ascii="Times New Roman" w:hAnsi="Times New Roman" w:cs="Times New Roman"/>
          <w:sz w:val="24"/>
          <w:szCs w:val="24"/>
          <w:shd w:val="clear" w:color="auto" w:fill="FFFFFF"/>
        </w:rPr>
        <w:t xml:space="preserve"> </w:t>
      </w:r>
      <w:r w:rsidRPr="00016A68">
        <w:rPr>
          <w:rFonts w:ascii="Times New Roman" w:hAnsi="Times New Roman" w:cs="Times New Roman"/>
          <w:sz w:val="24"/>
          <w:szCs w:val="24"/>
          <w:shd w:val="clear" w:color="auto" w:fill="FFFFFF"/>
        </w:rPr>
        <w:t>holdings. As a result, the broad front that ownership concentration among the poorer legal protection for investors, endogenous response, but I do think there is no major impact on the performance of firms (Mohammed M. Omrana, Ali Bolbolc, Ayten Fatheldinc, 2008).</w:t>
      </w:r>
      <w:r w:rsidR="0005334B" w:rsidRPr="00016A68">
        <w:rPr>
          <w:rFonts w:ascii="Times New Roman" w:eastAsia="Arial Unicode MS" w:hAnsi="Times New Roman" w:cs="Times New Roman"/>
          <w:sz w:val="24"/>
          <w:szCs w:val="24"/>
          <w:shd w:val="clear" w:color="auto" w:fill="FFFFFF"/>
          <w:lang w:bidi="ur-PK"/>
        </w:rPr>
        <w:t xml:space="preserve"> The f</w:t>
      </w:r>
      <w:r w:rsidR="008C6A84" w:rsidRPr="00016A68">
        <w:rPr>
          <w:rFonts w:ascii="Times New Roman" w:eastAsia="Arial Unicode MS" w:hAnsi="Times New Roman" w:cs="Times New Roman"/>
          <w:sz w:val="24"/>
          <w:szCs w:val="24"/>
          <w:shd w:val="clear" w:color="auto" w:fill="FFFFFF"/>
          <w:lang w:bidi="ur-PK"/>
        </w:rPr>
        <w:t xml:space="preserve">actors </w:t>
      </w:r>
      <w:r w:rsidR="0005334B" w:rsidRPr="00016A68">
        <w:rPr>
          <w:rFonts w:ascii="Times New Roman" w:eastAsia="Arial Unicode MS" w:hAnsi="Times New Roman" w:cs="Times New Roman"/>
          <w:sz w:val="24"/>
          <w:szCs w:val="24"/>
          <w:shd w:val="clear" w:color="auto" w:fill="FFFFFF"/>
          <w:lang w:bidi="ur-PK"/>
        </w:rPr>
        <w:t>affecting the</w:t>
      </w:r>
      <w:r w:rsidR="008C6A84" w:rsidRPr="00016A68">
        <w:rPr>
          <w:rFonts w:ascii="Times New Roman" w:eastAsia="Arial Unicode MS" w:hAnsi="Times New Roman" w:cs="Times New Roman"/>
          <w:sz w:val="24"/>
          <w:szCs w:val="24"/>
          <w:shd w:val="clear" w:color="auto" w:fill="FFFFFF"/>
          <w:lang w:bidi="ur-PK"/>
        </w:rPr>
        <w:t xml:space="preserve"> Jordanian insurance </w:t>
      </w:r>
      <w:r w:rsidR="0005334B" w:rsidRPr="00016A68">
        <w:rPr>
          <w:rFonts w:ascii="Times New Roman" w:eastAsia="Arial Unicode MS" w:hAnsi="Times New Roman" w:cs="Times New Roman"/>
          <w:sz w:val="24"/>
          <w:szCs w:val="24"/>
          <w:shd w:val="clear" w:color="auto" w:fill="FFFFFF"/>
          <w:lang w:bidi="ur-PK"/>
        </w:rPr>
        <w:t>company’s</w:t>
      </w:r>
      <w:r w:rsidR="008C6A84" w:rsidRPr="00016A68">
        <w:rPr>
          <w:rFonts w:ascii="Times New Roman" w:eastAsia="Arial Unicode MS" w:hAnsi="Times New Roman" w:cs="Times New Roman"/>
          <w:sz w:val="24"/>
          <w:szCs w:val="24"/>
          <w:shd w:val="clear" w:color="auto" w:fill="FFFFFF"/>
          <w:lang w:bidi="ur-PK"/>
        </w:rPr>
        <w:t xml:space="preserve"> financial performance is the goal of this research investigation. Oman stock exchange during the period, the number of the insurance company (25) (2002-2007) study population consisted of all insurance companies have enlisted. Analysis of the data collected has been </w:t>
      </w:r>
      <w:r w:rsidR="008C6A84" w:rsidRPr="00016A68">
        <w:rPr>
          <w:rFonts w:ascii="Times New Roman" w:eastAsia="Arial Unicode MS" w:hAnsi="Times New Roman" w:cs="Times New Roman"/>
          <w:sz w:val="24"/>
          <w:szCs w:val="24"/>
          <w:shd w:val="clear" w:color="auto" w:fill="FFFFFF"/>
        </w:rPr>
        <w:t>T</w:t>
      </w:r>
      <w:r w:rsidR="008C6A84" w:rsidRPr="00016A68">
        <w:rPr>
          <w:rFonts w:ascii="Times New Roman" w:eastAsia="Arial Unicode MS" w:hAnsi="Times New Roman" w:cs="Times New Roman"/>
          <w:sz w:val="24"/>
          <w:szCs w:val="24"/>
          <w:shd w:val="clear" w:color="auto" w:fill="FFFFFF"/>
          <w:lang w:bidi="ur-PK"/>
        </w:rPr>
        <w:t xml:space="preserve">-test and the primary contact number by using a large number of statistical techniques. Results showed the following variables (attenuation, size, management capacity, and leverage index) have a positive effect on the financial performance of insurance companies, a Jordanian logistics. The researcher recommended that the company consider a good financial performance of an increase in assets will lead to a high and important need in the very highest administrative staff has qualified employees. </w:t>
      </w:r>
      <w:r w:rsidR="008C6A84" w:rsidRPr="00016A68">
        <w:rPr>
          <w:rFonts w:ascii="Times New Roman" w:eastAsia="Arial Unicode MS" w:hAnsi="Times New Roman" w:cs="Times New Roman"/>
          <w:sz w:val="24"/>
          <w:szCs w:val="24"/>
          <w:shd w:val="clear" w:color="auto" w:fill="FFFFFF"/>
        </w:rPr>
        <w:t xml:space="preserve">(Amal Yassin Almajali, Sameer Ahmed Alamro, Yahya Zakarea Al-Soub, 2012). </w:t>
      </w:r>
      <w:r w:rsidR="008C6A84" w:rsidRPr="00016A68">
        <w:rPr>
          <w:rFonts w:ascii="Times New Roman" w:eastAsia="Arial Unicode MS" w:hAnsi="Times New Roman" w:cs="Times New Roman"/>
          <w:sz w:val="24"/>
          <w:szCs w:val="24"/>
          <w:shd w:val="clear" w:color="auto" w:fill="FFFFFF"/>
          <w:lang w:bidi="ur-PK"/>
        </w:rPr>
        <w:t xml:space="preserve">The study of the structure of the capital of Oman Jordanian firms listed in the stock market affect the performance of a public investigation. General least squares multiple regression model to study by (n) impact on the structure of capital representing 76 firms (53 industrial firms and 23 Service Corporation) </w:t>
      </w:r>
      <w:r w:rsidR="008C6A84" w:rsidRPr="00016A68">
        <w:rPr>
          <w:rFonts w:ascii="Times New Roman" w:eastAsia="Arial Unicode MS" w:hAnsi="Times New Roman" w:cs="Times New Roman"/>
          <w:sz w:val="24"/>
          <w:szCs w:val="24"/>
          <w:shd w:val="clear" w:color="auto" w:fill="FFFFFF"/>
        </w:rPr>
        <w:t>period (2001-2006</w:t>
      </w:r>
      <w:r w:rsidR="008C6A84" w:rsidRPr="00016A68">
        <w:rPr>
          <w:rFonts w:ascii="Times New Roman" w:eastAsia="Arial Unicode MS" w:hAnsi="Times New Roman" w:cs="Times New Roman"/>
          <w:sz w:val="24"/>
          <w:szCs w:val="24"/>
          <w:shd w:val="clear" w:color="auto" w:fill="FFFFFF"/>
          <w:lang w:bidi="ur-PK"/>
        </w:rPr>
        <w:t xml:space="preserve">) for applying on behalf of a technique of investigation is used as. The results of this research study on negative and samples with a strong performance on the capital structure generally associated with that conclusion. In addition, the study was that advanced financial stable firms and their financial equilibrium between the low financial performances of firms </w:t>
      </w:r>
      <w:r w:rsidR="008C6A84" w:rsidRPr="00016A68">
        <w:rPr>
          <w:rFonts w:ascii="Times New Roman" w:eastAsia="Arial Unicode MS" w:hAnsi="Times New Roman" w:cs="Times New Roman"/>
          <w:sz w:val="24"/>
          <w:szCs w:val="24"/>
          <w:shd w:val="clear" w:color="auto" w:fill="FFFFFF"/>
          <w:lang w:bidi="ur-PK"/>
        </w:rPr>
        <w:lastRenderedPageBreak/>
        <w:t xml:space="preserve">effects of any significant difference. Finally, there is also a study of high growth firm’s financial balance and low growth firms financial performance is the difference between a negative and it was statistical on the basis of impact on development is shown </w:t>
      </w:r>
      <w:r w:rsidR="008C6A84" w:rsidRPr="00016A68">
        <w:rPr>
          <w:rFonts w:ascii="Times New Roman" w:eastAsia="Arial Unicode MS" w:hAnsi="Times New Roman" w:cs="Times New Roman"/>
          <w:sz w:val="24"/>
          <w:szCs w:val="24"/>
          <w:shd w:val="clear" w:color="auto" w:fill="FFFFFF"/>
        </w:rPr>
        <w:t xml:space="preserve">(Mustafa M. Soumadi, Osama Suhail Hayajneh, 2012). </w:t>
      </w:r>
      <w:r w:rsidR="008C6A84" w:rsidRPr="00016A68">
        <w:rPr>
          <w:rFonts w:ascii="Times New Roman" w:eastAsia="Arial Unicode MS" w:hAnsi="Times New Roman" w:cs="Times New Roman"/>
          <w:sz w:val="24"/>
          <w:szCs w:val="24"/>
          <w:shd w:val="clear" w:color="auto" w:fill="FFFFFF"/>
          <w:lang w:bidi="ur-PK"/>
        </w:rPr>
        <w:t>Corporate social performance (SP) and financial performance (</w:t>
      </w:r>
      <w:r w:rsidR="008C6A84" w:rsidRPr="00016A68">
        <w:rPr>
          <w:rFonts w:ascii="Times New Roman" w:eastAsia="Arial Unicode MS" w:hAnsi="Times New Roman" w:cs="Times New Roman"/>
          <w:sz w:val="24"/>
          <w:szCs w:val="24"/>
          <w:shd w:val="clear" w:color="auto" w:fill="FFFFFF"/>
        </w:rPr>
        <w:t>FP</w:t>
      </w:r>
      <w:r w:rsidR="008C6A84" w:rsidRPr="00016A68">
        <w:rPr>
          <w:rFonts w:ascii="Times New Roman" w:eastAsia="Arial Unicode MS" w:hAnsi="Times New Roman" w:cs="Times New Roman"/>
          <w:sz w:val="24"/>
          <w:szCs w:val="24"/>
          <w:shd w:val="clear" w:color="auto" w:fill="FFFFFF"/>
          <w:lang w:bidi="ur-PK"/>
        </w:rPr>
        <w:t xml:space="preserve">) explain the divergent results on the relationship between different factors can be found in scientific literature. The primary purpose of this chapter to test the effects of these factors is their divergent results. It also considered the relation of these factors individually or in combination, is aimed to assess the sensitivity of it. Our experimental results show that an estimated selection of research depends on the relationship. In particular, </w:t>
      </w:r>
      <w:r w:rsidR="008C6A84" w:rsidRPr="00016A68">
        <w:rPr>
          <w:rFonts w:ascii="Times New Roman" w:eastAsia="Arial Unicode MS" w:hAnsi="Times New Roman" w:cs="Times New Roman"/>
          <w:sz w:val="24"/>
          <w:szCs w:val="24"/>
          <w:shd w:val="clear" w:color="auto" w:fill="FFFFFF"/>
        </w:rPr>
        <w:t>FP</w:t>
      </w:r>
      <w:r w:rsidR="00AE3545">
        <w:rPr>
          <w:rFonts w:ascii="Times New Roman" w:eastAsia="Arial Unicode MS" w:hAnsi="Times New Roman" w:cs="Times New Roman"/>
          <w:sz w:val="24"/>
          <w:szCs w:val="24"/>
          <w:shd w:val="clear" w:color="auto" w:fill="FFFFFF"/>
        </w:rPr>
        <w:t xml:space="preserve"> </w:t>
      </w:r>
      <w:r w:rsidR="008C6A84" w:rsidRPr="00016A68">
        <w:rPr>
          <w:rFonts w:ascii="Times New Roman" w:eastAsia="Arial Unicode MS" w:hAnsi="Times New Roman" w:cs="Times New Roman"/>
          <w:sz w:val="24"/>
          <w:szCs w:val="24"/>
          <w:shd w:val="clear" w:color="auto" w:fill="FFFFFF"/>
          <w:lang w:bidi="ur-PK"/>
        </w:rPr>
        <w:t xml:space="preserve">and sp, measure according to measure a sample chosen relationship. It is not stable, not necessarily linear relationship as many related scholarly works in literature, a duty. Knowledge gained from this work of literature which is still in the process of speaking and a glimpse of lines in the field better understand studied relationship suggests </w:t>
      </w:r>
      <w:r w:rsidR="008C6A84" w:rsidRPr="00016A68">
        <w:rPr>
          <w:rFonts w:ascii="Times New Roman" w:eastAsia="Arial Unicode MS" w:hAnsi="Times New Roman" w:cs="Times New Roman"/>
          <w:sz w:val="24"/>
          <w:szCs w:val="24"/>
          <w:shd w:val="clear" w:color="auto" w:fill="FFFFFF"/>
        </w:rPr>
        <w:t xml:space="preserve">(Hajer Tebini, Bouchra M’Zali, Pascal Lang, Paz Méndez-Rodrı́guez, 2014). </w:t>
      </w:r>
    </w:p>
    <w:p w:rsidR="00B20C9C" w:rsidRPr="00016A68" w:rsidRDefault="009678B5" w:rsidP="00AE3545">
      <w:pPr>
        <w:spacing w:before="120" w:after="120" w:line="276" w:lineRule="auto"/>
        <w:jc w:val="both"/>
        <w:rPr>
          <w:rFonts w:ascii="Times New Roman" w:hAnsi="Times New Roman" w:cs="Times New Roman"/>
          <w:b/>
          <w:sz w:val="24"/>
          <w:szCs w:val="24"/>
        </w:rPr>
      </w:pPr>
      <w:r w:rsidRPr="00016A68">
        <w:rPr>
          <w:rFonts w:ascii="Times New Roman" w:hAnsi="Times New Roman" w:cs="Times New Roman"/>
          <w:b/>
          <w:sz w:val="24"/>
          <w:szCs w:val="24"/>
        </w:rPr>
        <w:t>Data &amp; Methodology</w:t>
      </w:r>
    </w:p>
    <w:p w:rsidR="009678B5" w:rsidRPr="00016A68" w:rsidRDefault="009678B5" w:rsidP="00AE3545">
      <w:pPr>
        <w:spacing w:before="120" w:after="120" w:line="276" w:lineRule="auto"/>
        <w:jc w:val="both"/>
        <w:rPr>
          <w:rFonts w:ascii="Times New Roman" w:hAnsi="Times New Roman" w:cs="Times New Roman"/>
          <w:sz w:val="24"/>
          <w:szCs w:val="24"/>
        </w:rPr>
      </w:pPr>
      <w:r w:rsidRPr="00016A68">
        <w:rPr>
          <w:rFonts w:ascii="Times New Roman" w:hAnsi="Times New Roman" w:cs="Times New Roman"/>
          <w:sz w:val="24"/>
          <w:szCs w:val="24"/>
        </w:rPr>
        <w:t xml:space="preserve">To </w:t>
      </w:r>
      <w:r w:rsidR="002D40C6" w:rsidRPr="00016A68">
        <w:rPr>
          <w:rFonts w:ascii="Times New Roman" w:hAnsi="Times New Roman" w:cs="Times New Roman"/>
          <w:sz w:val="24"/>
          <w:szCs w:val="24"/>
        </w:rPr>
        <w:t>fulfill</w:t>
      </w:r>
      <w:r w:rsidRPr="00016A68">
        <w:rPr>
          <w:rFonts w:ascii="Times New Roman" w:hAnsi="Times New Roman" w:cs="Times New Roman"/>
          <w:sz w:val="24"/>
          <w:szCs w:val="24"/>
        </w:rPr>
        <w:t xml:space="preserve"> the need of the study information </w:t>
      </w:r>
      <w:r w:rsidR="00CA0118" w:rsidRPr="00016A68">
        <w:rPr>
          <w:rFonts w:ascii="Times New Roman" w:hAnsi="Times New Roman" w:cs="Times New Roman"/>
          <w:sz w:val="24"/>
          <w:szCs w:val="24"/>
        </w:rPr>
        <w:t xml:space="preserve">was </w:t>
      </w:r>
      <w:r w:rsidRPr="00016A68">
        <w:rPr>
          <w:rFonts w:ascii="Times New Roman" w:hAnsi="Times New Roman" w:cs="Times New Roman"/>
          <w:sz w:val="24"/>
          <w:szCs w:val="24"/>
        </w:rPr>
        <w:t>collected from the annual reports and balance sheets of the company. The analysis and interpretation of financial statements reveal each and every aspect regarding the wellbeing financial soundness, operational efficiency and creditworthiness of the company.</w:t>
      </w:r>
      <w:r w:rsidR="00016A68">
        <w:rPr>
          <w:rFonts w:ascii="Times New Roman" w:hAnsi="Times New Roman" w:cs="Times New Roman"/>
          <w:sz w:val="24"/>
          <w:szCs w:val="24"/>
        </w:rPr>
        <w:t xml:space="preserve"> </w:t>
      </w:r>
      <w:r w:rsidR="00CA0118" w:rsidRPr="00016A68">
        <w:rPr>
          <w:rFonts w:ascii="Times New Roman" w:hAnsi="Times New Roman" w:cs="Times New Roman"/>
          <w:sz w:val="24"/>
          <w:szCs w:val="24"/>
        </w:rPr>
        <w:t xml:space="preserve">In current study we used the existing instruments of job firm performance and </w:t>
      </w:r>
      <w:r w:rsidR="002E430E" w:rsidRPr="00016A68">
        <w:rPr>
          <w:rFonts w:ascii="Times New Roman" w:hAnsi="Times New Roman" w:cs="Times New Roman"/>
          <w:sz w:val="24"/>
          <w:szCs w:val="24"/>
        </w:rPr>
        <w:t>growth in</w:t>
      </w:r>
      <w:r w:rsidR="00CA0118" w:rsidRPr="00016A68">
        <w:rPr>
          <w:rFonts w:ascii="Times New Roman" w:hAnsi="Times New Roman" w:cs="Times New Roman"/>
          <w:sz w:val="24"/>
          <w:szCs w:val="24"/>
        </w:rPr>
        <w:t xml:space="preserve"> Bahawan group. The data will be collected from the </w:t>
      </w:r>
      <w:r w:rsidR="00540500" w:rsidRPr="00016A68">
        <w:rPr>
          <w:rFonts w:ascii="Times New Roman" w:hAnsi="Times New Roman" w:cs="Times New Roman"/>
          <w:sz w:val="24"/>
          <w:szCs w:val="24"/>
        </w:rPr>
        <w:t xml:space="preserve">published annual reports of Saud </w:t>
      </w:r>
      <w:r w:rsidR="00CA0118" w:rsidRPr="00016A68">
        <w:rPr>
          <w:rFonts w:ascii="Times New Roman" w:hAnsi="Times New Roman" w:cs="Times New Roman"/>
          <w:sz w:val="24"/>
          <w:szCs w:val="24"/>
        </w:rPr>
        <w:t>Bahawan group. To determine the relati</w:t>
      </w:r>
      <w:r w:rsidR="00540500" w:rsidRPr="00016A68">
        <w:rPr>
          <w:rFonts w:ascii="Times New Roman" w:hAnsi="Times New Roman" w:cs="Times New Roman"/>
          <w:sz w:val="24"/>
          <w:szCs w:val="24"/>
        </w:rPr>
        <w:t>onship among different factors ANOVA has been used and multiple regression analysis is also carried out to establish the relationships amongst the different factors.</w:t>
      </w:r>
    </w:p>
    <w:p w:rsidR="00F07798" w:rsidRPr="00016A68" w:rsidRDefault="00F07798" w:rsidP="00AE3545">
      <w:pPr>
        <w:spacing w:before="120" w:after="120" w:line="276" w:lineRule="auto"/>
        <w:jc w:val="both"/>
        <w:rPr>
          <w:rFonts w:ascii="Times New Roman" w:hAnsi="Times New Roman" w:cs="Times New Roman"/>
          <w:b/>
          <w:sz w:val="24"/>
          <w:szCs w:val="24"/>
        </w:rPr>
      </w:pPr>
      <w:r w:rsidRPr="00016A68">
        <w:rPr>
          <w:rFonts w:ascii="Times New Roman" w:hAnsi="Times New Roman" w:cs="Times New Roman"/>
          <w:b/>
          <w:sz w:val="24"/>
          <w:szCs w:val="24"/>
        </w:rPr>
        <w:t>Result analysis &amp; Discussion</w:t>
      </w:r>
    </w:p>
    <w:p w:rsidR="00F07798" w:rsidRPr="00AE3545" w:rsidRDefault="0027542F" w:rsidP="00AE3545">
      <w:pPr>
        <w:spacing w:line="276" w:lineRule="auto"/>
        <w:jc w:val="both"/>
        <w:rPr>
          <w:rFonts w:ascii="Times New Roman" w:hAnsi="Times New Roman" w:cs="Times New Roman"/>
          <w:sz w:val="24"/>
          <w:szCs w:val="24"/>
        </w:rPr>
      </w:pPr>
      <w:r w:rsidRPr="00016A68">
        <w:rPr>
          <w:rFonts w:ascii="Times New Roman" w:hAnsi="Times New Roman" w:cs="Times New Roman"/>
          <w:sz w:val="24"/>
          <w:szCs w:val="24"/>
        </w:rPr>
        <w:t xml:space="preserve">To </w:t>
      </w:r>
      <w:r w:rsidR="00016A68" w:rsidRPr="00016A68">
        <w:rPr>
          <w:rFonts w:ascii="Times New Roman" w:hAnsi="Times New Roman" w:cs="Times New Roman"/>
          <w:sz w:val="24"/>
          <w:szCs w:val="24"/>
        </w:rPr>
        <w:t>fulfill</w:t>
      </w:r>
      <w:r w:rsidRPr="00016A68">
        <w:rPr>
          <w:rFonts w:ascii="Times New Roman" w:hAnsi="Times New Roman" w:cs="Times New Roman"/>
          <w:sz w:val="24"/>
          <w:szCs w:val="24"/>
        </w:rPr>
        <w:t xml:space="preserve"> the need of the study </w:t>
      </w:r>
      <w:r w:rsidR="00917506" w:rsidRPr="00016A68">
        <w:rPr>
          <w:rFonts w:ascii="Times New Roman" w:hAnsi="Times New Roman" w:cs="Times New Roman"/>
          <w:sz w:val="24"/>
          <w:szCs w:val="24"/>
        </w:rPr>
        <w:t xml:space="preserve">analysis on the financial ratios of Saud Bahawan Group of company as compare to the financial ratios of other 5 companies was carried </w:t>
      </w:r>
      <w:r w:rsidR="00E3207C" w:rsidRPr="00016A68">
        <w:rPr>
          <w:rFonts w:ascii="Times New Roman" w:hAnsi="Times New Roman" w:cs="Times New Roman"/>
          <w:sz w:val="24"/>
          <w:szCs w:val="24"/>
        </w:rPr>
        <w:t>out. It can be observed from the Table-1 that the ROE has increased over the years from 1350 in 2010 to 14245 in 2014.However on the contrary the net assets to book value, earning per share have declined considerably over the years. The debt ratio has too increa</w:t>
      </w:r>
      <w:r w:rsidR="00810A8B" w:rsidRPr="00016A68">
        <w:rPr>
          <w:rFonts w:ascii="Times New Roman" w:hAnsi="Times New Roman" w:cs="Times New Roman"/>
          <w:sz w:val="24"/>
          <w:szCs w:val="24"/>
        </w:rPr>
        <w:t xml:space="preserve">sed from 0.18 to 0.28 which is a marginal increase and that’s may </w:t>
      </w:r>
      <w:r w:rsidR="008F7B35" w:rsidRPr="00016A68">
        <w:rPr>
          <w:rFonts w:ascii="Times New Roman" w:hAnsi="Times New Roman" w:cs="Times New Roman"/>
          <w:sz w:val="24"/>
          <w:szCs w:val="24"/>
        </w:rPr>
        <w:t xml:space="preserve">have </w:t>
      </w:r>
      <w:r w:rsidR="00810A8B" w:rsidRPr="00016A68">
        <w:rPr>
          <w:rFonts w:ascii="Times New Roman" w:hAnsi="Times New Roman" w:cs="Times New Roman"/>
          <w:sz w:val="24"/>
          <w:szCs w:val="24"/>
        </w:rPr>
        <w:t xml:space="preserve">attributed to </w:t>
      </w:r>
      <w:r w:rsidR="007C6B94" w:rsidRPr="00016A68">
        <w:rPr>
          <w:rFonts w:ascii="Times New Roman" w:hAnsi="Times New Roman" w:cs="Times New Roman"/>
          <w:sz w:val="24"/>
          <w:szCs w:val="24"/>
        </w:rPr>
        <w:t>the decline in the EPS.</w:t>
      </w:r>
    </w:p>
    <w:p w:rsidR="00174EA6" w:rsidRPr="00AE3545" w:rsidRDefault="00E3207C" w:rsidP="00AE3545">
      <w:pPr>
        <w:spacing w:after="0" w:line="240" w:lineRule="exact"/>
        <w:jc w:val="center"/>
        <w:rPr>
          <w:rFonts w:ascii="Times New Roman" w:hAnsi="Times New Roman" w:cs="Times New Roman"/>
          <w:b/>
          <w:sz w:val="16"/>
          <w:szCs w:val="16"/>
        </w:rPr>
      </w:pPr>
      <w:r w:rsidRPr="00AE3545">
        <w:rPr>
          <w:rFonts w:ascii="Times New Roman" w:hAnsi="Times New Roman" w:cs="Times New Roman"/>
          <w:b/>
          <w:sz w:val="16"/>
          <w:szCs w:val="16"/>
        </w:rPr>
        <w:t>Table-1: Financial Ratio</w:t>
      </w:r>
    </w:p>
    <w:tbl>
      <w:tblPr>
        <w:tblW w:w="3842" w:type="pct"/>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936"/>
        <w:gridCol w:w="586"/>
        <w:gridCol w:w="702"/>
        <w:gridCol w:w="586"/>
        <w:gridCol w:w="702"/>
        <w:gridCol w:w="577"/>
        <w:gridCol w:w="709"/>
        <w:gridCol w:w="1835"/>
      </w:tblGrid>
      <w:tr w:rsidR="00174EA6" w:rsidRPr="00AE3545" w:rsidTr="00AE3545">
        <w:trPr>
          <w:cantSplit/>
          <w:trHeight w:val="904"/>
        </w:trPr>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4EA6" w:rsidRPr="00AE3545" w:rsidRDefault="00174EA6" w:rsidP="00A2233A">
            <w:pPr>
              <w:spacing w:after="0" w:line="360" w:lineRule="auto"/>
              <w:rPr>
                <w:rFonts w:ascii="Times New Roman" w:eastAsia="Times New Roman" w:hAnsi="Times New Roman" w:cs="Times New Roman"/>
                <w:b/>
                <w:bCs/>
                <w:color w:val="000000"/>
                <w:sz w:val="16"/>
                <w:szCs w:val="16"/>
              </w:rPr>
            </w:pPr>
            <w:r w:rsidRPr="00AE3545">
              <w:rPr>
                <w:rFonts w:ascii="Times New Roman" w:eastAsia="Times New Roman" w:hAnsi="Times New Roman" w:cs="Times New Roman"/>
                <w:b/>
                <w:bCs/>
                <w:color w:val="000000"/>
                <w:sz w:val="16"/>
                <w:szCs w:val="16"/>
              </w:rPr>
              <w:t>year</w:t>
            </w:r>
          </w:p>
        </w:tc>
        <w:tc>
          <w:tcPr>
            <w:tcW w:w="636" w:type="pct"/>
            <w:tcBorders>
              <w:top w:val="single" w:sz="4" w:space="0" w:color="auto"/>
              <w:left w:val="single" w:sz="4" w:space="0" w:color="auto"/>
              <w:bottom w:val="single" w:sz="4" w:space="0" w:color="auto"/>
              <w:right w:val="single" w:sz="4" w:space="0" w:color="auto"/>
            </w:tcBorders>
            <w:shd w:val="clear" w:color="auto" w:fill="auto"/>
            <w:noWrap/>
            <w:textDirection w:val="tbRl"/>
            <w:vAlign w:val="center"/>
            <w:hideMark/>
          </w:tcPr>
          <w:p w:rsidR="00174EA6" w:rsidRPr="00AE3545" w:rsidRDefault="00174EA6" w:rsidP="00A2233A">
            <w:pPr>
              <w:spacing w:after="0" w:line="360" w:lineRule="auto"/>
              <w:ind w:left="113" w:right="113"/>
              <w:rPr>
                <w:rFonts w:ascii="Times New Roman" w:eastAsia="Times New Roman" w:hAnsi="Times New Roman" w:cs="Times New Roman"/>
                <w:b/>
                <w:bCs/>
                <w:color w:val="000000"/>
                <w:sz w:val="16"/>
                <w:szCs w:val="16"/>
              </w:rPr>
            </w:pPr>
            <w:r w:rsidRPr="00AE3545">
              <w:rPr>
                <w:rFonts w:ascii="Times New Roman" w:eastAsia="Times New Roman" w:hAnsi="Times New Roman" w:cs="Times New Roman"/>
                <w:b/>
                <w:bCs/>
                <w:color w:val="000000"/>
                <w:sz w:val="16"/>
                <w:szCs w:val="16"/>
              </w:rPr>
              <w:t>Return on equity</w:t>
            </w:r>
          </w:p>
        </w:tc>
        <w:tc>
          <w:tcPr>
            <w:tcW w:w="398" w:type="pct"/>
            <w:tcBorders>
              <w:top w:val="single" w:sz="4" w:space="0" w:color="auto"/>
              <w:left w:val="single" w:sz="4" w:space="0" w:color="auto"/>
              <w:bottom w:val="single" w:sz="4" w:space="0" w:color="auto"/>
              <w:right w:val="single" w:sz="4" w:space="0" w:color="auto"/>
            </w:tcBorders>
            <w:shd w:val="clear" w:color="auto" w:fill="auto"/>
            <w:noWrap/>
            <w:textDirection w:val="tbRl"/>
            <w:vAlign w:val="center"/>
            <w:hideMark/>
          </w:tcPr>
          <w:p w:rsidR="00174EA6" w:rsidRPr="00AE3545" w:rsidRDefault="00174EA6" w:rsidP="00A2233A">
            <w:pPr>
              <w:spacing w:after="0" w:line="360" w:lineRule="auto"/>
              <w:ind w:left="113" w:right="113"/>
              <w:rPr>
                <w:rFonts w:ascii="Times New Roman" w:eastAsia="Times New Roman" w:hAnsi="Times New Roman" w:cs="Times New Roman"/>
                <w:b/>
                <w:bCs/>
                <w:color w:val="000000"/>
                <w:sz w:val="16"/>
                <w:szCs w:val="16"/>
              </w:rPr>
            </w:pPr>
            <w:r w:rsidRPr="00AE3545">
              <w:rPr>
                <w:rFonts w:ascii="Times New Roman" w:eastAsia="Times New Roman" w:hAnsi="Times New Roman" w:cs="Times New Roman"/>
                <w:b/>
                <w:bCs/>
                <w:color w:val="000000"/>
                <w:sz w:val="16"/>
                <w:szCs w:val="16"/>
              </w:rPr>
              <w:t>net asset/book value</w:t>
            </w:r>
          </w:p>
        </w:tc>
        <w:tc>
          <w:tcPr>
            <w:tcW w:w="477" w:type="pct"/>
            <w:tcBorders>
              <w:top w:val="single" w:sz="4" w:space="0" w:color="auto"/>
              <w:left w:val="single" w:sz="4" w:space="0" w:color="auto"/>
              <w:bottom w:val="single" w:sz="4" w:space="0" w:color="auto"/>
              <w:right w:val="single" w:sz="4" w:space="0" w:color="auto"/>
            </w:tcBorders>
            <w:shd w:val="clear" w:color="auto" w:fill="auto"/>
            <w:noWrap/>
            <w:textDirection w:val="tbRl"/>
            <w:vAlign w:val="center"/>
            <w:hideMark/>
          </w:tcPr>
          <w:p w:rsidR="00174EA6" w:rsidRPr="00AE3545" w:rsidRDefault="00174EA6" w:rsidP="00A2233A">
            <w:pPr>
              <w:spacing w:after="0" w:line="360" w:lineRule="auto"/>
              <w:ind w:left="113" w:right="113"/>
              <w:rPr>
                <w:rFonts w:ascii="Times New Roman" w:eastAsia="Times New Roman" w:hAnsi="Times New Roman" w:cs="Times New Roman"/>
                <w:b/>
                <w:bCs/>
                <w:color w:val="000000"/>
                <w:sz w:val="16"/>
                <w:szCs w:val="16"/>
              </w:rPr>
            </w:pPr>
            <w:r w:rsidRPr="00AE3545">
              <w:rPr>
                <w:rFonts w:ascii="Times New Roman" w:eastAsia="Times New Roman" w:hAnsi="Times New Roman" w:cs="Times New Roman"/>
                <w:b/>
                <w:bCs/>
                <w:color w:val="000000"/>
                <w:sz w:val="16"/>
                <w:szCs w:val="16"/>
              </w:rPr>
              <w:t>Earnings per share</w:t>
            </w:r>
          </w:p>
        </w:tc>
        <w:tc>
          <w:tcPr>
            <w:tcW w:w="398" w:type="pct"/>
            <w:tcBorders>
              <w:top w:val="single" w:sz="4" w:space="0" w:color="auto"/>
              <w:left w:val="single" w:sz="4" w:space="0" w:color="auto"/>
              <w:bottom w:val="single" w:sz="4" w:space="0" w:color="auto"/>
              <w:right w:val="single" w:sz="4" w:space="0" w:color="auto"/>
            </w:tcBorders>
            <w:shd w:val="clear" w:color="auto" w:fill="auto"/>
            <w:noWrap/>
            <w:textDirection w:val="tbRl"/>
            <w:vAlign w:val="center"/>
            <w:hideMark/>
          </w:tcPr>
          <w:p w:rsidR="00174EA6" w:rsidRPr="00AE3545" w:rsidRDefault="00174EA6" w:rsidP="00A2233A">
            <w:pPr>
              <w:spacing w:after="0" w:line="360" w:lineRule="auto"/>
              <w:ind w:left="113" w:right="113"/>
              <w:rPr>
                <w:rFonts w:ascii="Times New Roman" w:eastAsia="Times New Roman" w:hAnsi="Times New Roman" w:cs="Times New Roman"/>
                <w:b/>
                <w:bCs/>
                <w:color w:val="000000"/>
                <w:sz w:val="16"/>
                <w:szCs w:val="16"/>
              </w:rPr>
            </w:pPr>
            <w:r w:rsidRPr="00AE3545">
              <w:rPr>
                <w:rFonts w:ascii="Times New Roman" w:eastAsia="Times New Roman" w:hAnsi="Times New Roman" w:cs="Times New Roman"/>
                <w:b/>
                <w:bCs/>
                <w:color w:val="000000"/>
                <w:sz w:val="16"/>
                <w:szCs w:val="16"/>
              </w:rPr>
              <w:t>Stock dividend</w:t>
            </w:r>
          </w:p>
        </w:tc>
        <w:tc>
          <w:tcPr>
            <w:tcW w:w="477" w:type="pct"/>
            <w:tcBorders>
              <w:top w:val="single" w:sz="4" w:space="0" w:color="auto"/>
              <w:left w:val="single" w:sz="4" w:space="0" w:color="auto"/>
              <w:bottom w:val="single" w:sz="4" w:space="0" w:color="auto"/>
              <w:right w:val="single" w:sz="4" w:space="0" w:color="auto"/>
            </w:tcBorders>
            <w:shd w:val="clear" w:color="auto" w:fill="auto"/>
            <w:noWrap/>
            <w:textDirection w:val="tbRl"/>
            <w:vAlign w:val="center"/>
            <w:hideMark/>
          </w:tcPr>
          <w:p w:rsidR="00174EA6" w:rsidRPr="00AE3545" w:rsidRDefault="00174EA6" w:rsidP="00A2233A">
            <w:pPr>
              <w:spacing w:after="0" w:line="360" w:lineRule="auto"/>
              <w:ind w:left="113" w:right="113"/>
              <w:rPr>
                <w:rFonts w:ascii="Times New Roman" w:eastAsia="Times New Roman" w:hAnsi="Times New Roman" w:cs="Times New Roman"/>
                <w:b/>
                <w:bCs/>
                <w:color w:val="000000"/>
                <w:sz w:val="16"/>
                <w:szCs w:val="16"/>
              </w:rPr>
            </w:pPr>
            <w:r w:rsidRPr="00AE3545">
              <w:rPr>
                <w:rFonts w:ascii="Times New Roman" w:eastAsia="Times New Roman" w:hAnsi="Times New Roman" w:cs="Times New Roman"/>
                <w:b/>
                <w:bCs/>
                <w:color w:val="000000"/>
                <w:sz w:val="16"/>
                <w:szCs w:val="16"/>
              </w:rPr>
              <w:t>price earning</w:t>
            </w:r>
          </w:p>
        </w:tc>
        <w:tc>
          <w:tcPr>
            <w:tcW w:w="392" w:type="pct"/>
            <w:tcBorders>
              <w:top w:val="single" w:sz="4" w:space="0" w:color="auto"/>
              <w:left w:val="single" w:sz="4" w:space="0" w:color="auto"/>
              <w:bottom w:val="single" w:sz="4" w:space="0" w:color="auto"/>
              <w:right w:val="single" w:sz="4" w:space="0" w:color="auto"/>
            </w:tcBorders>
            <w:shd w:val="clear" w:color="auto" w:fill="auto"/>
            <w:noWrap/>
            <w:textDirection w:val="tbRl"/>
            <w:vAlign w:val="center"/>
            <w:hideMark/>
          </w:tcPr>
          <w:p w:rsidR="00174EA6" w:rsidRPr="00AE3545" w:rsidRDefault="00174EA6" w:rsidP="00A2233A">
            <w:pPr>
              <w:spacing w:after="0" w:line="360" w:lineRule="auto"/>
              <w:ind w:left="113" w:right="113"/>
              <w:rPr>
                <w:rFonts w:ascii="Times New Roman" w:eastAsia="Times New Roman" w:hAnsi="Times New Roman" w:cs="Times New Roman"/>
                <w:b/>
                <w:bCs/>
                <w:color w:val="000000"/>
                <w:sz w:val="16"/>
                <w:szCs w:val="16"/>
              </w:rPr>
            </w:pPr>
            <w:r w:rsidRPr="00AE3545">
              <w:rPr>
                <w:rFonts w:ascii="Times New Roman" w:eastAsia="Times New Roman" w:hAnsi="Times New Roman" w:cs="Times New Roman"/>
                <w:b/>
                <w:bCs/>
                <w:color w:val="000000"/>
                <w:sz w:val="16"/>
                <w:szCs w:val="16"/>
              </w:rPr>
              <w:t>Debt ratio</w:t>
            </w:r>
          </w:p>
        </w:tc>
        <w:tc>
          <w:tcPr>
            <w:tcW w:w="482" w:type="pct"/>
            <w:tcBorders>
              <w:top w:val="single" w:sz="4" w:space="0" w:color="auto"/>
              <w:left w:val="single" w:sz="4" w:space="0" w:color="auto"/>
              <w:bottom w:val="single" w:sz="4" w:space="0" w:color="auto"/>
              <w:right w:val="single" w:sz="4" w:space="0" w:color="auto"/>
            </w:tcBorders>
            <w:shd w:val="clear" w:color="auto" w:fill="auto"/>
            <w:noWrap/>
            <w:textDirection w:val="tbRl"/>
            <w:vAlign w:val="center"/>
            <w:hideMark/>
          </w:tcPr>
          <w:p w:rsidR="00174EA6" w:rsidRPr="00AE3545" w:rsidRDefault="00174EA6" w:rsidP="00A2233A">
            <w:pPr>
              <w:spacing w:after="0" w:line="360" w:lineRule="auto"/>
              <w:ind w:left="113" w:right="113"/>
              <w:rPr>
                <w:rFonts w:ascii="Times New Roman" w:eastAsia="Times New Roman" w:hAnsi="Times New Roman" w:cs="Times New Roman"/>
                <w:b/>
                <w:bCs/>
                <w:color w:val="000000"/>
                <w:sz w:val="16"/>
                <w:szCs w:val="16"/>
              </w:rPr>
            </w:pPr>
            <w:r w:rsidRPr="00AE3545">
              <w:rPr>
                <w:rFonts w:ascii="Times New Roman" w:eastAsia="Times New Roman" w:hAnsi="Times New Roman" w:cs="Times New Roman"/>
                <w:b/>
                <w:bCs/>
                <w:color w:val="000000"/>
                <w:sz w:val="16"/>
                <w:szCs w:val="16"/>
              </w:rPr>
              <w:t>Closing Price</w:t>
            </w:r>
          </w:p>
        </w:tc>
        <w:tc>
          <w:tcPr>
            <w:tcW w:w="1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4EA6" w:rsidRPr="00AE3545" w:rsidRDefault="00174EA6" w:rsidP="00A2233A">
            <w:pPr>
              <w:spacing w:after="0" w:line="360" w:lineRule="auto"/>
              <w:rPr>
                <w:rFonts w:ascii="Times New Roman" w:eastAsia="Times New Roman" w:hAnsi="Times New Roman" w:cs="Times New Roman"/>
                <w:b/>
                <w:bCs/>
                <w:color w:val="000000"/>
                <w:sz w:val="16"/>
                <w:szCs w:val="16"/>
              </w:rPr>
            </w:pPr>
            <w:r w:rsidRPr="00AE3545">
              <w:rPr>
                <w:rFonts w:ascii="Times New Roman" w:eastAsia="Times New Roman" w:hAnsi="Times New Roman" w:cs="Times New Roman"/>
                <w:b/>
                <w:bCs/>
                <w:color w:val="000000"/>
                <w:sz w:val="16"/>
                <w:szCs w:val="16"/>
              </w:rPr>
              <w:t>Company name</w:t>
            </w:r>
          </w:p>
        </w:tc>
      </w:tr>
      <w:tr w:rsidR="00174EA6" w:rsidRPr="00AE3545" w:rsidTr="00AE3545">
        <w:trPr>
          <w:trHeight w:val="294"/>
        </w:trPr>
        <w:tc>
          <w:tcPr>
            <w:tcW w:w="493"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b/>
                <w:bCs/>
                <w:color w:val="000000"/>
                <w:sz w:val="16"/>
                <w:szCs w:val="16"/>
              </w:rPr>
            </w:pPr>
            <w:r w:rsidRPr="00AE3545">
              <w:rPr>
                <w:rFonts w:ascii="Times New Roman" w:eastAsia="Times New Roman" w:hAnsi="Times New Roman" w:cs="Times New Roman"/>
                <w:b/>
                <w:bCs/>
                <w:color w:val="000000"/>
                <w:sz w:val="16"/>
                <w:szCs w:val="16"/>
              </w:rPr>
              <w:t>2014</w:t>
            </w:r>
          </w:p>
        </w:tc>
        <w:tc>
          <w:tcPr>
            <w:tcW w:w="636"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14245.00</w:t>
            </w:r>
          </w:p>
        </w:tc>
        <w:tc>
          <w:tcPr>
            <w:tcW w:w="398"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-0.07</w:t>
            </w:r>
          </w:p>
        </w:tc>
        <w:tc>
          <w:tcPr>
            <w:tcW w:w="477"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-0.04</w:t>
            </w:r>
          </w:p>
        </w:tc>
        <w:tc>
          <w:tcPr>
            <w:tcW w:w="398"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0.00</w:t>
            </w:r>
          </w:p>
        </w:tc>
        <w:tc>
          <w:tcPr>
            <w:tcW w:w="477"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0.53</w:t>
            </w:r>
          </w:p>
        </w:tc>
        <w:tc>
          <w:tcPr>
            <w:tcW w:w="392"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0.28</w:t>
            </w:r>
          </w:p>
        </w:tc>
        <w:tc>
          <w:tcPr>
            <w:tcW w:w="482" w:type="pct"/>
            <w:shd w:val="clear" w:color="auto" w:fill="auto"/>
            <w:noWrap/>
            <w:vAlign w:val="bottom"/>
            <w:hideMark/>
          </w:tcPr>
          <w:p w:rsidR="00174EA6" w:rsidRPr="00AE3545" w:rsidRDefault="00174EA6" w:rsidP="00A2233A">
            <w:pPr>
              <w:spacing w:after="0" w:line="360" w:lineRule="auto"/>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0,.000</w:t>
            </w:r>
          </w:p>
        </w:tc>
        <w:tc>
          <w:tcPr>
            <w:tcW w:w="1247" w:type="pct"/>
            <w:shd w:val="clear" w:color="auto" w:fill="auto"/>
            <w:noWrap/>
            <w:vAlign w:val="bottom"/>
          </w:tcPr>
          <w:p w:rsidR="00174EA6" w:rsidRPr="00AE3545" w:rsidRDefault="00174EA6" w:rsidP="00A2233A">
            <w:pPr>
              <w:spacing w:after="0" w:line="360" w:lineRule="auto"/>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 xml:space="preserve">Saud Bahawan Group </w:t>
            </w:r>
          </w:p>
        </w:tc>
      </w:tr>
      <w:tr w:rsidR="00174EA6" w:rsidRPr="00AE3545" w:rsidTr="00AE3545">
        <w:trPr>
          <w:trHeight w:val="314"/>
        </w:trPr>
        <w:tc>
          <w:tcPr>
            <w:tcW w:w="493"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b/>
                <w:bCs/>
                <w:color w:val="000000"/>
                <w:sz w:val="16"/>
                <w:szCs w:val="16"/>
              </w:rPr>
            </w:pPr>
            <w:r w:rsidRPr="00AE3545">
              <w:rPr>
                <w:rFonts w:ascii="Times New Roman" w:eastAsia="Times New Roman" w:hAnsi="Times New Roman" w:cs="Times New Roman"/>
                <w:b/>
                <w:bCs/>
                <w:color w:val="000000"/>
                <w:sz w:val="16"/>
                <w:szCs w:val="16"/>
              </w:rPr>
              <w:t>2013</w:t>
            </w:r>
          </w:p>
        </w:tc>
        <w:tc>
          <w:tcPr>
            <w:tcW w:w="636"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19866.00</w:t>
            </w:r>
          </w:p>
        </w:tc>
        <w:tc>
          <w:tcPr>
            <w:tcW w:w="398"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-0.07</w:t>
            </w:r>
          </w:p>
        </w:tc>
        <w:tc>
          <w:tcPr>
            <w:tcW w:w="477"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-0.04</w:t>
            </w:r>
          </w:p>
        </w:tc>
        <w:tc>
          <w:tcPr>
            <w:tcW w:w="398"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0.00</w:t>
            </w:r>
          </w:p>
        </w:tc>
        <w:tc>
          <w:tcPr>
            <w:tcW w:w="477"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0.57</w:t>
            </w:r>
          </w:p>
        </w:tc>
        <w:tc>
          <w:tcPr>
            <w:tcW w:w="392"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0.22</w:t>
            </w:r>
          </w:p>
        </w:tc>
        <w:tc>
          <w:tcPr>
            <w:tcW w:w="482" w:type="pct"/>
            <w:shd w:val="clear" w:color="auto" w:fill="auto"/>
            <w:noWrap/>
            <w:vAlign w:val="bottom"/>
            <w:hideMark/>
          </w:tcPr>
          <w:p w:rsidR="00174EA6" w:rsidRPr="00AE3545" w:rsidRDefault="00174EA6" w:rsidP="00A2233A">
            <w:pPr>
              <w:spacing w:after="0" w:line="360" w:lineRule="auto"/>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0,.000</w:t>
            </w:r>
          </w:p>
        </w:tc>
        <w:tc>
          <w:tcPr>
            <w:tcW w:w="1247" w:type="pct"/>
            <w:shd w:val="clear" w:color="auto" w:fill="auto"/>
            <w:noWrap/>
            <w:vAlign w:val="bottom"/>
          </w:tcPr>
          <w:p w:rsidR="00174EA6" w:rsidRPr="00AE3545" w:rsidRDefault="00174EA6" w:rsidP="00A2233A">
            <w:pPr>
              <w:spacing w:after="0" w:line="360" w:lineRule="auto"/>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Saud Bahawan Group</w:t>
            </w:r>
          </w:p>
        </w:tc>
      </w:tr>
      <w:tr w:rsidR="00174EA6" w:rsidRPr="00AE3545" w:rsidTr="00AE3545">
        <w:trPr>
          <w:trHeight w:val="202"/>
        </w:trPr>
        <w:tc>
          <w:tcPr>
            <w:tcW w:w="493"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b/>
                <w:bCs/>
                <w:color w:val="000000"/>
                <w:sz w:val="16"/>
                <w:szCs w:val="16"/>
              </w:rPr>
            </w:pPr>
            <w:r w:rsidRPr="00AE3545">
              <w:rPr>
                <w:rFonts w:ascii="Times New Roman" w:eastAsia="Times New Roman" w:hAnsi="Times New Roman" w:cs="Times New Roman"/>
                <w:b/>
                <w:bCs/>
                <w:color w:val="000000"/>
                <w:sz w:val="16"/>
                <w:szCs w:val="16"/>
              </w:rPr>
              <w:t>2012</w:t>
            </w:r>
          </w:p>
        </w:tc>
        <w:tc>
          <w:tcPr>
            <w:tcW w:w="636"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18480.00</w:t>
            </w:r>
          </w:p>
        </w:tc>
        <w:tc>
          <w:tcPr>
            <w:tcW w:w="398"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0.04</w:t>
            </w:r>
          </w:p>
        </w:tc>
        <w:tc>
          <w:tcPr>
            <w:tcW w:w="477"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0.02</w:t>
            </w:r>
          </w:p>
        </w:tc>
        <w:tc>
          <w:tcPr>
            <w:tcW w:w="398"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0.00</w:t>
            </w:r>
          </w:p>
        </w:tc>
        <w:tc>
          <w:tcPr>
            <w:tcW w:w="477"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0.55</w:t>
            </w:r>
          </w:p>
        </w:tc>
        <w:tc>
          <w:tcPr>
            <w:tcW w:w="392"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0.19</w:t>
            </w:r>
          </w:p>
        </w:tc>
        <w:tc>
          <w:tcPr>
            <w:tcW w:w="482" w:type="pct"/>
            <w:shd w:val="clear" w:color="auto" w:fill="auto"/>
            <w:noWrap/>
            <w:vAlign w:val="bottom"/>
            <w:hideMark/>
          </w:tcPr>
          <w:p w:rsidR="00174EA6" w:rsidRPr="00AE3545" w:rsidRDefault="00174EA6" w:rsidP="00A2233A">
            <w:pPr>
              <w:spacing w:after="0" w:line="360" w:lineRule="auto"/>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0,.000</w:t>
            </w:r>
          </w:p>
        </w:tc>
        <w:tc>
          <w:tcPr>
            <w:tcW w:w="1247" w:type="pct"/>
            <w:shd w:val="clear" w:color="auto" w:fill="auto"/>
            <w:noWrap/>
            <w:vAlign w:val="bottom"/>
          </w:tcPr>
          <w:p w:rsidR="00174EA6" w:rsidRPr="00AE3545" w:rsidRDefault="00174EA6" w:rsidP="00A2233A">
            <w:pPr>
              <w:spacing w:after="0" w:line="360" w:lineRule="auto"/>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Saud Bahawan Group</w:t>
            </w:r>
          </w:p>
        </w:tc>
      </w:tr>
      <w:tr w:rsidR="00174EA6" w:rsidRPr="00AE3545" w:rsidTr="00AE3545">
        <w:trPr>
          <w:trHeight w:val="202"/>
        </w:trPr>
        <w:tc>
          <w:tcPr>
            <w:tcW w:w="493"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b/>
                <w:bCs/>
                <w:color w:val="000000"/>
                <w:sz w:val="16"/>
                <w:szCs w:val="16"/>
              </w:rPr>
            </w:pPr>
            <w:r w:rsidRPr="00AE3545">
              <w:rPr>
                <w:rFonts w:ascii="Times New Roman" w:eastAsia="Times New Roman" w:hAnsi="Times New Roman" w:cs="Times New Roman"/>
                <w:b/>
                <w:bCs/>
                <w:color w:val="000000"/>
                <w:sz w:val="16"/>
                <w:szCs w:val="16"/>
              </w:rPr>
              <w:t>2011</w:t>
            </w:r>
          </w:p>
        </w:tc>
        <w:tc>
          <w:tcPr>
            <w:tcW w:w="636"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10395.00</w:t>
            </w:r>
          </w:p>
        </w:tc>
        <w:tc>
          <w:tcPr>
            <w:tcW w:w="398"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0.00</w:t>
            </w:r>
          </w:p>
        </w:tc>
        <w:tc>
          <w:tcPr>
            <w:tcW w:w="477"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0.01</w:t>
            </w:r>
          </w:p>
        </w:tc>
        <w:tc>
          <w:tcPr>
            <w:tcW w:w="398"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0.00</w:t>
            </w:r>
          </w:p>
        </w:tc>
        <w:tc>
          <w:tcPr>
            <w:tcW w:w="477"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0.52</w:t>
            </w:r>
          </w:p>
        </w:tc>
        <w:tc>
          <w:tcPr>
            <w:tcW w:w="392"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0.17</w:t>
            </w:r>
          </w:p>
        </w:tc>
        <w:tc>
          <w:tcPr>
            <w:tcW w:w="482" w:type="pct"/>
            <w:shd w:val="clear" w:color="auto" w:fill="auto"/>
            <w:noWrap/>
            <w:vAlign w:val="bottom"/>
            <w:hideMark/>
          </w:tcPr>
          <w:p w:rsidR="00174EA6" w:rsidRPr="00AE3545" w:rsidRDefault="00174EA6" w:rsidP="00A2233A">
            <w:pPr>
              <w:spacing w:after="0" w:line="360" w:lineRule="auto"/>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0,.000</w:t>
            </w:r>
          </w:p>
        </w:tc>
        <w:tc>
          <w:tcPr>
            <w:tcW w:w="1247" w:type="pct"/>
            <w:shd w:val="clear" w:color="auto" w:fill="auto"/>
            <w:noWrap/>
            <w:vAlign w:val="bottom"/>
          </w:tcPr>
          <w:p w:rsidR="00174EA6" w:rsidRPr="00AE3545" w:rsidRDefault="00174EA6" w:rsidP="00A2233A">
            <w:pPr>
              <w:spacing w:after="0" w:line="360" w:lineRule="auto"/>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Saud Bahawan Group</w:t>
            </w:r>
          </w:p>
        </w:tc>
      </w:tr>
      <w:tr w:rsidR="00174EA6" w:rsidRPr="00AE3545" w:rsidTr="00AE3545">
        <w:trPr>
          <w:trHeight w:val="212"/>
        </w:trPr>
        <w:tc>
          <w:tcPr>
            <w:tcW w:w="493"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b/>
                <w:bCs/>
                <w:color w:val="000000"/>
                <w:sz w:val="16"/>
                <w:szCs w:val="16"/>
              </w:rPr>
            </w:pPr>
            <w:r w:rsidRPr="00AE3545">
              <w:rPr>
                <w:rFonts w:ascii="Times New Roman" w:eastAsia="Times New Roman" w:hAnsi="Times New Roman" w:cs="Times New Roman"/>
                <w:b/>
                <w:bCs/>
                <w:color w:val="000000"/>
                <w:sz w:val="16"/>
                <w:szCs w:val="16"/>
              </w:rPr>
              <w:t>2010</w:t>
            </w:r>
          </w:p>
        </w:tc>
        <w:tc>
          <w:tcPr>
            <w:tcW w:w="636"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13580.00</w:t>
            </w:r>
          </w:p>
        </w:tc>
        <w:tc>
          <w:tcPr>
            <w:tcW w:w="398"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0.14</w:t>
            </w:r>
          </w:p>
        </w:tc>
        <w:tc>
          <w:tcPr>
            <w:tcW w:w="477"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0.07</w:t>
            </w:r>
          </w:p>
        </w:tc>
        <w:tc>
          <w:tcPr>
            <w:tcW w:w="398"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0.00</w:t>
            </w:r>
          </w:p>
        </w:tc>
        <w:tc>
          <w:tcPr>
            <w:tcW w:w="477"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0.57</w:t>
            </w:r>
          </w:p>
        </w:tc>
        <w:tc>
          <w:tcPr>
            <w:tcW w:w="392" w:type="pct"/>
            <w:shd w:val="clear" w:color="auto" w:fill="auto"/>
            <w:noWrap/>
            <w:vAlign w:val="bottom"/>
            <w:hideMark/>
          </w:tcPr>
          <w:p w:rsidR="00174EA6" w:rsidRPr="00AE3545" w:rsidRDefault="00174EA6" w:rsidP="00A2233A">
            <w:pPr>
              <w:spacing w:after="0" w:line="360" w:lineRule="auto"/>
              <w:jc w:val="right"/>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0.18</w:t>
            </w:r>
          </w:p>
        </w:tc>
        <w:tc>
          <w:tcPr>
            <w:tcW w:w="482" w:type="pct"/>
            <w:shd w:val="clear" w:color="auto" w:fill="auto"/>
            <w:noWrap/>
            <w:vAlign w:val="bottom"/>
            <w:hideMark/>
          </w:tcPr>
          <w:p w:rsidR="00174EA6" w:rsidRPr="00AE3545" w:rsidRDefault="00174EA6" w:rsidP="00A2233A">
            <w:pPr>
              <w:spacing w:after="0" w:line="360" w:lineRule="auto"/>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0,.000</w:t>
            </w:r>
          </w:p>
        </w:tc>
        <w:tc>
          <w:tcPr>
            <w:tcW w:w="1247" w:type="pct"/>
            <w:shd w:val="clear" w:color="auto" w:fill="auto"/>
            <w:noWrap/>
            <w:vAlign w:val="bottom"/>
          </w:tcPr>
          <w:p w:rsidR="00174EA6" w:rsidRPr="00AE3545" w:rsidRDefault="00174EA6" w:rsidP="00A2233A">
            <w:pPr>
              <w:spacing w:after="0" w:line="360" w:lineRule="auto"/>
              <w:rPr>
                <w:rFonts w:ascii="Times New Roman" w:eastAsia="Times New Roman" w:hAnsi="Times New Roman" w:cs="Times New Roman"/>
                <w:color w:val="000000"/>
                <w:sz w:val="16"/>
                <w:szCs w:val="16"/>
              </w:rPr>
            </w:pPr>
            <w:r w:rsidRPr="00AE3545">
              <w:rPr>
                <w:rFonts w:ascii="Times New Roman" w:eastAsia="Times New Roman" w:hAnsi="Times New Roman" w:cs="Times New Roman"/>
                <w:color w:val="000000"/>
                <w:sz w:val="16"/>
                <w:szCs w:val="16"/>
              </w:rPr>
              <w:t>Saud Bahawan Group</w:t>
            </w:r>
          </w:p>
        </w:tc>
      </w:tr>
    </w:tbl>
    <w:p w:rsidR="00F07798" w:rsidRDefault="00AE3545" w:rsidP="00A870E9">
      <w:pPr>
        <w:spacing w:after="120" w:line="240" w:lineRule="auto"/>
        <w:jc w:val="both"/>
        <w:rPr>
          <w:rFonts w:ascii="Times New Roman" w:hAnsi="Times New Roman" w:cs="Times New Roman"/>
          <w:sz w:val="16"/>
          <w:szCs w:val="16"/>
        </w:rPr>
      </w:pPr>
      <w:r>
        <w:rPr>
          <w:rFonts w:ascii="Times New Roman" w:hAnsi="Times New Roman" w:cs="Times New Roman"/>
          <w:sz w:val="16"/>
          <w:szCs w:val="16"/>
        </w:rPr>
        <w:lastRenderedPageBreak/>
        <w:t xml:space="preserve">                      </w:t>
      </w:r>
      <w:r w:rsidR="00A870E9" w:rsidRPr="007B6808">
        <w:rPr>
          <w:rFonts w:ascii="Times New Roman" w:hAnsi="Times New Roman" w:cs="Times New Roman"/>
          <w:b/>
          <w:sz w:val="16"/>
          <w:szCs w:val="16"/>
        </w:rPr>
        <w:t>Source</w:t>
      </w:r>
      <w:r w:rsidR="00A870E9" w:rsidRPr="00A870E9">
        <w:rPr>
          <w:rFonts w:ascii="Times New Roman" w:hAnsi="Times New Roman" w:cs="Times New Roman"/>
          <w:sz w:val="16"/>
          <w:szCs w:val="16"/>
        </w:rPr>
        <w:t>: Authors own compilation</w:t>
      </w:r>
    </w:p>
    <w:p w:rsidR="00044105" w:rsidRPr="007B6808" w:rsidRDefault="00FE553E" w:rsidP="007B6808">
      <w:pPr>
        <w:spacing w:before="120" w:after="120" w:line="276" w:lineRule="auto"/>
        <w:jc w:val="both"/>
        <w:rPr>
          <w:rFonts w:ascii="Times New Roman" w:hAnsi="Times New Roman" w:cs="Times New Roman"/>
          <w:sz w:val="24"/>
        </w:rPr>
      </w:pPr>
      <w:r w:rsidRPr="007B6808">
        <w:rPr>
          <w:rFonts w:ascii="Times New Roman" w:hAnsi="Times New Roman" w:cs="Times New Roman"/>
          <w:sz w:val="24"/>
        </w:rPr>
        <w:t>In the next section the analysis of five other company is done with that of Saud Bahawan Group as depicted in the Table-2</w:t>
      </w:r>
      <w:r w:rsidR="001A4D8F" w:rsidRPr="007B6808">
        <w:rPr>
          <w:rFonts w:ascii="Times New Roman" w:hAnsi="Times New Roman" w:cs="Times New Roman"/>
          <w:sz w:val="24"/>
        </w:rPr>
        <w:t xml:space="preserve"> and Table-3</w:t>
      </w:r>
      <w:r w:rsidRPr="007B6808">
        <w:rPr>
          <w:rFonts w:ascii="Times New Roman" w:hAnsi="Times New Roman" w:cs="Times New Roman"/>
          <w:sz w:val="24"/>
        </w:rPr>
        <w:t>.</w:t>
      </w:r>
      <w:r w:rsidR="00E67848" w:rsidRPr="007B6808">
        <w:rPr>
          <w:rFonts w:ascii="Times New Roman" w:hAnsi="Times New Roman" w:cs="Times New Roman"/>
          <w:sz w:val="24"/>
        </w:rPr>
        <w:t xml:space="preserve">These companies are also offering similar </w:t>
      </w:r>
      <w:r w:rsidRPr="007B6808">
        <w:rPr>
          <w:rFonts w:ascii="Times New Roman" w:hAnsi="Times New Roman" w:cs="Times New Roman"/>
          <w:sz w:val="24"/>
        </w:rPr>
        <w:t xml:space="preserve">line of products as that </w:t>
      </w:r>
      <w:r w:rsidR="00505AD0" w:rsidRPr="007B6808">
        <w:rPr>
          <w:rFonts w:ascii="Times New Roman" w:hAnsi="Times New Roman" w:cs="Times New Roman"/>
          <w:sz w:val="24"/>
        </w:rPr>
        <w:t>of the</w:t>
      </w:r>
      <w:r w:rsidR="00E67848" w:rsidRPr="007B6808">
        <w:rPr>
          <w:rFonts w:ascii="Times New Roman" w:hAnsi="Times New Roman" w:cs="Times New Roman"/>
          <w:sz w:val="24"/>
        </w:rPr>
        <w:t xml:space="preserve"> Saud Bahawan Group. These companies are the competi</w:t>
      </w:r>
      <w:r w:rsidR="00505AD0" w:rsidRPr="007B6808">
        <w:rPr>
          <w:rFonts w:ascii="Times New Roman" w:hAnsi="Times New Roman" w:cs="Times New Roman"/>
          <w:sz w:val="24"/>
        </w:rPr>
        <w:t xml:space="preserve">tors of the Saud Bahawan Group and a comparison has been done using </w:t>
      </w:r>
      <w:r w:rsidR="00E67848" w:rsidRPr="007B6808">
        <w:rPr>
          <w:rFonts w:ascii="Times New Roman" w:hAnsi="Times New Roman" w:cs="Times New Roman"/>
          <w:sz w:val="24"/>
        </w:rPr>
        <w:t>the Return on equity, net Assets ratio, Earning per share,</w:t>
      </w:r>
      <w:r w:rsidR="00505AD0" w:rsidRPr="007B6808">
        <w:rPr>
          <w:rFonts w:ascii="Times New Roman" w:hAnsi="Times New Roman" w:cs="Times New Roman"/>
          <w:sz w:val="24"/>
        </w:rPr>
        <w:t xml:space="preserve"> dividend ratio, </w:t>
      </w:r>
      <w:r w:rsidR="008664CE" w:rsidRPr="007B6808">
        <w:rPr>
          <w:rFonts w:ascii="Times New Roman" w:hAnsi="Times New Roman" w:cs="Times New Roman"/>
          <w:sz w:val="24"/>
        </w:rPr>
        <w:t>earning</w:t>
      </w:r>
      <w:r w:rsidR="00505AD0" w:rsidRPr="007B6808">
        <w:rPr>
          <w:rFonts w:ascii="Times New Roman" w:hAnsi="Times New Roman" w:cs="Times New Roman"/>
          <w:sz w:val="24"/>
        </w:rPr>
        <w:t xml:space="preserve"> price and </w:t>
      </w:r>
      <w:r w:rsidR="00E67848" w:rsidRPr="007B6808">
        <w:rPr>
          <w:rFonts w:ascii="Times New Roman" w:hAnsi="Times New Roman" w:cs="Times New Roman"/>
          <w:sz w:val="24"/>
        </w:rPr>
        <w:t xml:space="preserve">debt ratio of company stock with 5 companies. The data were time series from 2010 to 2014. The results </w:t>
      </w:r>
      <w:r w:rsidR="008664CE" w:rsidRPr="007B6808">
        <w:rPr>
          <w:rFonts w:ascii="Times New Roman" w:hAnsi="Times New Roman" w:cs="Times New Roman"/>
          <w:sz w:val="24"/>
        </w:rPr>
        <w:t>showed</w:t>
      </w:r>
      <w:r w:rsidR="00E67848" w:rsidRPr="007B6808">
        <w:rPr>
          <w:rFonts w:ascii="Times New Roman" w:hAnsi="Times New Roman" w:cs="Times New Roman"/>
          <w:sz w:val="24"/>
        </w:rPr>
        <w:t xml:space="preserve"> that, there is no significance different between return on equity of Saud Bahawan and other companies. If we just consider the difference of mean in Re</w:t>
      </w:r>
      <w:r w:rsidR="001A4D8F" w:rsidRPr="007B6808">
        <w:rPr>
          <w:rFonts w:ascii="Times New Roman" w:hAnsi="Times New Roman" w:cs="Times New Roman"/>
          <w:sz w:val="24"/>
        </w:rPr>
        <w:t xml:space="preserve">turn on equity of all companies establishes the fact the firm profitability is comparatively better than that of its </w:t>
      </w:r>
      <w:r w:rsidR="008664CE" w:rsidRPr="007B6808">
        <w:rPr>
          <w:rFonts w:ascii="Times New Roman" w:hAnsi="Times New Roman" w:cs="Times New Roman"/>
          <w:sz w:val="24"/>
        </w:rPr>
        <w:t>competitor</w:t>
      </w:r>
      <w:r w:rsidR="001A4D8F" w:rsidRPr="007B6808">
        <w:rPr>
          <w:rFonts w:ascii="Times New Roman" w:hAnsi="Times New Roman" w:cs="Times New Roman"/>
          <w:sz w:val="24"/>
        </w:rPr>
        <w:t xml:space="preserve">. </w:t>
      </w:r>
      <w:r w:rsidR="00E67848" w:rsidRPr="007B6808">
        <w:rPr>
          <w:rFonts w:ascii="Times New Roman" w:hAnsi="Times New Roman" w:cs="Times New Roman"/>
          <w:sz w:val="24"/>
        </w:rPr>
        <w:t xml:space="preserve">In net assets ratio, we also could not find any difference, all the variables performing in the same way. The </w:t>
      </w:r>
      <w:r w:rsidR="008664CE" w:rsidRPr="007B6808">
        <w:rPr>
          <w:rFonts w:ascii="Times New Roman" w:hAnsi="Times New Roman" w:cs="Times New Roman"/>
          <w:sz w:val="24"/>
        </w:rPr>
        <w:t>earnings</w:t>
      </w:r>
      <w:r w:rsidR="00E67848" w:rsidRPr="007B6808">
        <w:rPr>
          <w:rFonts w:ascii="Times New Roman" w:hAnsi="Times New Roman" w:cs="Times New Roman"/>
          <w:sz w:val="24"/>
        </w:rPr>
        <w:t xml:space="preserve"> per share is also the firm profitability</w:t>
      </w:r>
      <w:r w:rsidR="00053B25" w:rsidRPr="007B6808">
        <w:rPr>
          <w:rFonts w:ascii="Times New Roman" w:hAnsi="Times New Roman" w:cs="Times New Roman"/>
          <w:sz w:val="24"/>
        </w:rPr>
        <w:t xml:space="preserve"> is found to be significant</w:t>
      </w:r>
      <w:r w:rsidR="00E67848" w:rsidRPr="007B6808">
        <w:rPr>
          <w:rFonts w:ascii="Times New Roman" w:hAnsi="Times New Roman" w:cs="Times New Roman"/>
          <w:sz w:val="24"/>
        </w:rPr>
        <w:t>. In this comparison, it was found, there is no significance difference in Saud Bahawan companies.</w:t>
      </w:r>
      <w:r w:rsidR="008664CE" w:rsidRPr="007B6808">
        <w:rPr>
          <w:rFonts w:ascii="Times New Roman" w:hAnsi="Times New Roman" w:cs="Times New Roman"/>
          <w:sz w:val="24"/>
        </w:rPr>
        <w:t xml:space="preserve"> </w:t>
      </w:r>
      <w:r w:rsidR="00436A42" w:rsidRPr="007B6808">
        <w:rPr>
          <w:rFonts w:ascii="Times New Roman" w:hAnsi="Times New Roman" w:cs="Times New Roman"/>
          <w:sz w:val="24"/>
        </w:rPr>
        <w:t xml:space="preserve">In dividend ratio and earning price ratio, we found a clear difference in these values. </w:t>
      </w:r>
    </w:p>
    <w:p w:rsidR="00044105" w:rsidRDefault="00044105" w:rsidP="006D5E0F">
      <w:pPr>
        <w:spacing w:after="0" w:line="240" w:lineRule="exact"/>
        <w:jc w:val="center"/>
        <w:rPr>
          <w:rFonts w:ascii="Times New Roman" w:hAnsi="Times New Roman" w:cs="Times New Roman"/>
          <w:sz w:val="16"/>
          <w:szCs w:val="16"/>
        </w:rPr>
      </w:pPr>
    </w:p>
    <w:p w:rsidR="00FE553E" w:rsidRPr="007B6808" w:rsidRDefault="00FE553E" w:rsidP="007B6808">
      <w:pPr>
        <w:spacing w:after="0" w:line="240" w:lineRule="exact"/>
        <w:ind w:left="1440" w:firstLine="720"/>
        <w:rPr>
          <w:rFonts w:ascii="Times New Roman" w:hAnsi="Times New Roman" w:cs="Times New Roman"/>
          <w:b/>
          <w:sz w:val="24"/>
          <w:szCs w:val="16"/>
        </w:rPr>
      </w:pPr>
      <w:r w:rsidRPr="007B6808">
        <w:rPr>
          <w:rFonts w:ascii="Times New Roman" w:hAnsi="Times New Roman" w:cs="Times New Roman"/>
          <w:b/>
          <w:sz w:val="24"/>
          <w:szCs w:val="16"/>
        </w:rPr>
        <w:t>Table-2</w:t>
      </w:r>
      <w:r w:rsidR="008664CE" w:rsidRPr="007B6808">
        <w:rPr>
          <w:rFonts w:ascii="Times New Roman" w:hAnsi="Times New Roman" w:cs="Times New Roman"/>
          <w:b/>
          <w:sz w:val="24"/>
          <w:szCs w:val="16"/>
        </w:rPr>
        <w:t>: Comparitive</w:t>
      </w:r>
      <w:r w:rsidRPr="007B6808">
        <w:rPr>
          <w:rFonts w:ascii="Times New Roman" w:hAnsi="Times New Roman" w:cs="Times New Roman"/>
          <w:b/>
          <w:sz w:val="24"/>
          <w:szCs w:val="16"/>
        </w:rPr>
        <w:t xml:space="preserve"> Analysis</w:t>
      </w:r>
    </w:p>
    <w:tbl>
      <w:tblPr>
        <w:tblW w:w="9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86"/>
        <w:gridCol w:w="2079"/>
        <w:gridCol w:w="1800"/>
        <w:gridCol w:w="1256"/>
        <w:gridCol w:w="984"/>
        <w:gridCol w:w="551"/>
        <w:gridCol w:w="992"/>
      </w:tblGrid>
      <w:tr w:rsidR="00FE553E" w:rsidRPr="006239A8" w:rsidTr="007B6808">
        <w:trPr>
          <w:cantSplit/>
          <w:trHeight w:val="292"/>
        </w:trPr>
        <w:tc>
          <w:tcPr>
            <w:tcW w:w="3765" w:type="dxa"/>
            <w:gridSpan w:val="2"/>
            <w:tcBorders>
              <w:top w:val="single" w:sz="16" w:space="0" w:color="000000"/>
              <w:left w:val="single" w:sz="16" w:space="0" w:color="000000"/>
              <w:bottom w:val="single" w:sz="16" w:space="0" w:color="000000"/>
              <w:right w:val="nil"/>
            </w:tcBorders>
            <w:shd w:val="clear" w:color="auto" w:fill="FFFFFF"/>
            <w:vAlign w:val="bottom"/>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1800" w:type="dxa"/>
            <w:tcBorders>
              <w:top w:val="single" w:sz="16" w:space="0" w:color="000000"/>
              <w:left w:val="single" w:sz="16" w:space="0" w:color="000000"/>
              <w:bottom w:val="single" w:sz="16" w:space="0" w:color="000000"/>
            </w:tcBorders>
            <w:shd w:val="clear" w:color="auto" w:fill="FFFFFF"/>
            <w:vAlign w:val="bottom"/>
          </w:tcPr>
          <w:p w:rsidR="00FE553E" w:rsidRPr="007B6808" w:rsidRDefault="00FE553E" w:rsidP="00A2233A">
            <w:pPr>
              <w:autoSpaceDE w:val="0"/>
              <w:autoSpaceDN w:val="0"/>
              <w:adjustRightInd w:val="0"/>
              <w:spacing w:after="0" w:line="360" w:lineRule="auto"/>
              <w:ind w:left="60" w:right="60"/>
              <w:jc w:val="center"/>
              <w:rPr>
                <w:rFonts w:ascii="Times New Roman" w:hAnsi="Times New Roman" w:cs="Times New Roman"/>
                <w:b/>
                <w:color w:val="000000"/>
                <w:sz w:val="14"/>
                <w:szCs w:val="14"/>
              </w:rPr>
            </w:pPr>
            <w:r w:rsidRPr="007B6808">
              <w:rPr>
                <w:rFonts w:ascii="Times New Roman" w:hAnsi="Times New Roman" w:cs="Times New Roman"/>
                <w:b/>
                <w:color w:val="000000"/>
                <w:sz w:val="14"/>
                <w:szCs w:val="14"/>
              </w:rPr>
              <w:t>Sum of Squares</w:t>
            </w:r>
          </w:p>
        </w:tc>
        <w:tc>
          <w:tcPr>
            <w:tcW w:w="1256" w:type="dxa"/>
            <w:tcBorders>
              <w:top w:val="single" w:sz="16" w:space="0" w:color="000000"/>
              <w:bottom w:val="single" w:sz="16" w:space="0" w:color="000000"/>
            </w:tcBorders>
            <w:shd w:val="clear" w:color="auto" w:fill="FFFFFF"/>
            <w:vAlign w:val="bottom"/>
          </w:tcPr>
          <w:p w:rsidR="00FE553E" w:rsidRPr="007B6808" w:rsidRDefault="00FE553E" w:rsidP="00A2233A">
            <w:pPr>
              <w:autoSpaceDE w:val="0"/>
              <w:autoSpaceDN w:val="0"/>
              <w:adjustRightInd w:val="0"/>
              <w:spacing w:after="0" w:line="360" w:lineRule="auto"/>
              <w:ind w:left="60" w:right="60"/>
              <w:jc w:val="center"/>
              <w:rPr>
                <w:rFonts w:ascii="Times New Roman" w:hAnsi="Times New Roman" w:cs="Times New Roman"/>
                <w:b/>
                <w:color w:val="000000"/>
                <w:sz w:val="14"/>
                <w:szCs w:val="14"/>
              </w:rPr>
            </w:pPr>
            <w:r w:rsidRPr="007B6808">
              <w:rPr>
                <w:rFonts w:ascii="Times New Roman" w:hAnsi="Times New Roman" w:cs="Times New Roman"/>
                <w:b/>
                <w:color w:val="000000"/>
                <w:sz w:val="14"/>
                <w:szCs w:val="14"/>
              </w:rPr>
              <w:t>df</w:t>
            </w:r>
          </w:p>
        </w:tc>
        <w:tc>
          <w:tcPr>
            <w:tcW w:w="984" w:type="dxa"/>
            <w:tcBorders>
              <w:top w:val="single" w:sz="16" w:space="0" w:color="000000"/>
              <w:bottom w:val="single" w:sz="16" w:space="0" w:color="000000"/>
            </w:tcBorders>
            <w:shd w:val="clear" w:color="auto" w:fill="FFFFFF"/>
            <w:vAlign w:val="bottom"/>
          </w:tcPr>
          <w:p w:rsidR="00FE553E" w:rsidRPr="007B6808" w:rsidRDefault="00FE553E" w:rsidP="00A2233A">
            <w:pPr>
              <w:autoSpaceDE w:val="0"/>
              <w:autoSpaceDN w:val="0"/>
              <w:adjustRightInd w:val="0"/>
              <w:spacing w:after="0" w:line="360" w:lineRule="auto"/>
              <w:ind w:left="60" w:right="60"/>
              <w:jc w:val="center"/>
              <w:rPr>
                <w:rFonts w:ascii="Times New Roman" w:hAnsi="Times New Roman" w:cs="Times New Roman"/>
                <w:b/>
                <w:color w:val="000000"/>
                <w:sz w:val="14"/>
                <w:szCs w:val="14"/>
              </w:rPr>
            </w:pPr>
            <w:r w:rsidRPr="007B6808">
              <w:rPr>
                <w:rFonts w:ascii="Times New Roman" w:hAnsi="Times New Roman" w:cs="Times New Roman"/>
                <w:b/>
                <w:color w:val="000000"/>
                <w:sz w:val="14"/>
                <w:szCs w:val="14"/>
              </w:rPr>
              <w:t>Mean Square</w:t>
            </w:r>
          </w:p>
        </w:tc>
        <w:tc>
          <w:tcPr>
            <w:tcW w:w="551" w:type="dxa"/>
            <w:tcBorders>
              <w:top w:val="single" w:sz="16" w:space="0" w:color="000000"/>
              <w:bottom w:val="single" w:sz="16" w:space="0" w:color="000000"/>
            </w:tcBorders>
            <w:shd w:val="clear" w:color="auto" w:fill="FFFFFF"/>
            <w:vAlign w:val="bottom"/>
          </w:tcPr>
          <w:p w:rsidR="00FE553E" w:rsidRPr="007B6808" w:rsidRDefault="00FE553E" w:rsidP="00A2233A">
            <w:pPr>
              <w:autoSpaceDE w:val="0"/>
              <w:autoSpaceDN w:val="0"/>
              <w:adjustRightInd w:val="0"/>
              <w:spacing w:after="0" w:line="360" w:lineRule="auto"/>
              <w:ind w:left="60" w:right="60"/>
              <w:jc w:val="center"/>
              <w:rPr>
                <w:rFonts w:ascii="Times New Roman" w:hAnsi="Times New Roman" w:cs="Times New Roman"/>
                <w:b/>
                <w:color w:val="000000"/>
                <w:sz w:val="14"/>
                <w:szCs w:val="14"/>
              </w:rPr>
            </w:pPr>
            <w:r w:rsidRPr="007B6808">
              <w:rPr>
                <w:rFonts w:ascii="Times New Roman" w:hAnsi="Times New Roman" w:cs="Times New Roman"/>
                <w:b/>
                <w:color w:val="000000"/>
                <w:sz w:val="14"/>
                <w:szCs w:val="14"/>
              </w:rPr>
              <w:t>F</w:t>
            </w:r>
          </w:p>
        </w:tc>
        <w:tc>
          <w:tcPr>
            <w:tcW w:w="992" w:type="dxa"/>
            <w:tcBorders>
              <w:top w:val="single" w:sz="16" w:space="0" w:color="000000"/>
              <w:bottom w:val="single" w:sz="16" w:space="0" w:color="000000"/>
              <w:right w:val="single" w:sz="16" w:space="0" w:color="000000"/>
            </w:tcBorders>
            <w:shd w:val="clear" w:color="auto" w:fill="FFFFFF"/>
            <w:vAlign w:val="bottom"/>
          </w:tcPr>
          <w:p w:rsidR="00FE553E" w:rsidRPr="007B6808" w:rsidRDefault="00FE553E" w:rsidP="00A2233A">
            <w:pPr>
              <w:autoSpaceDE w:val="0"/>
              <w:autoSpaceDN w:val="0"/>
              <w:adjustRightInd w:val="0"/>
              <w:spacing w:after="0" w:line="360" w:lineRule="auto"/>
              <w:ind w:left="60" w:right="60"/>
              <w:jc w:val="center"/>
              <w:rPr>
                <w:rFonts w:ascii="Times New Roman" w:hAnsi="Times New Roman" w:cs="Times New Roman"/>
                <w:b/>
                <w:color w:val="000000"/>
                <w:sz w:val="14"/>
                <w:szCs w:val="14"/>
              </w:rPr>
            </w:pPr>
            <w:r w:rsidRPr="007B6808">
              <w:rPr>
                <w:rFonts w:ascii="Times New Roman" w:hAnsi="Times New Roman" w:cs="Times New Roman"/>
                <w:b/>
                <w:color w:val="000000"/>
                <w:sz w:val="14"/>
                <w:szCs w:val="14"/>
              </w:rPr>
              <w:t>Sig.</w:t>
            </w:r>
          </w:p>
        </w:tc>
      </w:tr>
      <w:tr w:rsidR="00FE553E" w:rsidRPr="006239A8" w:rsidTr="007B6808">
        <w:trPr>
          <w:cantSplit/>
          <w:trHeight w:val="562"/>
        </w:trPr>
        <w:tc>
          <w:tcPr>
            <w:tcW w:w="1686" w:type="dxa"/>
            <w:vMerge w:val="restart"/>
            <w:tcBorders>
              <w:top w:val="single" w:sz="16" w:space="0" w:color="000000"/>
              <w:left w:val="single" w:sz="16" w:space="0" w:color="000000"/>
              <w:right w:val="nil"/>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ROE</w:t>
            </w:r>
          </w:p>
        </w:tc>
        <w:tc>
          <w:tcPr>
            <w:tcW w:w="2079" w:type="dxa"/>
            <w:tcBorders>
              <w:top w:val="single" w:sz="16" w:space="0" w:color="000000"/>
              <w:left w:val="nil"/>
              <w:bottom w:val="nil"/>
              <w:right w:val="single" w:sz="16" w:space="0" w:color="000000"/>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Between Groups</w:t>
            </w:r>
          </w:p>
        </w:tc>
        <w:tc>
          <w:tcPr>
            <w:tcW w:w="1800" w:type="dxa"/>
            <w:tcBorders>
              <w:top w:val="single" w:sz="16" w:space="0" w:color="000000"/>
              <w:left w:val="single" w:sz="16" w:space="0" w:color="000000"/>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338348847772.300</w:t>
            </w:r>
          </w:p>
        </w:tc>
        <w:tc>
          <w:tcPr>
            <w:tcW w:w="1256" w:type="dxa"/>
            <w:tcBorders>
              <w:top w:val="single" w:sz="16" w:space="0" w:color="000000"/>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5</w:t>
            </w:r>
          </w:p>
        </w:tc>
        <w:tc>
          <w:tcPr>
            <w:tcW w:w="984" w:type="dxa"/>
            <w:tcBorders>
              <w:top w:val="single" w:sz="16" w:space="0" w:color="000000"/>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67669769554.460</w:t>
            </w:r>
          </w:p>
        </w:tc>
        <w:tc>
          <w:tcPr>
            <w:tcW w:w="551" w:type="dxa"/>
            <w:tcBorders>
              <w:top w:val="single" w:sz="16" w:space="0" w:color="000000"/>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30.160</w:t>
            </w:r>
          </w:p>
        </w:tc>
        <w:tc>
          <w:tcPr>
            <w:tcW w:w="992" w:type="dxa"/>
            <w:tcBorders>
              <w:top w:val="single" w:sz="16" w:space="0" w:color="000000"/>
              <w:bottom w:val="nil"/>
              <w:righ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.000</w:t>
            </w:r>
          </w:p>
        </w:tc>
      </w:tr>
      <w:tr w:rsidR="00FE553E" w:rsidRPr="006239A8" w:rsidTr="007B6808">
        <w:trPr>
          <w:cantSplit/>
          <w:trHeight w:val="200"/>
        </w:trPr>
        <w:tc>
          <w:tcPr>
            <w:tcW w:w="1686" w:type="dxa"/>
            <w:vMerge/>
            <w:tcBorders>
              <w:top w:val="single" w:sz="16" w:space="0" w:color="000000"/>
              <w:left w:val="single" w:sz="16" w:space="0" w:color="000000"/>
              <w:right w:val="nil"/>
            </w:tcBorders>
            <w:shd w:val="clear" w:color="auto" w:fill="FFFFFF"/>
          </w:tcPr>
          <w:p w:rsidR="00FE553E" w:rsidRPr="007B6808" w:rsidRDefault="00FE553E" w:rsidP="00A2233A">
            <w:pPr>
              <w:autoSpaceDE w:val="0"/>
              <w:autoSpaceDN w:val="0"/>
              <w:adjustRightInd w:val="0"/>
              <w:spacing w:after="0" w:line="360" w:lineRule="auto"/>
              <w:rPr>
                <w:rFonts w:ascii="Times New Roman" w:hAnsi="Times New Roman" w:cs="Times New Roman"/>
                <w:color w:val="000000"/>
                <w:sz w:val="14"/>
                <w:szCs w:val="14"/>
              </w:rPr>
            </w:pPr>
          </w:p>
        </w:tc>
        <w:tc>
          <w:tcPr>
            <w:tcW w:w="2079" w:type="dxa"/>
            <w:tcBorders>
              <w:top w:val="nil"/>
              <w:left w:val="nil"/>
              <w:bottom w:val="nil"/>
              <w:right w:val="single" w:sz="16" w:space="0" w:color="000000"/>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Within Groups</w:t>
            </w:r>
          </w:p>
        </w:tc>
        <w:tc>
          <w:tcPr>
            <w:tcW w:w="1800" w:type="dxa"/>
            <w:tcBorders>
              <w:top w:val="nil"/>
              <w:left w:val="single" w:sz="16" w:space="0" w:color="000000"/>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53848682098.400</w:t>
            </w:r>
          </w:p>
        </w:tc>
        <w:tc>
          <w:tcPr>
            <w:tcW w:w="1256"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24</w:t>
            </w:r>
          </w:p>
        </w:tc>
        <w:tc>
          <w:tcPr>
            <w:tcW w:w="984"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2243695087.433</w:t>
            </w:r>
          </w:p>
        </w:tc>
        <w:tc>
          <w:tcPr>
            <w:tcW w:w="551"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992" w:type="dxa"/>
            <w:tcBorders>
              <w:top w:val="nil"/>
              <w:bottom w:val="nil"/>
              <w:righ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r>
      <w:tr w:rsidR="00FE553E" w:rsidRPr="006239A8" w:rsidTr="007B6808">
        <w:trPr>
          <w:cantSplit/>
          <w:trHeight w:val="32"/>
        </w:trPr>
        <w:tc>
          <w:tcPr>
            <w:tcW w:w="1686" w:type="dxa"/>
            <w:vMerge/>
            <w:tcBorders>
              <w:top w:val="single" w:sz="16" w:space="0" w:color="000000"/>
              <w:left w:val="single" w:sz="16" w:space="0" w:color="000000"/>
              <w:right w:val="nil"/>
            </w:tcBorders>
            <w:shd w:val="clear" w:color="auto" w:fill="FFFFFF"/>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2079" w:type="dxa"/>
            <w:tcBorders>
              <w:top w:val="nil"/>
              <w:left w:val="nil"/>
              <w:right w:val="single" w:sz="16" w:space="0" w:color="000000"/>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Total</w:t>
            </w:r>
          </w:p>
        </w:tc>
        <w:tc>
          <w:tcPr>
            <w:tcW w:w="1800" w:type="dxa"/>
            <w:tcBorders>
              <w:top w:val="nil"/>
              <w:lef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392197529870.700</w:t>
            </w:r>
          </w:p>
        </w:tc>
        <w:tc>
          <w:tcPr>
            <w:tcW w:w="1256" w:type="dxa"/>
            <w:tcBorders>
              <w:top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29</w:t>
            </w:r>
          </w:p>
        </w:tc>
        <w:tc>
          <w:tcPr>
            <w:tcW w:w="984" w:type="dxa"/>
            <w:tcBorders>
              <w:top w:val="nil"/>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551" w:type="dxa"/>
            <w:tcBorders>
              <w:top w:val="nil"/>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992" w:type="dxa"/>
            <w:tcBorders>
              <w:top w:val="nil"/>
              <w:righ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r>
      <w:tr w:rsidR="00FE553E" w:rsidRPr="006239A8" w:rsidTr="007B6808">
        <w:trPr>
          <w:cantSplit/>
          <w:trHeight w:val="292"/>
        </w:trPr>
        <w:tc>
          <w:tcPr>
            <w:tcW w:w="1686" w:type="dxa"/>
            <w:vMerge w:val="restart"/>
            <w:tcBorders>
              <w:top w:val="nil"/>
              <w:left w:val="single" w:sz="16" w:space="0" w:color="000000"/>
              <w:right w:val="nil"/>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Net Assets</w:t>
            </w:r>
          </w:p>
        </w:tc>
        <w:tc>
          <w:tcPr>
            <w:tcW w:w="2079" w:type="dxa"/>
            <w:tcBorders>
              <w:top w:val="nil"/>
              <w:left w:val="nil"/>
              <w:bottom w:val="nil"/>
              <w:right w:val="single" w:sz="16" w:space="0" w:color="000000"/>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Between Groups</w:t>
            </w:r>
          </w:p>
        </w:tc>
        <w:tc>
          <w:tcPr>
            <w:tcW w:w="1800" w:type="dxa"/>
            <w:tcBorders>
              <w:top w:val="nil"/>
              <w:left w:val="single" w:sz="16" w:space="0" w:color="000000"/>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.138</w:t>
            </w:r>
          </w:p>
        </w:tc>
        <w:tc>
          <w:tcPr>
            <w:tcW w:w="1256"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5</w:t>
            </w:r>
          </w:p>
        </w:tc>
        <w:tc>
          <w:tcPr>
            <w:tcW w:w="984"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.028</w:t>
            </w:r>
          </w:p>
        </w:tc>
        <w:tc>
          <w:tcPr>
            <w:tcW w:w="551"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2.842</w:t>
            </w:r>
          </w:p>
        </w:tc>
        <w:tc>
          <w:tcPr>
            <w:tcW w:w="992" w:type="dxa"/>
            <w:tcBorders>
              <w:top w:val="nil"/>
              <w:bottom w:val="nil"/>
              <w:righ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.037</w:t>
            </w:r>
          </w:p>
        </w:tc>
      </w:tr>
      <w:tr w:rsidR="00FE553E" w:rsidRPr="006239A8" w:rsidTr="007B6808">
        <w:trPr>
          <w:cantSplit/>
          <w:trHeight w:val="200"/>
        </w:trPr>
        <w:tc>
          <w:tcPr>
            <w:tcW w:w="1686" w:type="dxa"/>
            <w:vMerge/>
            <w:tcBorders>
              <w:top w:val="nil"/>
              <w:left w:val="single" w:sz="16" w:space="0" w:color="000000"/>
              <w:right w:val="nil"/>
            </w:tcBorders>
            <w:shd w:val="clear" w:color="auto" w:fill="FFFFFF"/>
          </w:tcPr>
          <w:p w:rsidR="00FE553E" w:rsidRPr="007B6808" w:rsidRDefault="00FE553E" w:rsidP="00A2233A">
            <w:pPr>
              <w:autoSpaceDE w:val="0"/>
              <w:autoSpaceDN w:val="0"/>
              <w:adjustRightInd w:val="0"/>
              <w:spacing w:after="0" w:line="360" w:lineRule="auto"/>
              <w:rPr>
                <w:rFonts w:ascii="Times New Roman" w:hAnsi="Times New Roman" w:cs="Times New Roman"/>
                <w:color w:val="000000"/>
                <w:sz w:val="14"/>
                <w:szCs w:val="14"/>
              </w:rPr>
            </w:pPr>
          </w:p>
        </w:tc>
        <w:tc>
          <w:tcPr>
            <w:tcW w:w="2079" w:type="dxa"/>
            <w:tcBorders>
              <w:top w:val="nil"/>
              <w:left w:val="nil"/>
              <w:bottom w:val="nil"/>
              <w:right w:val="single" w:sz="16" w:space="0" w:color="000000"/>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Within Groups</w:t>
            </w:r>
          </w:p>
        </w:tc>
        <w:tc>
          <w:tcPr>
            <w:tcW w:w="1800" w:type="dxa"/>
            <w:tcBorders>
              <w:top w:val="nil"/>
              <w:left w:val="single" w:sz="16" w:space="0" w:color="000000"/>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.233</w:t>
            </w:r>
          </w:p>
        </w:tc>
        <w:tc>
          <w:tcPr>
            <w:tcW w:w="1256"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24</w:t>
            </w:r>
          </w:p>
        </w:tc>
        <w:tc>
          <w:tcPr>
            <w:tcW w:w="984"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.010</w:t>
            </w:r>
          </w:p>
        </w:tc>
        <w:tc>
          <w:tcPr>
            <w:tcW w:w="551"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992" w:type="dxa"/>
            <w:tcBorders>
              <w:top w:val="nil"/>
              <w:bottom w:val="nil"/>
              <w:righ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r>
      <w:tr w:rsidR="00FE553E" w:rsidRPr="006239A8" w:rsidTr="007B6808">
        <w:trPr>
          <w:cantSplit/>
          <w:trHeight w:val="200"/>
        </w:trPr>
        <w:tc>
          <w:tcPr>
            <w:tcW w:w="1686" w:type="dxa"/>
            <w:vMerge/>
            <w:tcBorders>
              <w:top w:val="nil"/>
              <w:left w:val="single" w:sz="16" w:space="0" w:color="000000"/>
              <w:right w:val="nil"/>
            </w:tcBorders>
            <w:shd w:val="clear" w:color="auto" w:fill="FFFFFF"/>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2079" w:type="dxa"/>
            <w:tcBorders>
              <w:top w:val="nil"/>
              <w:left w:val="nil"/>
              <w:right w:val="single" w:sz="16" w:space="0" w:color="000000"/>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Total</w:t>
            </w:r>
          </w:p>
        </w:tc>
        <w:tc>
          <w:tcPr>
            <w:tcW w:w="1800" w:type="dxa"/>
            <w:tcBorders>
              <w:top w:val="nil"/>
              <w:lef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.371</w:t>
            </w:r>
          </w:p>
        </w:tc>
        <w:tc>
          <w:tcPr>
            <w:tcW w:w="1256" w:type="dxa"/>
            <w:tcBorders>
              <w:top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29</w:t>
            </w:r>
          </w:p>
        </w:tc>
        <w:tc>
          <w:tcPr>
            <w:tcW w:w="984" w:type="dxa"/>
            <w:tcBorders>
              <w:top w:val="nil"/>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551" w:type="dxa"/>
            <w:tcBorders>
              <w:top w:val="nil"/>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992" w:type="dxa"/>
            <w:tcBorders>
              <w:top w:val="nil"/>
              <w:righ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r>
      <w:tr w:rsidR="00FE553E" w:rsidRPr="006239A8" w:rsidTr="007B6808">
        <w:trPr>
          <w:cantSplit/>
          <w:trHeight w:val="583"/>
        </w:trPr>
        <w:tc>
          <w:tcPr>
            <w:tcW w:w="1686" w:type="dxa"/>
            <w:vMerge w:val="restart"/>
            <w:tcBorders>
              <w:top w:val="nil"/>
              <w:left w:val="single" w:sz="16" w:space="0" w:color="000000"/>
              <w:right w:val="nil"/>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EPS</w:t>
            </w:r>
          </w:p>
        </w:tc>
        <w:tc>
          <w:tcPr>
            <w:tcW w:w="2079" w:type="dxa"/>
            <w:tcBorders>
              <w:top w:val="nil"/>
              <w:left w:val="nil"/>
              <w:bottom w:val="nil"/>
              <w:right w:val="single" w:sz="16" w:space="0" w:color="000000"/>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Between Groups</w:t>
            </w:r>
          </w:p>
        </w:tc>
        <w:tc>
          <w:tcPr>
            <w:tcW w:w="1800" w:type="dxa"/>
            <w:tcBorders>
              <w:top w:val="nil"/>
              <w:left w:val="single" w:sz="16" w:space="0" w:color="000000"/>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.050</w:t>
            </w:r>
          </w:p>
        </w:tc>
        <w:tc>
          <w:tcPr>
            <w:tcW w:w="1256"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5</w:t>
            </w:r>
          </w:p>
        </w:tc>
        <w:tc>
          <w:tcPr>
            <w:tcW w:w="984"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.010</w:t>
            </w:r>
          </w:p>
        </w:tc>
        <w:tc>
          <w:tcPr>
            <w:tcW w:w="551"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12.943</w:t>
            </w:r>
          </w:p>
        </w:tc>
        <w:tc>
          <w:tcPr>
            <w:tcW w:w="992" w:type="dxa"/>
            <w:tcBorders>
              <w:top w:val="nil"/>
              <w:bottom w:val="nil"/>
              <w:righ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.000</w:t>
            </w:r>
          </w:p>
        </w:tc>
      </w:tr>
      <w:tr w:rsidR="00FE553E" w:rsidRPr="006239A8" w:rsidTr="007B6808">
        <w:trPr>
          <w:cantSplit/>
          <w:trHeight w:val="200"/>
        </w:trPr>
        <w:tc>
          <w:tcPr>
            <w:tcW w:w="1686" w:type="dxa"/>
            <w:vMerge/>
            <w:tcBorders>
              <w:top w:val="nil"/>
              <w:left w:val="single" w:sz="16" w:space="0" w:color="000000"/>
              <w:right w:val="nil"/>
            </w:tcBorders>
            <w:shd w:val="clear" w:color="auto" w:fill="FFFFFF"/>
          </w:tcPr>
          <w:p w:rsidR="00FE553E" w:rsidRPr="007B6808" w:rsidRDefault="00FE553E" w:rsidP="00A2233A">
            <w:pPr>
              <w:autoSpaceDE w:val="0"/>
              <w:autoSpaceDN w:val="0"/>
              <w:adjustRightInd w:val="0"/>
              <w:spacing w:after="0" w:line="360" w:lineRule="auto"/>
              <w:rPr>
                <w:rFonts w:ascii="Times New Roman" w:hAnsi="Times New Roman" w:cs="Times New Roman"/>
                <w:color w:val="000000"/>
                <w:sz w:val="14"/>
                <w:szCs w:val="14"/>
              </w:rPr>
            </w:pPr>
          </w:p>
        </w:tc>
        <w:tc>
          <w:tcPr>
            <w:tcW w:w="2079" w:type="dxa"/>
            <w:tcBorders>
              <w:top w:val="nil"/>
              <w:left w:val="nil"/>
              <w:bottom w:val="nil"/>
              <w:right w:val="single" w:sz="16" w:space="0" w:color="000000"/>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Within Groups</w:t>
            </w:r>
          </w:p>
        </w:tc>
        <w:tc>
          <w:tcPr>
            <w:tcW w:w="1800" w:type="dxa"/>
            <w:tcBorders>
              <w:top w:val="nil"/>
              <w:left w:val="single" w:sz="16" w:space="0" w:color="000000"/>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.018</w:t>
            </w:r>
          </w:p>
        </w:tc>
        <w:tc>
          <w:tcPr>
            <w:tcW w:w="1256"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24</w:t>
            </w:r>
          </w:p>
        </w:tc>
        <w:tc>
          <w:tcPr>
            <w:tcW w:w="984"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.001</w:t>
            </w:r>
          </w:p>
        </w:tc>
        <w:tc>
          <w:tcPr>
            <w:tcW w:w="551"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992" w:type="dxa"/>
            <w:tcBorders>
              <w:top w:val="nil"/>
              <w:bottom w:val="nil"/>
              <w:righ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r>
      <w:tr w:rsidR="00FE553E" w:rsidRPr="006239A8" w:rsidTr="007B6808">
        <w:trPr>
          <w:cantSplit/>
          <w:trHeight w:val="200"/>
        </w:trPr>
        <w:tc>
          <w:tcPr>
            <w:tcW w:w="1686" w:type="dxa"/>
            <w:vMerge/>
            <w:tcBorders>
              <w:top w:val="nil"/>
              <w:left w:val="single" w:sz="16" w:space="0" w:color="000000"/>
              <w:right w:val="nil"/>
            </w:tcBorders>
            <w:shd w:val="clear" w:color="auto" w:fill="FFFFFF"/>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2079" w:type="dxa"/>
            <w:tcBorders>
              <w:top w:val="nil"/>
              <w:left w:val="nil"/>
              <w:right w:val="single" w:sz="16" w:space="0" w:color="000000"/>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Total</w:t>
            </w:r>
          </w:p>
        </w:tc>
        <w:tc>
          <w:tcPr>
            <w:tcW w:w="1800" w:type="dxa"/>
            <w:tcBorders>
              <w:top w:val="nil"/>
              <w:lef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.068</w:t>
            </w:r>
          </w:p>
        </w:tc>
        <w:tc>
          <w:tcPr>
            <w:tcW w:w="1256" w:type="dxa"/>
            <w:tcBorders>
              <w:top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29</w:t>
            </w:r>
          </w:p>
        </w:tc>
        <w:tc>
          <w:tcPr>
            <w:tcW w:w="984" w:type="dxa"/>
            <w:tcBorders>
              <w:top w:val="nil"/>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551" w:type="dxa"/>
            <w:tcBorders>
              <w:top w:val="nil"/>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992" w:type="dxa"/>
            <w:tcBorders>
              <w:top w:val="nil"/>
              <w:righ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r>
      <w:tr w:rsidR="00FE553E" w:rsidRPr="006239A8" w:rsidTr="007B6808">
        <w:trPr>
          <w:cantSplit/>
          <w:trHeight w:val="292"/>
        </w:trPr>
        <w:tc>
          <w:tcPr>
            <w:tcW w:w="1686" w:type="dxa"/>
            <w:vMerge w:val="restart"/>
            <w:tcBorders>
              <w:top w:val="nil"/>
              <w:left w:val="single" w:sz="16" w:space="0" w:color="000000"/>
              <w:right w:val="nil"/>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Dividend</w:t>
            </w:r>
          </w:p>
        </w:tc>
        <w:tc>
          <w:tcPr>
            <w:tcW w:w="2079" w:type="dxa"/>
            <w:tcBorders>
              <w:top w:val="nil"/>
              <w:left w:val="nil"/>
              <w:bottom w:val="nil"/>
              <w:right w:val="single" w:sz="16" w:space="0" w:color="000000"/>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Between Groups</w:t>
            </w:r>
          </w:p>
        </w:tc>
        <w:tc>
          <w:tcPr>
            <w:tcW w:w="1800" w:type="dxa"/>
            <w:tcBorders>
              <w:top w:val="nil"/>
              <w:left w:val="single" w:sz="16" w:space="0" w:color="000000"/>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.002</w:t>
            </w:r>
          </w:p>
        </w:tc>
        <w:tc>
          <w:tcPr>
            <w:tcW w:w="1256"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5</w:t>
            </w:r>
          </w:p>
        </w:tc>
        <w:tc>
          <w:tcPr>
            <w:tcW w:w="984"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.000</w:t>
            </w:r>
          </w:p>
        </w:tc>
        <w:tc>
          <w:tcPr>
            <w:tcW w:w="551"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1.000</w:t>
            </w:r>
          </w:p>
        </w:tc>
        <w:tc>
          <w:tcPr>
            <w:tcW w:w="992" w:type="dxa"/>
            <w:tcBorders>
              <w:top w:val="nil"/>
              <w:bottom w:val="nil"/>
              <w:righ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.439</w:t>
            </w:r>
          </w:p>
        </w:tc>
      </w:tr>
      <w:tr w:rsidR="00FE553E" w:rsidRPr="006239A8" w:rsidTr="007B6808">
        <w:trPr>
          <w:cantSplit/>
          <w:trHeight w:val="200"/>
        </w:trPr>
        <w:tc>
          <w:tcPr>
            <w:tcW w:w="1686" w:type="dxa"/>
            <w:vMerge/>
            <w:tcBorders>
              <w:top w:val="nil"/>
              <w:left w:val="single" w:sz="16" w:space="0" w:color="000000"/>
              <w:right w:val="nil"/>
            </w:tcBorders>
            <w:shd w:val="clear" w:color="auto" w:fill="FFFFFF"/>
          </w:tcPr>
          <w:p w:rsidR="00FE553E" w:rsidRPr="007B6808" w:rsidRDefault="00FE553E" w:rsidP="00A2233A">
            <w:pPr>
              <w:autoSpaceDE w:val="0"/>
              <w:autoSpaceDN w:val="0"/>
              <w:adjustRightInd w:val="0"/>
              <w:spacing w:after="0" w:line="360" w:lineRule="auto"/>
              <w:rPr>
                <w:rFonts w:ascii="Times New Roman" w:hAnsi="Times New Roman" w:cs="Times New Roman"/>
                <w:color w:val="000000"/>
                <w:sz w:val="14"/>
                <w:szCs w:val="14"/>
              </w:rPr>
            </w:pPr>
          </w:p>
        </w:tc>
        <w:tc>
          <w:tcPr>
            <w:tcW w:w="2079" w:type="dxa"/>
            <w:tcBorders>
              <w:top w:val="nil"/>
              <w:left w:val="nil"/>
              <w:bottom w:val="nil"/>
              <w:right w:val="single" w:sz="16" w:space="0" w:color="000000"/>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Within Groups</w:t>
            </w:r>
          </w:p>
        </w:tc>
        <w:tc>
          <w:tcPr>
            <w:tcW w:w="1800" w:type="dxa"/>
            <w:tcBorders>
              <w:top w:val="nil"/>
              <w:left w:val="single" w:sz="16" w:space="0" w:color="000000"/>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.008</w:t>
            </w:r>
          </w:p>
        </w:tc>
        <w:tc>
          <w:tcPr>
            <w:tcW w:w="1256"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24</w:t>
            </w:r>
          </w:p>
        </w:tc>
        <w:tc>
          <w:tcPr>
            <w:tcW w:w="984"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.000</w:t>
            </w:r>
          </w:p>
        </w:tc>
        <w:tc>
          <w:tcPr>
            <w:tcW w:w="551"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992" w:type="dxa"/>
            <w:tcBorders>
              <w:top w:val="nil"/>
              <w:bottom w:val="nil"/>
              <w:righ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r>
      <w:tr w:rsidR="00FE553E" w:rsidRPr="006239A8" w:rsidTr="007B6808">
        <w:trPr>
          <w:cantSplit/>
          <w:trHeight w:val="200"/>
        </w:trPr>
        <w:tc>
          <w:tcPr>
            <w:tcW w:w="1686" w:type="dxa"/>
            <w:vMerge/>
            <w:tcBorders>
              <w:top w:val="nil"/>
              <w:left w:val="single" w:sz="16" w:space="0" w:color="000000"/>
              <w:right w:val="nil"/>
            </w:tcBorders>
            <w:shd w:val="clear" w:color="auto" w:fill="FFFFFF"/>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2079" w:type="dxa"/>
            <w:tcBorders>
              <w:top w:val="nil"/>
              <w:left w:val="nil"/>
              <w:right w:val="single" w:sz="16" w:space="0" w:color="000000"/>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Total</w:t>
            </w:r>
          </w:p>
        </w:tc>
        <w:tc>
          <w:tcPr>
            <w:tcW w:w="1800" w:type="dxa"/>
            <w:tcBorders>
              <w:top w:val="nil"/>
              <w:lef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.010</w:t>
            </w:r>
          </w:p>
        </w:tc>
        <w:tc>
          <w:tcPr>
            <w:tcW w:w="1256" w:type="dxa"/>
            <w:tcBorders>
              <w:top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29</w:t>
            </w:r>
          </w:p>
        </w:tc>
        <w:tc>
          <w:tcPr>
            <w:tcW w:w="984" w:type="dxa"/>
            <w:tcBorders>
              <w:top w:val="nil"/>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551" w:type="dxa"/>
            <w:tcBorders>
              <w:top w:val="nil"/>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992" w:type="dxa"/>
            <w:tcBorders>
              <w:top w:val="nil"/>
              <w:righ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r>
      <w:tr w:rsidR="00FE553E" w:rsidRPr="006239A8" w:rsidTr="007B6808">
        <w:trPr>
          <w:cantSplit/>
          <w:trHeight w:val="292"/>
        </w:trPr>
        <w:tc>
          <w:tcPr>
            <w:tcW w:w="1686" w:type="dxa"/>
            <w:vMerge w:val="restart"/>
            <w:tcBorders>
              <w:top w:val="nil"/>
              <w:left w:val="single" w:sz="16" w:space="0" w:color="000000"/>
              <w:right w:val="nil"/>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Earning Price</w:t>
            </w:r>
          </w:p>
        </w:tc>
        <w:tc>
          <w:tcPr>
            <w:tcW w:w="2079" w:type="dxa"/>
            <w:tcBorders>
              <w:top w:val="nil"/>
              <w:left w:val="nil"/>
              <w:bottom w:val="nil"/>
              <w:right w:val="single" w:sz="16" w:space="0" w:color="000000"/>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Between Groups</w:t>
            </w:r>
          </w:p>
        </w:tc>
        <w:tc>
          <w:tcPr>
            <w:tcW w:w="1800" w:type="dxa"/>
            <w:tcBorders>
              <w:top w:val="nil"/>
              <w:left w:val="single" w:sz="16" w:space="0" w:color="000000"/>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1.315</w:t>
            </w:r>
          </w:p>
        </w:tc>
        <w:tc>
          <w:tcPr>
            <w:tcW w:w="1256"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5</w:t>
            </w:r>
          </w:p>
        </w:tc>
        <w:tc>
          <w:tcPr>
            <w:tcW w:w="984"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.263</w:t>
            </w:r>
          </w:p>
        </w:tc>
        <w:tc>
          <w:tcPr>
            <w:tcW w:w="551"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1.874</w:t>
            </w:r>
          </w:p>
        </w:tc>
        <w:tc>
          <w:tcPr>
            <w:tcW w:w="992" w:type="dxa"/>
            <w:tcBorders>
              <w:top w:val="nil"/>
              <w:bottom w:val="nil"/>
              <w:righ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.138</w:t>
            </w:r>
          </w:p>
        </w:tc>
      </w:tr>
      <w:tr w:rsidR="00FE553E" w:rsidRPr="006239A8" w:rsidTr="007B6808">
        <w:trPr>
          <w:cantSplit/>
          <w:trHeight w:val="200"/>
        </w:trPr>
        <w:tc>
          <w:tcPr>
            <w:tcW w:w="1686" w:type="dxa"/>
            <w:vMerge/>
            <w:tcBorders>
              <w:top w:val="nil"/>
              <w:left w:val="single" w:sz="16" w:space="0" w:color="000000"/>
              <w:right w:val="nil"/>
            </w:tcBorders>
            <w:shd w:val="clear" w:color="auto" w:fill="FFFFFF"/>
          </w:tcPr>
          <w:p w:rsidR="00FE553E" w:rsidRPr="007B6808" w:rsidRDefault="00FE553E" w:rsidP="00A2233A">
            <w:pPr>
              <w:autoSpaceDE w:val="0"/>
              <w:autoSpaceDN w:val="0"/>
              <w:adjustRightInd w:val="0"/>
              <w:spacing w:after="0" w:line="360" w:lineRule="auto"/>
              <w:rPr>
                <w:rFonts w:ascii="Times New Roman" w:hAnsi="Times New Roman" w:cs="Times New Roman"/>
                <w:color w:val="000000"/>
                <w:sz w:val="14"/>
                <w:szCs w:val="14"/>
              </w:rPr>
            </w:pPr>
          </w:p>
        </w:tc>
        <w:tc>
          <w:tcPr>
            <w:tcW w:w="2079" w:type="dxa"/>
            <w:tcBorders>
              <w:top w:val="nil"/>
              <w:left w:val="nil"/>
              <w:bottom w:val="nil"/>
              <w:right w:val="single" w:sz="16" w:space="0" w:color="000000"/>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Within Groups</w:t>
            </w:r>
          </w:p>
        </w:tc>
        <w:tc>
          <w:tcPr>
            <w:tcW w:w="1800" w:type="dxa"/>
            <w:tcBorders>
              <w:top w:val="nil"/>
              <w:left w:val="single" w:sz="16" w:space="0" w:color="000000"/>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3.227</w:t>
            </w:r>
          </w:p>
        </w:tc>
        <w:tc>
          <w:tcPr>
            <w:tcW w:w="1256"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23</w:t>
            </w:r>
          </w:p>
        </w:tc>
        <w:tc>
          <w:tcPr>
            <w:tcW w:w="984"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.140</w:t>
            </w:r>
          </w:p>
        </w:tc>
        <w:tc>
          <w:tcPr>
            <w:tcW w:w="551"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992" w:type="dxa"/>
            <w:tcBorders>
              <w:top w:val="nil"/>
              <w:bottom w:val="nil"/>
              <w:righ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r>
      <w:tr w:rsidR="00FE553E" w:rsidRPr="006239A8" w:rsidTr="007B6808">
        <w:trPr>
          <w:cantSplit/>
          <w:trHeight w:val="200"/>
        </w:trPr>
        <w:tc>
          <w:tcPr>
            <w:tcW w:w="1686" w:type="dxa"/>
            <w:vMerge/>
            <w:tcBorders>
              <w:top w:val="nil"/>
              <w:left w:val="single" w:sz="16" w:space="0" w:color="000000"/>
              <w:right w:val="nil"/>
            </w:tcBorders>
            <w:shd w:val="clear" w:color="auto" w:fill="FFFFFF"/>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2079" w:type="dxa"/>
            <w:tcBorders>
              <w:top w:val="nil"/>
              <w:left w:val="nil"/>
              <w:right w:val="single" w:sz="16" w:space="0" w:color="000000"/>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Total</w:t>
            </w:r>
          </w:p>
        </w:tc>
        <w:tc>
          <w:tcPr>
            <w:tcW w:w="1800" w:type="dxa"/>
            <w:tcBorders>
              <w:top w:val="nil"/>
              <w:lef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4.542</w:t>
            </w:r>
          </w:p>
        </w:tc>
        <w:tc>
          <w:tcPr>
            <w:tcW w:w="1256" w:type="dxa"/>
            <w:tcBorders>
              <w:top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28</w:t>
            </w:r>
          </w:p>
        </w:tc>
        <w:tc>
          <w:tcPr>
            <w:tcW w:w="984" w:type="dxa"/>
            <w:tcBorders>
              <w:top w:val="nil"/>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551" w:type="dxa"/>
            <w:tcBorders>
              <w:top w:val="nil"/>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992" w:type="dxa"/>
            <w:tcBorders>
              <w:top w:val="nil"/>
              <w:righ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r>
      <w:tr w:rsidR="00FE553E" w:rsidRPr="006239A8" w:rsidTr="007B6808">
        <w:trPr>
          <w:cantSplit/>
          <w:trHeight w:val="583"/>
        </w:trPr>
        <w:tc>
          <w:tcPr>
            <w:tcW w:w="1686" w:type="dxa"/>
            <w:vMerge w:val="restart"/>
            <w:tcBorders>
              <w:top w:val="nil"/>
              <w:left w:val="single" w:sz="16" w:space="0" w:color="000000"/>
              <w:right w:val="nil"/>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Debt Ratio</w:t>
            </w:r>
          </w:p>
        </w:tc>
        <w:tc>
          <w:tcPr>
            <w:tcW w:w="2079" w:type="dxa"/>
            <w:tcBorders>
              <w:top w:val="nil"/>
              <w:left w:val="nil"/>
              <w:bottom w:val="nil"/>
              <w:right w:val="single" w:sz="16" w:space="0" w:color="000000"/>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Between Groups</w:t>
            </w:r>
          </w:p>
        </w:tc>
        <w:tc>
          <w:tcPr>
            <w:tcW w:w="1800" w:type="dxa"/>
            <w:tcBorders>
              <w:top w:val="nil"/>
              <w:left w:val="single" w:sz="16" w:space="0" w:color="000000"/>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.327</w:t>
            </w:r>
          </w:p>
        </w:tc>
        <w:tc>
          <w:tcPr>
            <w:tcW w:w="1256"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5</w:t>
            </w:r>
          </w:p>
        </w:tc>
        <w:tc>
          <w:tcPr>
            <w:tcW w:w="984"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.065</w:t>
            </w:r>
          </w:p>
        </w:tc>
        <w:tc>
          <w:tcPr>
            <w:tcW w:w="551"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29.700</w:t>
            </w:r>
          </w:p>
        </w:tc>
        <w:tc>
          <w:tcPr>
            <w:tcW w:w="992" w:type="dxa"/>
            <w:tcBorders>
              <w:top w:val="nil"/>
              <w:bottom w:val="nil"/>
              <w:righ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.000</w:t>
            </w:r>
          </w:p>
        </w:tc>
      </w:tr>
      <w:tr w:rsidR="00FE553E" w:rsidRPr="006239A8" w:rsidTr="007B6808">
        <w:trPr>
          <w:cantSplit/>
          <w:trHeight w:val="200"/>
        </w:trPr>
        <w:tc>
          <w:tcPr>
            <w:tcW w:w="1686" w:type="dxa"/>
            <w:vMerge/>
            <w:tcBorders>
              <w:top w:val="nil"/>
              <w:left w:val="single" w:sz="16" w:space="0" w:color="000000"/>
              <w:right w:val="nil"/>
            </w:tcBorders>
            <w:shd w:val="clear" w:color="auto" w:fill="FFFFFF"/>
          </w:tcPr>
          <w:p w:rsidR="00FE553E" w:rsidRPr="007B6808" w:rsidRDefault="00FE553E" w:rsidP="00A2233A">
            <w:pPr>
              <w:autoSpaceDE w:val="0"/>
              <w:autoSpaceDN w:val="0"/>
              <w:adjustRightInd w:val="0"/>
              <w:spacing w:after="0" w:line="360" w:lineRule="auto"/>
              <w:rPr>
                <w:rFonts w:ascii="Times New Roman" w:hAnsi="Times New Roman" w:cs="Times New Roman"/>
                <w:color w:val="000000"/>
                <w:sz w:val="14"/>
                <w:szCs w:val="14"/>
              </w:rPr>
            </w:pPr>
          </w:p>
        </w:tc>
        <w:tc>
          <w:tcPr>
            <w:tcW w:w="2079" w:type="dxa"/>
            <w:tcBorders>
              <w:top w:val="nil"/>
              <w:left w:val="nil"/>
              <w:bottom w:val="nil"/>
              <w:right w:val="single" w:sz="16" w:space="0" w:color="000000"/>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Within Groups</w:t>
            </w:r>
          </w:p>
        </w:tc>
        <w:tc>
          <w:tcPr>
            <w:tcW w:w="1800" w:type="dxa"/>
            <w:tcBorders>
              <w:top w:val="nil"/>
              <w:left w:val="single" w:sz="16" w:space="0" w:color="000000"/>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.053</w:t>
            </w:r>
          </w:p>
        </w:tc>
        <w:tc>
          <w:tcPr>
            <w:tcW w:w="1256"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24</w:t>
            </w:r>
          </w:p>
        </w:tc>
        <w:tc>
          <w:tcPr>
            <w:tcW w:w="984"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.002</w:t>
            </w:r>
          </w:p>
        </w:tc>
        <w:tc>
          <w:tcPr>
            <w:tcW w:w="551"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992" w:type="dxa"/>
            <w:tcBorders>
              <w:top w:val="nil"/>
              <w:bottom w:val="nil"/>
              <w:righ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r>
      <w:tr w:rsidR="00FE553E" w:rsidRPr="006239A8" w:rsidTr="007B6808">
        <w:trPr>
          <w:cantSplit/>
          <w:trHeight w:val="200"/>
        </w:trPr>
        <w:tc>
          <w:tcPr>
            <w:tcW w:w="1686" w:type="dxa"/>
            <w:vMerge/>
            <w:tcBorders>
              <w:top w:val="nil"/>
              <w:left w:val="single" w:sz="16" w:space="0" w:color="000000"/>
              <w:right w:val="nil"/>
            </w:tcBorders>
            <w:shd w:val="clear" w:color="auto" w:fill="FFFFFF"/>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2079" w:type="dxa"/>
            <w:tcBorders>
              <w:top w:val="nil"/>
              <w:left w:val="nil"/>
              <w:right w:val="single" w:sz="16" w:space="0" w:color="000000"/>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Total</w:t>
            </w:r>
          </w:p>
        </w:tc>
        <w:tc>
          <w:tcPr>
            <w:tcW w:w="1800" w:type="dxa"/>
            <w:tcBorders>
              <w:top w:val="nil"/>
              <w:lef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.379</w:t>
            </w:r>
          </w:p>
        </w:tc>
        <w:tc>
          <w:tcPr>
            <w:tcW w:w="1256" w:type="dxa"/>
            <w:tcBorders>
              <w:top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29</w:t>
            </w:r>
          </w:p>
        </w:tc>
        <w:tc>
          <w:tcPr>
            <w:tcW w:w="984" w:type="dxa"/>
            <w:tcBorders>
              <w:top w:val="nil"/>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551" w:type="dxa"/>
            <w:tcBorders>
              <w:top w:val="nil"/>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992" w:type="dxa"/>
            <w:tcBorders>
              <w:top w:val="nil"/>
              <w:righ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r>
      <w:tr w:rsidR="00FE553E" w:rsidRPr="006239A8" w:rsidTr="007B6808">
        <w:trPr>
          <w:cantSplit/>
          <w:trHeight w:val="583"/>
        </w:trPr>
        <w:tc>
          <w:tcPr>
            <w:tcW w:w="1686" w:type="dxa"/>
            <w:vMerge w:val="restart"/>
            <w:tcBorders>
              <w:top w:val="nil"/>
              <w:left w:val="single" w:sz="16" w:space="0" w:color="000000"/>
              <w:bottom w:val="single" w:sz="16" w:space="0" w:color="000000"/>
              <w:right w:val="nil"/>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Closing Price</w:t>
            </w:r>
          </w:p>
        </w:tc>
        <w:tc>
          <w:tcPr>
            <w:tcW w:w="2079" w:type="dxa"/>
            <w:tcBorders>
              <w:top w:val="nil"/>
              <w:left w:val="nil"/>
              <w:bottom w:val="nil"/>
              <w:right w:val="single" w:sz="16" w:space="0" w:color="000000"/>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Between Groups</w:t>
            </w:r>
          </w:p>
        </w:tc>
        <w:tc>
          <w:tcPr>
            <w:tcW w:w="1800" w:type="dxa"/>
            <w:tcBorders>
              <w:top w:val="nil"/>
              <w:left w:val="single" w:sz="16" w:space="0" w:color="000000"/>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6.815</w:t>
            </w:r>
          </w:p>
        </w:tc>
        <w:tc>
          <w:tcPr>
            <w:tcW w:w="1256"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5</w:t>
            </w:r>
          </w:p>
        </w:tc>
        <w:tc>
          <w:tcPr>
            <w:tcW w:w="984"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1.363</w:t>
            </w:r>
          </w:p>
        </w:tc>
        <w:tc>
          <w:tcPr>
            <w:tcW w:w="551"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28.289</w:t>
            </w:r>
          </w:p>
        </w:tc>
        <w:tc>
          <w:tcPr>
            <w:tcW w:w="992" w:type="dxa"/>
            <w:tcBorders>
              <w:top w:val="nil"/>
              <w:bottom w:val="nil"/>
              <w:righ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.000</w:t>
            </w:r>
          </w:p>
        </w:tc>
      </w:tr>
      <w:tr w:rsidR="00FE553E" w:rsidRPr="006239A8" w:rsidTr="007B6808">
        <w:trPr>
          <w:cantSplit/>
          <w:trHeight w:val="200"/>
        </w:trPr>
        <w:tc>
          <w:tcPr>
            <w:tcW w:w="1686" w:type="dxa"/>
            <w:vMerge/>
            <w:tcBorders>
              <w:top w:val="nil"/>
              <w:left w:val="single" w:sz="16" w:space="0" w:color="000000"/>
              <w:bottom w:val="single" w:sz="16" w:space="0" w:color="000000"/>
              <w:right w:val="nil"/>
            </w:tcBorders>
            <w:shd w:val="clear" w:color="auto" w:fill="FFFFFF"/>
          </w:tcPr>
          <w:p w:rsidR="00FE553E" w:rsidRPr="007B6808" w:rsidRDefault="00FE553E" w:rsidP="00A2233A">
            <w:pPr>
              <w:autoSpaceDE w:val="0"/>
              <w:autoSpaceDN w:val="0"/>
              <w:adjustRightInd w:val="0"/>
              <w:spacing w:after="0" w:line="360" w:lineRule="auto"/>
              <w:rPr>
                <w:rFonts w:ascii="Times New Roman" w:hAnsi="Times New Roman" w:cs="Times New Roman"/>
                <w:color w:val="000000"/>
                <w:sz w:val="14"/>
                <w:szCs w:val="14"/>
              </w:rPr>
            </w:pPr>
          </w:p>
        </w:tc>
        <w:tc>
          <w:tcPr>
            <w:tcW w:w="2079" w:type="dxa"/>
            <w:tcBorders>
              <w:top w:val="nil"/>
              <w:left w:val="nil"/>
              <w:bottom w:val="nil"/>
              <w:right w:val="single" w:sz="16" w:space="0" w:color="000000"/>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Within Groups</w:t>
            </w:r>
          </w:p>
        </w:tc>
        <w:tc>
          <w:tcPr>
            <w:tcW w:w="1800" w:type="dxa"/>
            <w:tcBorders>
              <w:top w:val="nil"/>
              <w:left w:val="single" w:sz="16" w:space="0" w:color="000000"/>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1.156</w:t>
            </w:r>
          </w:p>
        </w:tc>
        <w:tc>
          <w:tcPr>
            <w:tcW w:w="1256"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24</w:t>
            </w:r>
          </w:p>
        </w:tc>
        <w:tc>
          <w:tcPr>
            <w:tcW w:w="984"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.048</w:t>
            </w:r>
          </w:p>
        </w:tc>
        <w:tc>
          <w:tcPr>
            <w:tcW w:w="551" w:type="dxa"/>
            <w:tcBorders>
              <w:top w:val="nil"/>
              <w:bottom w:val="nil"/>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992" w:type="dxa"/>
            <w:tcBorders>
              <w:top w:val="nil"/>
              <w:bottom w:val="nil"/>
              <w:righ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r>
      <w:tr w:rsidR="00FE553E" w:rsidRPr="006239A8" w:rsidTr="007B6808">
        <w:trPr>
          <w:cantSplit/>
          <w:trHeight w:val="200"/>
        </w:trPr>
        <w:tc>
          <w:tcPr>
            <w:tcW w:w="1686" w:type="dxa"/>
            <w:vMerge/>
            <w:tcBorders>
              <w:top w:val="nil"/>
              <w:left w:val="single" w:sz="16" w:space="0" w:color="000000"/>
              <w:bottom w:val="single" w:sz="16" w:space="0" w:color="000000"/>
              <w:right w:val="nil"/>
            </w:tcBorders>
            <w:shd w:val="clear" w:color="auto" w:fill="FFFFFF"/>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2079" w:type="dxa"/>
            <w:tcBorders>
              <w:top w:val="nil"/>
              <w:left w:val="nil"/>
              <w:bottom w:val="single" w:sz="16" w:space="0" w:color="000000"/>
              <w:right w:val="single" w:sz="16" w:space="0" w:color="000000"/>
            </w:tcBorders>
            <w:shd w:val="clear" w:color="auto" w:fill="FFFFFF"/>
          </w:tcPr>
          <w:p w:rsidR="00FE553E" w:rsidRPr="007B6808" w:rsidRDefault="00FE553E" w:rsidP="00A2233A">
            <w:pPr>
              <w:autoSpaceDE w:val="0"/>
              <w:autoSpaceDN w:val="0"/>
              <w:adjustRightInd w:val="0"/>
              <w:spacing w:after="0" w:line="360" w:lineRule="auto"/>
              <w:ind w:left="60" w:right="60"/>
              <w:rPr>
                <w:rFonts w:ascii="Times New Roman" w:hAnsi="Times New Roman" w:cs="Times New Roman"/>
                <w:color w:val="000000"/>
                <w:sz w:val="14"/>
                <w:szCs w:val="14"/>
              </w:rPr>
            </w:pPr>
            <w:r w:rsidRPr="007B6808">
              <w:rPr>
                <w:rFonts w:ascii="Times New Roman" w:hAnsi="Times New Roman" w:cs="Times New Roman"/>
                <w:color w:val="000000"/>
                <w:sz w:val="14"/>
                <w:szCs w:val="14"/>
              </w:rPr>
              <w:t>Total</w:t>
            </w:r>
          </w:p>
        </w:tc>
        <w:tc>
          <w:tcPr>
            <w:tcW w:w="1800" w:type="dxa"/>
            <w:tcBorders>
              <w:top w:val="nil"/>
              <w:left w:val="single" w:sz="16" w:space="0" w:color="000000"/>
              <w:bottom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7.972</w:t>
            </w:r>
          </w:p>
        </w:tc>
        <w:tc>
          <w:tcPr>
            <w:tcW w:w="1256" w:type="dxa"/>
            <w:tcBorders>
              <w:top w:val="nil"/>
              <w:bottom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ind w:left="60" w:right="60"/>
              <w:jc w:val="right"/>
              <w:rPr>
                <w:rFonts w:ascii="Times New Roman" w:hAnsi="Times New Roman" w:cs="Times New Roman"/>
                <w:color w:val="000000"/>
                <w:sz w:val="14"/>
                <w:szCs w:val="14"/>
              </w:rPr>
            </w:pPr>
            <w:r w:rsidRPr="007B6808">
              <w:rPr>
                <w:rFonts w:ascii="Times New Roman" w:hAnsi="Times New Roman" w:cs="Times New Roman"/>
                <w:color w:val="000000"/>
                <w:sz w:val="14"/>
                <w:szCs w:val="14"/>
              </w:rPr>
              <w:t>29</w:t>
            </w:r>
          </w:p>
        </w:tc>
        <w:tc>
          <w:tcPr>
            <w:tcW w:w="984" w:type="dxa"/>
            <w:tcBorders>
              <w:top w:val="nil"/>
              <w:bottom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551" w:type="dxa"/>
            <w:tcBorders>
              <w:top w:val="nil"/>
              <w:bottom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c>
          <w:tcPr>
            <w:tcW w:w="992" w:type="dxa"/>
            <w:tcBorders>
              <w:top w:val="nil"/>
              <w:bottom w:val="single" w:sz="16" w:space="0" w:color="000000"/>
              <w:right w:val="single" w:sz="16" w:space="0" w:color="000000"/>
            </w:tcBorders>
            <w:shd w:val="clear" w:color="auto" w:fill="FFFFFF"/>
            <w:vAlign w:val="center"/>
          </w:tcPr>
          <w:p w:rsidR="00FE553E" w:rsidRPr="007B6808" w:rsidRDefault="00FE553E" w:rsidP="00A2233A">
            <w:pPr>
              <w:autoSpaceDE w:val="0"/>
              <w:autoSpaceDN w:val="0"/>
              <w:adjustRightInd w:val="0"/>
              <w:spacing w:after="0" w:line="360" w:lineRule="auto"/>
              <w:rPr>
                <w:rFonts w:ascii="Times New Roman" w:hAnsi="Times New Roman" w:cs="Times New Roman"/>
                <w:sz w:val="14"/>
                <w:szCs w:val="14"/>
              </w:rPr>
            </w:pPr>
          </w:p>
        </w:tc>
      </w:tr>
    </w:tbl>
    <w:p w:rsidR="006D5E0F" w:rsidRDefault="006D5E0F" w:rsidP="006D5E0F">
      <w:pPr>
        <w:spacing w:after="120" w:line="240" w:lineRule="auto"/>
        <w:jc w:val="both"/>
        <w:rPr>
          <w:rFonts w:ascii="Times New Roman" w:hAnsi="Times New Roman" w:cs="Times New Roman"/>
          <w:sz w:val="16"/>
          <w:szCs w:val="16"/>
        </w:rPr>
      </w:pPr>
      <w:r w:rsidRPr="007B6808">
        <w:rPr>
          <w:rFonts w:ascii="Times New Roman" w:hAnsi="Times New Roman" w:cs="Times New Roman"/>
          <w:b/>
          <w:sz w:val="16"/>
          <w:szCs w:val="16"/>
        </w:rPr>
        <w:t>Source:</w:t>
      </w:r>
      <w:r w:rsidRPr="00A870E9">
        <w:rPr>
          <w:rFonts w:ascii="Times New Roman" w:hAnsi="Times New Roman" w:cs="Times New Roman"/>
          <w:sz w:val="16"/>
          <w:szCs w:val="16"/>
        </w:rPr>
        <w:t xml:space="preserve"> Authors own compilation</w:t>
      </w:r>
    </w:p>
    <w:p w:rsidR="002F2B02" w:rsidRPr="007B6808" w:rsidRDefault="0003348A" w:rsidP="007B6808">
      <w:pPr>
        <w:spacing w:before="120" w:after="120" w:line="276" w:lineRule="auto"/>
        <w:jc w:val="both"/>
        <w:rPr>
          <w:rFonts w:ascii="Times New Roman" w:hAnsi="Times New Roman" w:cs="Times New Roman"/>
          <w:sz w:val="24"/>
        </w:rPr>
      </w:pPr>
      <w:r w:rsidRPr="007B6808">
        <w:rPr>
          <w:rFonts w:ascii="Times New Roman" w:hAnsi="Times New Roman" w:cs="Times New Roman"/>
          <w:sz w:val="24"/>
        </w:rPr>
        <w:lastRenderedPageBreak/>
        <w:t xml:space="preserve">It can be </w:t>
      </w:r>
      <w:r w:rsidR="00571C1D" w:rsidRPr="007B6808">
        <w:rPr>
          <w:rFonts w:ascii="Times New Roman" w:hAnsi="Times New Roman" w:cs="Times New Roman"/>
          <w:sz w:val="24"/>
        </w:rPr>
        <w:t xml:space="preserve">observed </w:t>
      </w:r>
      <w:r w:rsidRPr="007B6808">
        <w:rPr>
          <w:rFonts w:ascii="Times New Roman" w:hAnsi="Times New Roman" w:cs="Times New Roman"/>
          <w:sz w:val="24"/>
        </w:rPr>
        <w:t xml:space="preserve">from Table-3 </w:t>
      </w:r>
      <w:r w:rsidR="00571C1D" w:rsidRPr="007B6808">
        <w:rPr>
          <w:rFonts w:ascii="Times New Roman" w:hAnsi="Times New Roman" w:cs="Times New Roman"/>
          <w:sz w:val="24"/>
        </w:rPr>
        <w:t>that there</w:t>
      </w:r>
      <w:r w:rsidRPr="007B6808">
        <w:rPr>
          <w:rFonts w:ascii="Times New Roman" w:hAnsi="Times New Roman" w:cs="Times New Roman"/>
          <w:sz w:val="24"/>
        </w:rPr>
        <w:t xml:space="preserve"> is no significance difference in the Return on equity of Saud Bahawan group and Oman cement co., Raysut Cement. But with Al Hassan engineering, and Ghafar Engineering we could found a significance difference. There was no significance difference in the mean of Saud Bahawan and Galfar </w:t>
      </w:r>
      <w:r w:rsidR="004D4B14" w:rsidRPr="007B6808">
        <w:rPr>
          <w:rFonts w:ascii="Times New Roman" w:hAnsi="Times New Roman" w:cs="Times New Roman"/>
          <w:sz w:val="24"/>
        </w:rPr>
        <w:t>Engineering</w:t>
      </w:r>
      <w:r w:rsidRPr="007B6808">
        <w:rPr>
          <w:rFonts w:ascii="Times New Roman" w:hAnsi="Times New Roman" w:cs="Times New Roman"/>
          <w:sz w:val="24"/>
        </w:rPr>
        <w:t xml:space="preserve"> and Gulf stone. Saud Bahwan was better than the Gulf stone but lower than other four firms. In net assets ratio, we found Saud Bahawan is greater than Alhassan Engineering, but lower than all other four </w:t>
      </w:r>
      <w:r w:rsidR="008664CE" w:rsidRPr="007B6808">
        <w:rPr>
          <w:rFonts w:ascii="Times New Roman" w:hAnsi="Times New Roman" w:cs="Times New Roman"/>
          <w:sz w:val="24"/>
        </w:rPr>
        <w:t>firms</w:t>
      </w:r>
      <w:r w:rsidRPr="007B6808">
        <w:rPr>
          <w:rFonts w:ascii="Times New Roman" w:hAnsi="Times New Roman" w:cs="Times New Roman"/>
          <w:sz w:val="24"/>
        </w:rPr>
        <w:t>. On the basis of P value, we found there is significant difference in the mean of Saud Bahawan and all other firms.</w:t>
      </w:r>
      <w:r w:rsidR="00571C1D" w:rsidRPr="007B6808">
        <w:rPr>
          <w:rFonts w:ascii="Times New Roman" w:hAnsi="Times New Roman" w:cs="Times New Roman"/>
          <w:sz w:val="24"/>
        </w:rPr>
        <w:t xml:space="preserve"> We performed analysis on earning per share of Saud Bahawan and four other companies. We found Saud Bahawan is better than Alhassan Engineering, and lower than all four firms. We performed analysis on dividend ratio of Saud Bahawan and five other companies. We found no significance difference among all firms in their dividend ratio. We performed analysis on the Debt ratio of Saud Bahawan and all other 5 companies and found that, Saud Bahawan is better than Oman cement as compare to other companies.</w:t>
      </w:r>
    </w:p>
    <w:p w:rsidR="002F2B02" w:rsidRDefault="002F2B02" w:rsidP="008101E0">
      <w:pPr>
        <w:spacing w:after="0" w:line="240" w:lineRule="exact"/>
        <w:jc w:val="both"/>
        <w:rPr>
          <w:rFonts w:ascii="Times New Roman" w:hAnsi="Times New Roman" w:cs="Times New Roman"/>
          <w:sz w:val="16"/>
          <w:szCs w:val="16"/>
        </w:rPr>
      </w:pPr>
    </w:p>
    <w:p w:rsidR="002F2B02" w:rsidRDefault="002F2B02" w:rsidP="008101E0">
      <w:pPr>
        <w:spacing w:after="0" w:line="240" w:lineRule="exact"/>
        <w:jc w:val="both"/>
        <w:rPr>
          <w:rFonts w:ascii="Times New Roman" w:hAnsi="Times New Roman" w:cs="Times New Roman"/>
          <w:sz w:val="16"/>
          <w:szCs w:val="16"/>
        </w:rPr>
      </w:pPr>
    </w:p>
    <w:p w:rsidR="008101E0" w:rsidRPr="007B6808" w:rsidRDefault="008101E0" w:rsidP="007B6808">
      <w:pPr>
        <w:spacing w:after="0" w:line="240" w:lineRule="exact"/>
        <w:jc w:val="center"/>
        <w:rPr>
          <w:rFonts w:ascii="Times New Roman" w:hAnsi="Times New Roman" w:cs="Times New Roman"/>
          <w:b/>
          <w:sz w:val="20"/>
          <w:szCs w:val="16"/>
        </w:rPr>
      </w:pPr>
      <w:r w:rsidRPr="007B6808">
        <w:rPr>
          <w:rFonts w:ascii="Times New Roman" w:hAnsi="Times New Roman" w:cs="Times New Roman"/>
          <w:b/>
          <w:sz w:val="20"/>
          <w:szCs w:val="16"/>
        </w:rPr>
        <w:t>Table-3: Comparison of Saud Bahawan with its Competitor</w:t>
      </w:r>
    </w:p>
    <w:tbl>
      <w:tblPr>
        <w:tblW w:w="9464" w:type="dxa"/>
        <w:tblInd w:w="108" w:type="dxa"/>
        <w:tblLook w:val="04A0"/>
      </w:tblPr>
      <w:tblGrid>
        <w:gridCol w:w="1406"/>
        <w:gridCol w:w="1557"/>
        <w:gridCol w:w="1347"/>
        <w:gridCol w:w="1834"/>
        <w:gridCol w:w="1834"/>
        <w:gridCol w:w="1486"/>
      </w:tblGrid>
      <w:tr w:rsidR="008101E0" w:rsidRPr="007B6808" w:rsidTr="007B6808">
        <w:trPr>
          <w:trHeight w:val="290"/>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rPr>
                <w:rFonts w:ascii="Times New Roman" w:eastAsia="Times New Roman" w:hAnsi="Times New Roman" w:cs="Times New Roman"/>
                <w:color w:val="000000"/>
                <w:sz w:val="16"/>
                <w:szCs w:val="16"/>
              </w:rPr>
            </w:pPr>
          </w:p>
        </w:tc>
        <w:tc>
          <w:tcPr>
            <w:tcW w:w="1557" w:type="dxa"/>
            <w:tcBorders>
              <w:top w:val="single" w:sz="4" w:space="0" w:color="auto"/>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 xml:space="preserve">Oman </w:t>
            </w:r>
            <w:r w:rsidR="007B6808" w:rsidRPr="007B6808">
              <w:rPr>
                <w:rFonts w:ascii="Times New Roman" w:eastAsia="Times New Roman" w:hAnsi="Times New Roman" w:cs="Times New Roman"/>
                <w:color w:val="000000"/>
                <w:sz w:val="16"/>
                <w:szCs w:val="16"/>
              </w:rPr>
              <w:t>Cement</w:t>
            </w:r>
            <w:r w:rsidR="007B6808">
              <w:rPr>
                <w:rFonts w:ascii="Times New Roman" w:eastAsia="Times New Roman" w:hAnsi="Times New Roman" w:cs="Times New Roman"/>
                <w:color w:val="000000"/>
                <w:sz w:val="16"/>
                <w:szCs w:val="16"/>
              </w:rPr>
              <w:t>.</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Raysut Cement</w:t>
            </w:r>
          </w:p>
        </w:tc>
        <w:tc>
          <w:tcPr>
            <w:tcW w:w="1834" w:type="dxa"/>
            <w:tcBorders>
              <w:top w:val="single" w:sz="4" w:space="0" w:color="auto"/>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Al Hassan Engineering</w:t>
            </w:r>
          </w:p>
        </w:tc>
        <w:tc>
          <w:tcPr>
            <w:tcW w:w="1834" w:type="dxa"/>
            <w:tcBorders>
              <w:top w:val="single" w:sz="4" w:space="0" w:color="auto"/>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Galfar Engineering &amp; Contracting</w:t>
            </w:r>
          </w:p>
        </w:tc>
        <w:tc>
          <w:tcPr>
            <w:tcW w:w="1486" w:type="dxa"/>
            <w:tcBorders>
              <w:top w:val="single" w:sz="4" w:space="0" w:color="auto"/>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Gulf Stone</w:t>
            </w:r>
          </w:p>
        </w:tc>
      </w:tr>
      <w:tr w:rsidR="008101E0" w:rsidRPr="007B6808" w:rsidTr="007B6808">
        <w:trPr>
          <w:trHeight w:val="290"/>
        </w:trPr>
        <w:tc>
          <w:tcPr>
            <w:tcW w:w="1406" w:type="dxa"/>
            <w:tcBorders>
              <w:top w:val="nil"/>
              <w:left w:val="single" w:sz="4" w:space="0" w:color="auto"/>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Saud Bahwan Group</w:t>
            </w:r>
          </w:p>
        </w:tc>
        <w:tc>
          <w:tcPr>
            <w:tcW w:w="1557" w:type="dxa"/>
            <w:tcBorders>
              <w:top w:val="nil"/>
              <w:left w:val="nil"/>
              <w:bottom w:val="single" w:sz="4" w:space="0" w:color="auto"/>
              <w:right w:val="single" w:sz="4" w:space="0" w:color="auto"/>
            </w:tcBorders>
            <w:shd w:val="clear" w:color="auto" w:fill="auto"/>
            <w:noWrap/>
            <w:vAlign w:val="bottom"/>
          </w:tcPr>
          <w:p w:rsidR="008101E0" w:rsidRPr="007B6808" w:rsidRDefault="008101E0" w:rsidP="00413A5A">
            <w:pPr>
              <w:spacing w:after="0" w:line="240" w:lineRule="auto"/>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P-value</w:t>
            </w:r>
          </w:p>
        </w:tc>
        <w:tc>
          <w:tcPr>
            <w:tcW w:w="1347" w:type="dxa"/>
            <w:tcBorders>
              <w:top w:val="nil"/>
              <w:left w:val="nil"/>
              <w:bottom w:val="single" w:sz="4" w:space="0" w:color="auto"/>
              <w:right w:val="single" w:sz="4" w:space="0" w:color="auto"/>
            </w:tcBorders>
            <w:shd w:val="clear" w:color="auto" w:fill="auto"/>
            <w:noWrap/>
            <w:vAlign w:val="bottom"/>
          </w:tcPr>
          <w:p w:rsidR="008101E0" w:rsidRPr="007B6808" w:rsidRDefault="008101E0" w:rsidP="00413A5A">
            <w:pPr>
              <w:spacing w:after="0" w:line="240" w:lineRule="auto"/>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P-value</w:t>
            </w:r>
          </w:p>
        </w:tc>
        <w:tc>
          <w:tcPr>
            <w:tcW w:w="1834" w:type="dxa"/>
            <w:tcBorders>
              <w:top w:val="nil"/>
              <w:left w:val="nil"/>
              <w:bottom w:val="single" w:sz="4" w:space="0" w:color="auto"/>
              <w:right w:val="single" w:sz="4" w:space="0" w:color="auto"/>
            </w:tcBorders>
            <w:shd w:val="clear" w:color="auto" w:fill="auto"/>
            <w:noWrap/>
            <w:vAlign w:val="bottom"/>
          </w:tcPr>
          <w:p w:rsidR="008101E0" w:rsidRPr="007B6808" w:rsidRDefault="008101E0" w:rsidP="00413A5A">
            <w:pPr>
              <w:spacing w:after="0" w:line="240" w:lineRule="auto"/>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P-value</w:t>
            </w:r>
          </w:p>
        </w:tc>
        <w:tc>
          <w:tcPr>
            <w:tcW w:w="1834" w:type="dxa"/>
            <w:tcBorders>
              <w:top w:val="nil"/>
              <w:left w:val="nil"/>
              <w:bottom w:val="single" w:sz="4" w:space="0" w:color="auto"/>
              <w:right w:val="single" w:sz="4" w:space="0" w:color="auto"/>
            </w:tcBorders>
            <w:shd w:val="clear" w:color="auto" w:fill="auto"/>
            <w:noWrap/>
            <w:vAlign w:val="bottom"/>
          </w:tcPr>
          <w:p w:rsidR="008101E0" w:rsidRPr="007B6808" w:rsidRDefault="008101E0" w:rsidP="00413A5A">
            <w:pPr>
              <w:spacing w:after="0" w:line="240" w:lineRule="auto"/>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P-value</w:t>
            </w:r>
          </w:p>
        </w:tc>
        <w:tc>
          <w:tcPr>
            <w:tcW w:w="1486" w:type="dxa"/>
            <w:tcBorders>
              <w:top w:val="nil"/>
              <w:left w:val="nil"/>
              <w:bottom w:val="single" w:sz="4" w:space="0" w:color="auto"/>
              <w:right w:val="single" w:sz="4" w:space="0" w:color="auto"/>
            </w:tcBorders>
            <w:shd w:val="clear" w:color="auto" w:fill="auto"/>
            <w:noWrap/>
            <w:vAlign w:val="bottom"/>
          </w:tcPr>
          <w:p w:rsidR="008101E0" w:rsidRPr="007B6808" w:rsidRDefault="008101E0" w:rsidP="00413A5A">
            <w:pPr>
              <w:spacing w:after="0" w:line="240" w:lineRule="auto"/>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P-value</w:t>
            </w:r>
          </w:p>
        </w:tc>
      </w:tr>
      <w:tr w:rsidR="008101E0" w:rsidRPr="007B6808" w:rsidTr="007B6808">
        <w:trPr>
          <w:trHeight w:val="290"/>
        </w:trPr>
        <w:tc>
          <w:tcPr>
            <w:tcW w:w="1406" w:type="dxa"/>
            <w:tcBorders>
              <w:top w:val="nil"/>
              <w:left w:val="single" w:sz="4" w:space="0" w:color="auto"/>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ROE</w:t>
            </w:r>
          </w:p>
        </w:tc>
        <w:tc>
          <w:tcPr>
            <w:tcW w:w="1557" w:type="dxa"/>
            <w:tcBorders>
              <w:top w:val="nil"/>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jc w:val="center"/>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0.008</w:t>
            </w:r>
          </w:p>
        </w:tc>
        <w:tc>
          <w:tcPr>
            <w:tcW w:w="1347" w:type="dxa"/>
            <w:tcBorders>
              <w:top w:val="nil"/>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jc w:val="center"/>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0.024</w:t>
            </w:r>
          </w:p>
        </w:tc>
        <w:tc>
          <w:tcPr>
            <w:tcW w:w="1834" w:type="dxa"/>
            <w:tcBorders>
              <w:top w:val="nil"/>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jc w:val="center"/>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0.999</w:t>
            </w:r>
          </w:p>
        </w:tc>
        <w:tc>
          <w:tcPr>
            <w:tcW w:w="1834" w:type="dxa"/>
            <w:tcBorders>
              <w:top w:val="nil"/>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jc w:val="center"/>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0.055</w:t>
            </w:r>
          </w:p>
        </w:tc>
        <w:tc>
          <w:tcPr>
            <w:tcW w:w="1486" w:type="dxa"/>
            <w:tcBorders>
              <w:top w:val="nil"/>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jc w:val="center"/>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0.015</w:t>
            </w:r>
          </w:p>
        </w:tc>
      </w:tr>
      <w:tr w:rsidR="008101E0" w:rsidRPr="007B6808" w:rsidTr="007B6808">
        <w:trPr>
          <w:trHeight w:val="290"/>
        </w:trPr>
        <w:tc>
          <w:tcPr>
            <w:tcW w:w="1406" w:type="dxa"/>
            <w:tcBorders>
              <w:top w:val="nil"/>
              <w:left w:val="single" w:sz="4" w:space="0" w:color="auto"/>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Net Assets</w:t>
            </w:r>
          </w:p>
        </w:tc>
        <w:tc>
          <w:tcPr>
            <w:tcW w:w="1557" w:type="dxa"/>
            <w:tcBorders>
              <w:top w:val="nil"/>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jc w:val="center"/>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0.413</w:t>
            </w:r>
          </w:p>
        </w:tc>
        <w:tc>
          <w:tcPr>
            <w:tcW w:w="1347" w:type="dxa"/>
            <w:tcBorders>
              <w:top w:val="nil"/>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jc w:val="center"/>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0.064</w:t>
            </w:r>
          </w:p>
        </w:tc>
        <w:tc>
          <w:tcPr>
            <w:tcW w:w="1834" w:type="dxa"/>
            <w:tcBorders>
              <w:top w:val="nil"/>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jc w:val="center"/>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1</w:t>
            </w:r>
          </w:p>
        </w:tc>
        <w:tc>
          <w:tcPr>
            <w:tcW w:w="1834" w:type="dxa"/>
            <w:tcBorders>
              <w:top w:val="nil"/>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jc w:val="center"/>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0.934</w:t>
            </w:r>
          </w:p>
        </w:tc>
        <w:tc>
          <w:tcPr>
            <w:tcW w:w="1486" w:type="dxa"/>
            <w:tcBorders>
              <w:top w:val="nil"/>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jc w:val="center"/>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0.771</w:t>
            </w:r>
          </w:p>
        </w:tc>
      </w:tr>
      <w:tr w:rsidR="008101E0" w:rsidRPr="007B6808" w:rsidTr="007B6808">
        <w:trPr>
          <w:trHeight w:val="290"/>
        </w:trPr>
        <w:tc>
          <w:tcPr>
            <w:tcW w:w="1406" w:type="dxa"/>
            <w:tcBorders>
              <w:top w:val="nil"/>
              <w:left w:val="single" w:sz="4" w:space="0" w:color="auto"/>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EPS</w:t>
            </w:r>
          </w:p>
        </w:tc>
        <w:tc>
          <w:tcPr>
            <w:tcW w:w="1557" w:type="dxa"/>
            <w:tcBorders>
              <w:top w:val="nil"/>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jc w:val="center"/>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0.489</w:t>
            </w:r>
          </w:p>
        </w:tc>
        <w:tc>
          <w:tcPr>
            <w:tcW w:w="1347" w:type="dxa"/>
            <w:tcBorders>
              <w:top w:val="nil"/>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jc w:val="center"/>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0.029</w:t>
            </w:r>
          </w:p>
        </w:tc>
        <w:tc>
          <w:tcPr>
            <w:tcW w:w="1834" w:type="dxa"/>
            <w:tcBorders>
              <w:top w:val="nil"/>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jc w:val="center"/>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1</w:t>
            </w:r>
          </w:p>
        </w:tc>
        <w:tc>
          <w:tcPr>
            <w:tcW w:w="1834" w:type="dxa"/>
            <w:tcBorders>
              <w:top w:val="nil"/>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jc w:val="center"/>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0.999</w:t>
            </w:r>
          </w:p>
        </w:tc>
        <w:tc>
          <w:tcPr>
            <w:tcW w:w="1486" w:type="dxa"/>
            <w:tcBorders>
              <w:top w:val="nil"/>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jc w:val="center"/>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1</w:t>
            </w:r>
          </w:p>
        </w:tc>
      </w:tr>
      <w:tr w:rsidR="008101E0" w:rsidRPr="007B6808" w:rsidTr="007B6808">
        <w:trPr>
          <w:trHeight w:val="290"/>
        </w:trPr>
        <w:tc>
          <w:tcPr>
            <w:tcW w:w="1406" w:type="dxa"/>
            <w:tcBorders>
              <w:top w:val="nil"/>
              <w:left w:val="single" w:sz="4" w:space="0" w:color="auto"/>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Dividend</w:t>
            </w:r>
          </w:p>
        </w:tc>
        <w:tc>
          <w:tcPr>
            <w:tcW w:w="1557" w:type="dxa"/>
            <w:tcBorders>
              <w:top w:val="nil"/>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jc w:val="center"/>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0</w:t>
            </w:r>
          </w:p>
        </w:tc>
        <w:tc>
          <w:tcPr>
            <w:tcW w:w="1347" w:type="dxa"/>
            <w:tcBorders>
              <w:top w:val="nil"/>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jc w:val="center"/>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0</w:t>
            </w:r>
          </w:p>
        </w:tc>
        <w:tc>
          <w:tcPr>
            <w:tcW w:w="1834" w:type="dxa"/>
            <w:tcBorders>
              <w:top w:val="nil"/>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jc w:val="center"/>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0</w:t>
            </w:r>
          </w:p>
        </w:tc>
        <w:tc>
          <w:tcPr>
            <w:tcW w:w="1834" w:type="dxa"/>
            <w:tcBorders>
              <w:top w:val="nil"/>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jc w:val="center"/>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0.975</w:t>
            </w:r>
          </w:p>
        </w:tc>
        <w:tc>
          <w:tcPr>
            <w:tcW w:w="1486" w:type="dxa"/>
            <w:tcBorders>
              <w:top w:val="nil"/>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jc w:val="center"/>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0</w:t>
            </w:r>
          </w:p>
        </w:tc>
      </w:tr>
      <w:tr w:rsidR="008101E0" w:rsidRPr="007B6808" w:rsidTr="007B6808">
        <w:trPr>
          <w:trHeight w:val="290"/>
        </w:trPr>
        <w:tc>
          <w:tcPr>
            <w:tcW w:w="1406" w:type="dxa"/>
            <w:tcBorders>
              <w:top w:val="nil"/>
              <w:left w:val="single" w:sz="4" w:space="0" w:color="auto"/>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Debt ratio</w:t>
            </w:r>
          </w:p>
        </w:tc>
        <w:tc>
          <w:tcPr>
            <w:tcW w:w="1557" w:type="dxa"/>
            <w:tcBorders>
              <w:top w:val="nil"/>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jc w:val="center"/>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0.009</w:t>
            </w:r>
          </w:p>
        </w:tc>
        <w:tc>
          <w:tcPr>
            <w:tcW w:w="1347" w:type="dxa"/>
            <w:tcBorders>
              <w:top w:val="nil"/>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jc w:val="center"/>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0.17</w:t>
            </w:r>
          </w:p>
        </w:tc>
        <w:tc>
          <w:tcPr>
            <w:tcW w:w="1834" w:type="dxa"/>
            <w:tcBorders>
              <w:top w:val="nil"/>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jc w:val="center"/>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0.01</w:t>
            </w:r>
          </w:p>
        </w:tc>
        <w:tc>
          <w:tcPr>
            <w:tcW w:w="1834" w:type="dxa"/>
            <w:tcBorders>
              <w:top w:val="nil"/>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jc w:val="center"/>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0.021</w:t>
            </w:r>
          </w:p>
        </w:tc>
        <w:tc>
          <w:tcPr>
            <w:tcW w:w="1486" w:type="dxa"/>
            <w:tcBorders>
              <w:top w:val="nil"/>
              <w:left w:val="nil"/>
              <w:bottom w:val="single" w:sz="4" w:space="0" w:color="auto"/>
              <w:right w:val="single" w:sz="4" w:space="0" w:color="auto"/>
            </w:tcBorders>
            <w:shd w:val="clear" w:color="auto" w:fill="auto"/>
            <w:noWrap/>
            <w:vAlign w:val="bottom"/>
            <w:hideMark/>
          </w:tcPr>
          <w:p w:rsidR="008101E0" w:rsidRPr="007B6808" w:rsidRDefault="008101E0" w:rsidP="00413A5A">
            <w:pPr>
              <w:spacing w:after="0" w:line="240" w:lineRule="auto"/>
              <w:jc w:val="center"/>
              <w:rPr>
                <w:rFonts w:ascii="Times New Roman" w:eastAsia="Times New Roman" w:hAnsi="Times New Roman" w:cs="Times New Roman"/>
                <w:color w:val="000000"/>
                <w:sz w:val="16"/>
                <w:szCs w:val="16"/>
              </w:rPr>
            </w:pPr>
            <w:r w:rsidRPr="007B6808">
              <w:rPr>
                <w:rFonts w:ascii="Times New Roman" w:eastAsia="Times New Roman" w:hAnsi="Times New Roman" w:cs="Times New Roman"/>
                <w:color w:val="000000"/>
                <w:sz w:val="16"/>
                <w:szCs w:val="16"/>
              </w:rPr>
              <w:t>1</w:t>
            </w:r>
          </w:p>
        </w:tc>
      </w:tr>
    </w:tbl>
    <w:p w:rsidR="008101E0" w:rsidRPr="007B6808" w:rsidRDefault="008101E0" w:rsidP="00B676A5">
      <w:pPr>
        <w:spacing w:after="120" w:line="240" w:lineRule="auto"/>
        <w:jc w:val="both"/>
        <w:rPr>
          <w:rFonts w:ascii="Times New Roman" w:hAnsi="Times New Roman" w:cs="Times New Roman"/>
          <w:sz w:val="16"/>
          <w:szCs w:val="16"/>
        </w:rPr>
      </w:pPr>
      <w:r w:rsidRPr="007B6808">
        <w:rPr>
          <w:rFonts w:ascii="Times New Roman" w:hAnsi="Times New Roman" w:cs="Times New Roman"/>
          <w:b/>
          <w:sz w:val="16"/>
          <w:szCs w:val="16"/>
        </w:rPr>
        <w:t>Source:</w:t>
      </w:r>
      <w:r w:rsidRPr="007B6808">
        <w:rPr>
          <w:rFonts w:ascii="Times New Roman" w:hAnsi="Times New Roman" w:cs="Times New Roman"/>
          <w:sz w:val="16"/>
          <w:szCs w:val="16"/>
        </w:rPr>
        <w:t xml:space="preserve"> Authors own compilation</w:t>
      </w:r>
    </w:p>
    <w:p w:rsidR="002F2B02" w:rsidRDefault="002F2B02" w:rsidP="00A776EA">
      <w:pPr>
        <w:spacing w:before="120" w:after="120" w:line="240" w:lineRule="auto"/>
        <w:jc w:val="both"/>
        <w:rPr>
          <w:rFonts w:ascii="Times New Roman" w:hAnsi="Times New Roman" w:cs="Times New Roman"/>
          <w:b/>
        </w:rPr>
      </w:pPr>
    </w:p>
    <w:p w:rsidR="00A776EA" w:rsidRPr="00A776EA" w:rsidRDefault="00A776EA" w:rsidP="00A776EA">
      <w:pPr>
        <w:spacing w:before="120" w:after="120" w:line="240" w:lineRule="auto"/>
        <w:jc w:val="both"/>
        <w:rPr>
          <w:rFonts w:ascii="Times New Roman" w:hAnsi="Times New Roman" w:cs="Times New Roman"/>
          <w:b/>
        </w:rPr>
      </w:pPr>
      <w:r w:rsidRPr="00A776EA">
        <w:rPr>
          <w:rFonts w:ascii="Times New Roman" w:hAnsi="Times New Roman" w:cs="Times New Roman"/>
          <w:b/>
        </w:rPr>
        <w:t>Conclusion</w:t>
      </w:r>
      <w:r w:rsidR="007B6808">
        <w:rPr>
          <w:rFonts w:ascii="Times New Roman" w:hAnsi="Times New Roman" w:cs="Times New Roman"/>
          <w:b/>
        </w:rPr>
        <w:t xml:space="preserve"> </w:t>
      </w:r>
      <w:r>
        <w:rPr>
          <w:rFonts w:ascii="Times New Roman" w:hAnsi="Times New Roman" w:cs="Times New Roman"/>
          <w:b/>
        </w:rPr>
        <w:t>&amp; Discussion</w:t>
      </w:r>
      <w:r w:rsidR="007B6808">
        <w:rPr>
          <w:rFonts w:ascii="Times New Roman" w:hAnsi="Times New Roman" w:cs="Times New Roman"/>
          <w:b/>
        </w:rPr>
        <w:t>:</w:t>
      </w:r>
    </w:p>
    <w:p w:rsidR="00A776EA" w:rsidRPr="007B6808" w:rsidRDefault="00A776EA" w:rsidP="007B6808">
      <w:pPr>
        <w:spacing w:before="120" w:after="120" w:line="276" w:lineRule="auto"/>
        <w:jc w:val="both"/>
        <w:rPr>
          <w:rFonts w:ascii="Times New Roman" w:hAnsi="Times New Roman" w:cs="Times New Roman"/>
          <w:sz w:val="24"/>
        </w:rPr>
      </w:pPr>
      <w:r w:rsidRPr="007B6808">
        <w:rPr>
          <w:rFonts w:ascii="Times New Roman" w:hAnsi="Times New Roman" w:cs="Times New Roman"/>
          <w:sz w:val="24"/>
        </w:rPr>
        <w:t xml:space="preserve">The data analysis of Saud Bahawan </w:t>
      </w:r>
      <w:r w:rsidR="008101E0" w:rsidRPr="007B6808">
        <w:rPr>
          <w:rFonts w:ascii="Times New Roman" w:hAnsi="Times New Roman" w:cs="Times New Roman"/>
          <w:sz w:val="24"/>
        </w:rPr>
        <w:t xml:space="preserve">shows that </w:t>
      </w:r>
      <w:r w:rsidRPr="007B6808">
        <w:rPr>
          <w:rFonts w:ascii="Times New Roman" w:hAnsi="Times New Roman" w:cs="Times New Roman"/>
          <w:sz w:val="24"/>
        </w:rPr>
        <w:t>Saud Bahwan</w:t>
      </w:r>
      <w:r w:rsidR="008664CE" w:rsidRPr="007B6808">
        <w:rPr>
          <w:rFonts w:ascii="Times New Roman" w:hAnsi="Times New Roman" w:cs="Times New Roman"/>
          <w:sz w:val="24"/>
        </w:rPr>
        <w:t xml:space="preserve"> </w:t>
      </w:r>
      <w:r w:rsidR="0005334B" w:rsidRPr="007B6808">
        <w:rPr>
          <w:rFonts w:ascii="Times New Roman" w:hAnsi="Times New Roman" w:cs="Times New Roman"/>
          <w:sz w:val="24"/>
        </w:rPr>
        <w:t>group is</w:t>
      </w:r>
      <w:r w:rsidRPr="007B6808">
        <w:rPr>
          <w:rFonts w:ascii="Times New Roman" w:hAnsi="Times New Roman" w:cs="Times New Roman"/>
          <w:sz w:val="24"/>
        </w:rPr>
        <w:t xml:space="preserve"> in tough competition with its other competitors. In this analysis we compare the Return on equity, net Assets ratio, Earning per share,</w:t>
      </w:r>
      <w:r w:rsidR="00B676A5" w:rsidRPr="007B6808">
        <w:rPr>
          <w:rFonts w:ascii="Times New Roman" w:hAnsi="Times New Roman" w:cs="Times New Roman"/>
          <w:sz w:val="24"/>
        </w:rPr>
        <w:t xml:space="preserve"> dividend ratio</w:t>
      </w:r>
      <w:r w:rsidR="008101E0" w:rsidRPr="007B6808">
        <w:rPr>
          <w:rFonts w:ascii="Times New Roman" w:hAnsi="Times New Roman" w:cs="Times New Roman"/>
          <w:sz w:val="24"/>
        </w:rPr>
        <w:t xml:space="preserve"> and </w:t>
      </w:r>
      <w:r w:rsidRPr="007B6808">
        <w:rPr>
          <w:rFonts w:ascii="Times New Roman" w:hAnsi="Times New Roman" w:cs="Times New Roman"/>
          <w:sz w:val="24"/>
        </w:rPr>
        <w:t xml:space="preserve">debt ratio. The data were time series from 2010 to 2014. The results </w:t>
      </w:r>
      <w:r w:rsidR="004D4B14" w:rsidRPr="007B6808">
        <w:rPr>
          <w:rFonts w:ascii="Times New Roman" w:hAnsi="Times New Roman" w:cs="Times New Roman"/>
          <w:sz w:val="24"/>
        </w:rPr>
        <w:t>showed</w:t>
      </w:r>
      <w:r w:rsidRPr="007B6808">
        <w:rPr>
          <w:rFonts w:ascii="Times New Roman" w:hAnsi="Times New Roman" w:cs="Times New Roman"/>
          <w:sz w:val="24"/>
        </w:rPr>
        <w:t xml:space="preserve"> that, there is no significance different between </w:t>
      </w:r>
      <w:r w:rsidR="008664CE" w:rsidRPr="007B6808">
        <w:rPr>
          <w:rFonts w:ascii="Times New Roman" w:hAnsi="Times New Roman" w:cs="Times New Roman"/>
          <w:sz w:val="24"/>
        </w:rPr>
        <w:t>Return</w:t>
      </w:r>
      <w:r w:rsidRPr="007B6808">
        <w:rPr>
          <w:rFonts w:ascii="Times New Roman" w:hAnsi="Times New Roman" w:cs="Times New Roman"/>
          <w:sz w:val="24"/>
        </w:rPr>
        <w:t xml:space="preserve"> on equity of Saud Bahawan and other companies. If we just consider the difference of mean in Return on equity of all companies, it was found that</w:t>
      </w:r>
      <w:r w:rsidR="008626ED" w:rsidRPr="007B6808">
        <w:rPr>
          <w:rFonts w:ascii="Times New Roman" w:hAnsi="Times New Roman" w:cs="Times New Roman"/>
          <w:sz w:val="24"/>
        </w:rPr>
        <w:t xml:space="preserve"> the Saud B</w:t>
      </w:r>
      <w:r w:rsidR="008101E0" w:rsidRPr="007B6808">
        <w:rPr>
          <w:rFonts w:ascii="Times New Roman" w:hAnsi="Times New Roman" w:cs="Times New Roman"/>
          <w:sz w:val="24"/>
        </w:rPr>
        <w:t>a</w:t>
      </w:r>
      <w:r w:rsidR="008626ED" w:rsidRPr="007B6808">
        <w:rPr>
          <w:rFonts w:ascii="Times New Roman" w:hAnsi="Times New Roman" w:cs="Times New Roman"/>
          <w:sz w:val="24"/>
        </w:rPr>
        <w:t>ha</w:t>
      </w:r>
      <w:r w:rsidR="008101E0" w:rsidRPr="007B6808">
        <w:rPr>
          <w:rFonts w:ascii="Times New Roman" w:hAnsi="Times New Roman" w:cs="Times New Roman"/>
          <w:sz w:val="24"/>
        </w:rPr>
        <w:t xml:space="preserve">wan group profitability is greater than of its </w:t>
      </w:r>
      <w:r w:rsidR="008626ED" w:rsidRPr="007B6808">
        <w:rPr>
          <w:rFonts w:ascii="Times New Roman" w:hAnsi="Times New Roman" w:cs="Times New Roman"/>
          <w:sz w:val="24"/>
        </w:rPr>
        <w:t xml:space="preserve">competitor. </w:t>
      </w:r>
      <w:r w:rsidRPr="007B6808">
        <w:rPr>
          <w:rFonts w:ascii="Times New Roman" w:hAnsi="Times New Roman" w:cs="Times New Roman"/>
          <w:sz w:val="24"/>
        </w:rPr>
        <w:t xml:space="preserve">In net assets ratio, we also could not find any difference, all the variables performing in the same way. The </w:t>
      </w:r>
      <w:r w:rsidR="008664CE" w:rsidRPr="007B6808">
        <w:rPr>
          <w:rFonts w:ascii="Times New Roman" w:hAnsi="Times New Roman" w:cs="Times New Roman"/>
          <w:sz w:val="24"/>
        </w:rPr>
        <w:t>earnings</w:t>
      </w:r>
      <w:r w:rsidRPr="007B6808">
        <w:rPr>
          <w:rFonts w:ascii="Times New Roman" w:hAnsi="Times New Roman" w:cs="Times New Roman"/>
          <w:sz w:val="24"/>
        </w:rPr>
        <w:t xml:space="preserve"> per share </w:t>
      </w:r>
      <w:r w:rsidR="008626ED" w:rsidRPr="007B6808">
        <w:rPr>
          <w:rFonts w:ascii="Times New Roman" w:hAnsi="Times New Roman" w:cs="Times New Roman"/>
          <w:sz w:val="24"/>
        </w:rPr>
        <w:t xml:space="preserve">also </w:t>
      </w:r>
      <w:r w:rsidR="008664CE" w:rsidRPr="007B6808">
        <w:rPr>
          <w:rFonts w:ascii="Times New Roman" w:hAnsi="Times New Roman" w:cs="Times New Roman"/>
          <w:sz w:val="24"/>
        </w:rPr>
        <w:t>show</w:t>
      </w:r>
      <w:r w:rsidR="00FC3B06" w:rsidRPr="007B6808">
        <w:rPr>
          <w:rFonts w:ascii="Times New Roman" w:hAnsi="Times New Roman" w:cs="Times New Roman"/>
          <w:sz w:val="24"/>
        </w:rPr>
        <w:t xml:space="preserve"> that there is no significant </w:t>
      </w:r>
      <w:r w:rsidR="008626ED" w:rsidRPr="007B6808">
        <w:rPr>
          <w:rFonts w:ascii="Times New Roman" w:hAnsi="Times New Roman" w:cs="Times New Roman"/>
          <w:sz w:val="24"/>
        </w:rPr>
        <w:t>difference between Saud</w:t>
      </w:r>
      <w:r w:rsidRPr="007B6808">
        <w:rPr>
          <w:rFonts w:ascii="Times New Roman" w:hAnsi="Times New Roman" w:cs="Times New Roman"/>
          <w:sz w:val="24"/>
        </w:rPr>
        <w:t xml:space="preserve"> Bahawan </w:t>
      </w:r>
      <w:r w:rsidR="008626ED" w:rsidRPr="007B6808">
        <w:rPr>
          <w:rFonts w:ascii="Times New Roman" w:hAnsi="Times New Roman" w:cs="Times New Roman"/>
          <w:sz w:val="24"/>
        </w:rPr>
        <w:t xml:space="preserve">and selected group of </w:t>
      </w:r>
      <w:r w:rsidRPr="007B6808">
        <w:rPr>
          <w:rFonts w:ascii="Times New Roman" w:hAnsi="Times New Roman" w:cs="Times New Roman"/>
          <w:sz w:val="24"/>
        </w:rPr>
        <w:t>companies.</w:t>
      </w:r>
      <w:r w:rsidR="008664CE" w:rsidRPr="007B6808">
        <w:rPr>
          <w:rFonts w:ascii="Times New Roman" w:hAnsi="Times New Roman" w:cs="Times New Roman"/>
          <w:sz w:val="24"/>
        </w:rPr>
        <w:t xml:space="preserve"> </w:t>
      </w:r>
      <w:r w:rsidR="00A07371" w:rsidRPr="007B6808">
        <w:rPr>
          <w:rFonts w:ascii="Times New Roman" w:hAnsi="Times New Roman" w:cs="Times New Roman"/>
          <w:sz w:val="24"/>
        </w:rPr>
        <w:t xml:space="preserve">Thus the study reveals that the </w:t>
      </w:r>
      <w:r w:rsidR="008664CE" w:rsidRPr="007B6808">
        <w:rPr>
          <w:rFonts w:ascii="Times New Roman" w:hAnsi="Times New Roman" w:cs="Times New Roman"/>
          <w:sz w:val="24"/>
        </w:rPr>
        <w:t>company chosen for the study was</w:t>
      </w:r>
      <w:r w:rsidR="00A07371" w:rsidRPr="007B6808">
        <w:rPr>
          <w:rFonts w:ascii="Times New Roman" w:hAnsi="Times New Roman" w:cs="Times New Roman"/>
          <w:sz w:val="24"/>
        </w:rPr>
        <w:t xml:space="preserve"> no better than that of the Saud Bahawan group in all the parameters taken for the study.</w:t>
      </w:r>
    </w:p>
    <w:p w:rsidR="00A776EA" w:rsidRPr="00A776EA" w:rsidRDefault="00A776EA" w:rsidP="00A776EA">
      <w:pPr>
        <w:spacing w:before="120" w:after="120" w:line="240" w:lineRule="auto"/>
        <w:jc w:val="both"/>
        <w:rPr>
          <w:rFonts w:ascii="Times New Roman" w:hAnsi="Times New Roman" w:cs="Times New Roman"/>
        </w:rPr>
      </w:pPr>
    </w:p>
    <w:p w:rsidR="002F2B02" w:rsidRDefault="002F2B02" w:rsidP="00A870E9">
      <w:pPr>
        <w:spacing w:after="0" w:line="240" w:lineRule="exact"/>
        <w:jc w:val="both"/>
        <w:rPr>
          <w:rFonts w:ascii="Times New Roman" w:hAnsi="Times New Roman" w:cs="Times New Roman"/>
          <w:sz w:val="16"/>
          <w:szCs w:val="16"/>
        </w:rPr>
      </w:pPr>
    </w:p>
    <w:p w:rsidR="00FE553E" w:rsidRDefault="00FE553E" w:rsidP="00A870E9">
      <w:pPr>
        <w:spacing w:after="0" w:line="240" w:lineRule="exact"/>
        <w:jc w:val="both"/>
        <w:rPr>
          <w:rFonts w:ascii="Times New Roman" w:hAnsi="Times New Roman" w:cs="Times New Roman"/>
          <w:sz w:val="16"/>
          <w:szCs w:val="16"/>
        </w:rPr>
      </w:pPr>
    </w:p>
    <w:p w:rsidR="00FE553E" w:rsidRDefault="00FE553E" w:rsidP="00A870E9">
      <w:pPr>
        <w:spacing w:after="0" w:line="240" w:lineRule="exact"/>
        <w:jc w:val="both"/>
        <w:rPr>
          <w:rFonts w:ascii="Times New Roman" w:hAnsi="Times New Roman" w:cs="Times New Roman"/>
          <w:sz w:val="16"/>
          <w:szCs w:val="16"/>
        </w:rPr>
      </w:pPr>
    </w:p>
    <w:p w:rsidR="00571C1D" w:rsidRPr="00EA5967" w:rsidRDefault="00DB20E4" w:rsidP="00571C1D">
      <w:pPr>
        <w:pStyle w:val="Heading1"/>
        <w:rPr>
          <w:sz w:val="24"/>
          <w:szCs w:val="16"/>
        </w:rPr>
      </w:pPr>
      <w:r>
        <w:rPr>
          <w:caps w:val="0"/>
          <w:sz w:val="24"/>
          <w:szCs w:val="16"/>
        </w:rPr>
        <w:lastRenderedPageBreak/>
        <w:t xml:space="preserve">References: </w:t>
      </w:r>
    </w:p>
    <w:p w:rsidR="00571C1D" w:rsidRDefault="00571C1D" w:rsidP="00AE2A98">
      <w:pPr>
        <w:spacing w:after="0" w:line="240" w:lineRule="auto"/>
        <w:jc w:val="both"/>
        <w:rPr>
          <w:rFonts w:ascii="Times New Roman" w:hAnsi="Times New Roman" w:cs="Times New Roman"/>
          <w:color w:val="222222"/>
          <w:sz w:val="24"/>
          <w:szCs w:val="20"/>
          <w:shd w:val="clear" w:color="auto" w:fill="FFFFFF"/>
        </w:rPr>
      </w:pPr>
      <w:r w:rsidRPr="00EA5967">
        <w:rPr>
          <w:rFonts w:ascii="Times New Roman" w:hAnsi="Times New Roman" w:cs="Times New Roman"/>
          <w:color w:val="222222"/>
          <w:sz w:val="24"/>
          <w:szCs w:val="20"/>
          <w:shd w:val="clear" w:color="auto" w:fill="FFFFFF"/>
        </w:rPr>
        <w:t xml:space="preserve">Al-Saidi, M., &amp; Al-Shammari, B. A. (2015). Ownership concentration, ownership composition and the performance of the Kuwaiti listed non-financial </w:t>
      </w:r>
      <w:r w:rsidR="00D20512" w:rsidRPr="00EA5967">
        <w:rPr>
          <w:rFonts w:ascii="Times New Roman" w:hAnsi="Times New Roman" w:cs="Times New Roman"/>
          <w:color w:val="222222"/>
          <w:sz w:val="24"/>
          <w:szCs w:val="20"/>
          <w:shd w:val="clear" w:color="auto" w:fill="FFFFFF"/>
        </w:rPr>
        <w:t>firms.</w:t>
      </w:r>
      <w:r w:rsidR="00D20512" w:rsidRPr="00EA5967">
        <w:rPr>
          <w:rFonts w:ascii="Times New Roman" w:hAnsi="Times New Roman" w:cs="Times New Roman"/>
          <w:i/>
          <w:iCs/>
          <w:color w:val="222222"/>
          <w:sz w:val="24"/>
          <w:szCs w:val="20"/>
          <w:shd w:val="clear" w:color="auto" w:fill="FFFFFF"/>
        </w:rPr>
        <w:t xml:space="preserve"> International</w:t>
      </w:r>
      <w:r w:rsidRPr="00EA5967">
        <w:rPr>
          <w:rFonts w:ascii="Times New Roman" w:hAnsi="Times New Roman" w:cs="Times New Roman"/>
          <w:i/>
          <w:iCs/>
          <w:color w:val="222222"/>
          <w:sz w:val="24"/>
          <w:szCs w:val="20"/>
          <w:shd w:val="clear" w:color="auto" w:fill="FFFFFF"/>
        </w:rPr>
        <w:t xml:space="preserve"> Journal of Commerce and Management</w:t>
      </w:r>
      <w:r w:rsidRPr="00EA5967">
        <w:rPr>
          <w:rFonts w:ascii="Times New Roman" w:hAnsi="Times New Roman" w:cs="Times New Roman"/>
          <w:color w:val="222222"/>
          <w:sz w:val="24"/>
          <w:szCs w:val="20"/>
          <w:shd w:val="clear" w:color="auto" w:fill="FFFFFF"/>
        </w:rPr>
        <w:t>,</w:t>
      </w:r>
      <w:r w:rsidRPr="00EA5967">
        <w:rPr>
          <w:rStyle w:val="apple-converted-space"/>
          <w:rFonts w:ascii="Times New Roman" w:hAnsi="Times New Roman" w:cs="Times New Roman"/>
          <w:color w:val="222222"/>
          <w:sz w:val="24"/>
          <w:szCs w:val="20"/>
          <w:shd w:val="clear" w:color="auto" w:fill="FFFFFF"/>
        </w:rPr>
        <w:t> </w:t>
      </w:r>
      <w:r w:rsidRPr="00EA5967">
        <w:rPr>
          <w:rFonts w:ascii="Times New Roman" w:hAnsi="Times New Roman" w:cs="Times New Roman"/>
          <w:i/>
          <w:iCs/>
          <w:color w:val="222222"/>
          <w:sz w:val="24"/>
          <w:szCs w:val="20"/>
          <w:shd w:val="clear" w:color="auto" w:fill="FFFFFF"/>
        </w:rPr>
        <w:t>25</w:t>
      </w:r>
      <w:r w:rsidRPr="00EA5967">
        <w:rPr>
          <w:rFonts w:ascii="Times New Roman" w:hAnsi="Times New Roman" w:cs="Times New Roman"/>
          <w:color w:val="222222"/>
          <w:sz w:val="24"/>
          <w:szCs w:val="20"/>
          <w:shd w:val="clear" w:color="auto" w:fill="FFFFFF"/>
        </w:rPr>
        <w:t>(1).</w:t>
      </w:r>
    </w:p>
    <w:p w:rsidR="00D20512" w:rsidRPr="00D20512" w:rsidRDefault="00D20512" w:rsidP="00AE2A98">
      <w:pPr>
        <w:spacing w:after="0" w:line="240" w:lineRule="auto"/>
        <w:jc w:val="both"/>
        <w:rPr>
          <w:rFonts w:ascii="Times New Roman" w:hAnsi="Times New Roman" w:cs="Times New Roman"/>
          <w:color w:val="222222"/>
          <w:sz w:val="20"/>
          <w:szCs w:val="20"/>
          <w:shd w:val="clear" w:color="auto" w:fill="FFFFFF"/>
        </w:rPr>
      </w:pPr>
    </w:p>
    <w:p w:rsidR="007C63BB" w:rsidRDefault="007C63BB" w:rsidP="00AE2A98">
      <w:pPr>
        <w:spacing w:after="0" w:line="240" w:lineRule="auto"/>
        <w:jc w:val="both"/>
        <w:rPr>
          <w:rFonts w:ascii="Times New Roman" w:hAnsi="Times New Roman" w:cs="Times New Roman"/>
          <w:color w:val="222222"/>
          <w:sz w:val="24"/>
          <w:szCs w:val="20"/>
          <w:shd w:val="clear" w:color="auto" w:fill="FFFFFF"/>
        </w:rPr>
      </w:pPr>
      <w:r w:rsidRPr="00EA5967">
        <w:rPr>
          <w:rFonts w:ascii="Times New Roman" w:hAnsi="Times New Roman" w:cs="Times New Roman"/>
          <w:color w:val="222222"/>
          <w:sz w:val="24"/>
          <w:szCs w:val="20"/>
          <w:shd w:val="clear" w:color="auto" w:fill="FFFFFF"/>
        </w:rPr>
        <w:t>Almajali, A. Y., Alamro, S. A., &amp; Al-Soub, Y. Z. (2012). Factors affecting the financial performance of Jordanian innce companies listed at Amman Stock Exchange.</w:t>
      </w:r>
      <w:r w:rsidRPr="00EA5967">
        <w:rPr>
          <w:rStyle w:val="apple-converted-space"/>
          <w:rFonts w:ascii="Times New Roman" w:hAnsi="Times New Roman" w:cs="Times New Roman"/>
          <w:color w:val="222222"/>
          <w:sz w:val="24"/>
          <w:szCs w:val="20"/>
          <w:shd w:val="clear" w:color="auto" w:fill="FFFFFF"/>
        </w:rPr>
        <w:t> </w:t>
      </w:r>
      <w:r w:rsidRPr="00EA5967">
        <w:rPr>
          <w:rFonts w:ascii="Times New Roman" w:hAnsi="Times New Roman" w:cs="Times New Roman"/>
          <w:i/>
          <w:iCs/>
          <w:color w:val="222222"/>
          <w:sz w:val="24"/>
          <w:szCs w:val="20"/>
          <w:shd w:val="clear" w:color="auto" w:fill="FFFFFF"/>
        </w:rPr>
        <w:t>Journal of Management research</w:t>
      </w:r>
      <w:r w:rsidRPr="00EA5967">
        <w:rPr>
          <w:rFonts w:ascii="Times New Roman" w:hAnsi="Times New Roman" w:cs="Times New Roman"/>
          <w:color w:val="222222"/>
          <w:sz w:val="24"/>
          <w:szCs w:val="20"/>
          <w:shd w:val="clear" w:color="auto" w:fill="FFFFFF"/>
        </w:rPr>
        <w:t>,</w:t>
      </w:r>
      <w:r w:rsidRPr="00EA5967">
        <w:rPr>
          <w:rStyle w:val="apple-converted-space"/>
          <w:rFonts w:ascii="Times New Roman" w:hAnsi="Times New Roman" w:cs="Times New Roman"/>
          <w:color w:val="222222"/>
          <w:sz w:val="24"/>
          <w:szCs w:val="20"/>
          <w:shd w:val="clear" w:color="auto" w:fill="FFFFFF"/>
        </w:rPr>
        <w:t> </w:t>
      </w:r>
      <w:r w:rsidRPr="00EA5967">
        <w:rPr>
          <w:rFonts w:ascii="Times New Roman" w:hAnsi="Times New Roman" w:cs="Times New Roman"/>
          <w:i/>
          <w:iCs/>
          <w:color w:val="222222"/>
          <w:sz w:val="24"/>
          <w:szCs w:val="20"/>
          <w:shd w:val="clear" w:color="auto" w:fill="FFFFFF"/>
        </w:rPr>
        <w:t>4</w:t>
      </w:r>
      <w:r w:rsidRPr="00EA5967">
        <w:rPr>
          <w:rFonts w:ascii="Times New Roman" w:hAnsi="Times New Roman" w:cs="Times New Roman"/>
          <w:color w:val="222222"/>
          <w:sz w:val="24"/>
          <w:szCs w:val="20"/>
          <w:shd w:val="clear" w:color="auto" w:fill="FFFFFF"/>
        </w:rPr>
        <w:t>(2), 266-289.</w:t>
      </w:r>
    </w:p>
    <w:p w:rsidR="00D20512" w:rsidRPr="00D20512" w:rsidRDefault="00D20512" w:rsidP="00AE2A98">
      <w:pPr>
        <w:spacing w:after="0" w:line="240" w:lineRule="auto"/>
        <w:jc w:val="both"/>
        <w:rPr>
          <w:rFonts w:ascii="Times New Roman" w:hAnsi="Times New Roman" w:cs="Times New Roman"/>
          <w:color w:val="222222"/>
          <w:sz w:val="20"/>
          <w:szCs w:val="20"/>
          <w:shd w:val="clear" w:color="auto" w:fill="FFFFFF"/>
        </w:rPr>
      </w:pPr>
    </w:p>
    <w:p w:rsidR="00571C1D" w:rsidRDefault="00571C1D" w:rsidP="00AE2A98">
      <w:pPr>
        <w:spacing w:after="0" w:line="240" w:lineRule="auto"/>
        <w:jc w:val="both"/>
        <w:rPr>
          <w:rFonts w:ascii="Times New Roman" w:hAnsi="Times New Roman" w:cs="Times New Roman"/>
          <w:color w:val="222222"/>
          <w:sz w:val="24"/>
          <w:szCs w:val="20"/>
          <w:shd w:val="clear" w:color="auto" w:fill="FFFFFF"/>
        </w:rPr>
      </w:pPr>
      <w:r w:rsidRPr="00EA5967">
        <w:rPr>
          <w:rFonts w:ascii="Times New Roman" w:hAnsi="Times New Roman" w:cs="Times New Roman"/>
          <w:color w:val="222222"/>
          <w:sz w:val="24"/>
          <w:szCs w:val="20"/>
          <w:shd w:val="clear" w:color="auto" w:fill="FFFFFF"/>
        </w:rPr>
        <w:t>Chu, L., &amp; Li, D. (2015). Research on College Financial Budget Performance Evaluation. In</w:t>
      </w:r>
      <w:r w:rsidRPr="00EA5967">
        <w:rPr>
          <w:rStyle w:val="apple-converted-space"/>
          <w:rFonts w:ascii="Times New Roman" w:hAnsi="Times New Roman" w:cs="Times New Roman"/>
          <w:color w:val="222222"/>
          <w:sz w:val="24"/>
          <w:szCs w:val="20"/>
          <w:shd w:val="clear" w:color="auto" w:fill="FFFFFF"/>
        </w:rPr>
        <w:t> </w:t>
      </w:r>
      <w:r w:rsidRPr="00EA5967">
        <w:rPr>
          <w:rFonts w:ascii="Times New Roman" w:hAnsi="Times New Roman" w:cs="Times New Roman"/>
          <w:i/>
          <w:iCs/>
          <w:color w:val="222222"/>
          <w:sz w:val="24"/>
          <w:szCs w:val="20"/>
          <w:shd w:val="clear" w:color="auto" w:fill="FFFFFF"/>
        </w:rPr>
        <w:t>LISS 2013</w:t>
      </w:r>
      <w:r w:rsidRPr="00EA5967">
        <w:rPr>
          <w:rStyle w:val="apple-converted-space"/>
          <w:rFonts w:ascii="Times New Roman" w:hAnsi="Times New Roman" w:cs="Times New Roman"/>
          <w:color w:val="222222"/>
          <w:sz w:val="24"/>
          <w:szCs w:val="20"/>
          <w:shd w:val="clear" w:color="auto" w:fill="FFFFFF"/>
        </w:rPr>
        <w:t> </w:t>
      </w:r>
      <w:r w:rsidRPr="00EA5967">
        <w:rPr>
          <w:rFonts w:ascii="Times New Roman" w:hAnsi="Times New Roman" w:cs="Times New Roman"/>
          <w:color w:val="222222"/>
          <w:sz w:val="24"/>
          <w:szCs w:val="20"/>
          <w:shd w:val="clear" w:color="auto" w:fill="FFFFFF"/>
        </w:rPr>
        <w:t>(pp. 673-678). Springer Berlin Heidelberg.</w:t>
      </w:r>
    </w:p>
    <w:p w:rsidR="00D20512" w:rsidRPr="00D20512" w:rsidRDefault="00D20512" w:rsidP="00AE2A98">
      <w:pPr>
        <w:spacing w:after="0" w:line="240" w:lineRule="auto"/>
        <w:jc w:val="both"/>
        <w:rPr>
          <w:rFonts w:ascii="Times New Roman" w:hAnsi="Times New Roman" w:cs="Times New Roman"/>
          <w:color w:val="222222"/>
          <w:sz w:val="20"/>
          <w:szCs w:val="20"/>
          <w:shd w:val="clear" w:color="auto" w:fill="FFFFFF"/>
        </w:rPr>
      </w:pPr>
    </w:p>
    <w:p w:rsidR="007C63BB" w:rsidRDefault="007C63BB" w:rsidP="00AE2A98">
      <w:pPr>
        <w:spacing w:after="0" w:line="240" w:lineRule="auto"/>
        <w:jc w:val="both"/>
        <w:rPr>
          <w:rFonts w:ascii="Times New Roman" w:hAnsi="Times New Roman" w:cs="Times New Roman"/>
          <w:color w:val="222222"/>
          <w:sz w:val="24"/>
          <w:szCs w:val="20"/>
          <w:shd w:val="clear" w:color="auto" w:fill="FFFFFF"/>
        </w:rPr>
      </w:pPr>
      <w:r w:rsidRPr="00EA5967">
        <w:rPr>
          <w:rFonts w:ascii="Times New Roman" w:hAnsi="Times New Roman" w:cs="Times New Roman"/>
          <w:color w:val="222222"/>
          <w:sz w:val="24"/>
          <w:szCs w:val="20"/>
          <w:shd w:val="clear" w:color="auto" w:fill="FFFFFF"/>
        </w:rPr>
        <w:t>Murthy, M. K. (2010). "Customer services and satisfaction–A study with reference to customers of bank muscat." Asia Pacific Journal of Research in Business Management 1(3): 1-24.</w:t>
      </w:r>
    </w:p>
    <w:p w:rsidR="00D20512" w:rsidRPr="00D20512" w:rsidRDefault="00D20512" w:rsidP="00AE2A98">
      <w:pPr>
        <w:spacing w:after="0" w:line="240" w:lineRule="auto"/>
        <w:jc w:val="both"/>
        <w:rPr>
          <w:rFonts w:ascii="Times New Roman" w:hAnsi="Times New Roman" w:cs="Times New Roman"/>
          <w:color w:val="222222"/>
          <w:sz w:val="20"/>
          <w:szCs w:val="20"/>
          <w:shd w:val="clear" w:color="auto" w:fill="FFFFFF"/>
        </w:rPr>
      </w:pPr>
    </w:p>
    <w:p w:rsidR="007C63BB" w:rsidRDefault="007C63BB" w:rsidP="00AE2A98">
      <w:pPr>
        <w:spacing w:after="0" w:line="240" w:lineRule="auto"/>
        <w:jc w:val="both"/>
        <w:rPr>
          <w:rFonts w:ascii="Times New Roman" w:hAnsi="Times New Roman" w:cs="Times New Roman"/>
          <w:color w:val="222222"/>
          <w:sz w:val="24"/>
          <w:szCs w:val="20"/>
          <w:shd w:val="clear" w:color="auto" w:fill="FFFFFF"/>
        </w:rPr>
      </w:pPr>
      <w:r w:rsidRPr="00EA5967">
        <w:rPr>
          <w:rFonts w:ascii="Times New Roman" w:hAnsi="Times New Roman" w:cs="Times New Roman"/>
          <w:color w:val="222222"/>
          <w:sz w:val="24"/>
          <w:szCs w:val="20"/>
          <w:shd w:val="clear" w:color="auto" w:fill="FFFFFF"/>
        </w:rPr>
        <w:t>Muscat, B. (2014). Investors Presentation. Oman, Bank Muscat Pvt Ltd: 30.</w:t>
      </w:r>
    </w:p>
    <w:p w:rsidR="00D20512" w:rsidRPr="00D20512" w:rsidRDefault="00D20512" w:rsidP="00AE2A98">
      <w:pPr>
        <w:spacing w:after="0" w:line="240" w:lineRule="auto"/>
        <w:jc w:val="both"/>
        <w:rPr>
          <w:rFonts w:ascii="Times New Roman" w:hAnsi="Times New Roman" w:cs="Times New Roman"/>
          <w:color w:val="222222"/>
          <w:sz w:val="20"/>
          <w:szCs w:val="20"/>
          <w:shd w:val="clear" w:color="auto" w:fill="FFFFFF"/>
        </w:rPr>
      </w:pPr>
    </w:p>
    <w:p w:rsidR="007C63BB" w:rsidRDefault="007C63BB" w:rsidP="00AE2A98">
      <w:pPr>
        <w:spacing w:after="0" w:line="240" w:lineRule="auto"/>
        <w:jc w:val="both"/>
        <w:rPr>
          <w:rFonts w:ascii="Times New Roman" w:hAnsi="Times New Roman" w:cs="Times New Roman"/>
          <w:color w:val="222222"/>
          <w:sz w:val="24"/>
          <w:szCs w:val="20"/>
          <w:shd w:val="clear" w:color="auto" w:fill="FFFFFF"/>
        </w:rPr>
      </w:pPr>
      <w:r w:rsidRPr="00EA5967">
        <w:rPr>
          <w:rFonts w:ascii="Times New Roman" w:hAnsi="Times New Roman" w:cs="Times New Roman"/>
          <w:color w:val="222222"/>
          <w:sz w:val="24"/>
          <w:szCs w:val="20"/>
          <w:shd w:val="clear" w:color="auto" w:fill="FFFFFF"/>
        </w:rPr>
        <w:t>Muscat, B. (2015). al Mazyona RO 450,000 monthly draw set to enliven Salalah Festival Times of Oman. Muscat: 1.</w:t>
      </w:r>
    </w:p>
    <w:p w:rsidR="00D20512" w:rsidRPr="00D20512" w:rsidRDefault="00D20512" w:rsidP="00AE2A98">
      <w:pPr>
        <w:spacing w:after="0" w:line="240" w:lineRule="auto"/>
        <w:jc w:val="both"/>
        <w:rPr>
          <w:rFonts w:ascii="Times New Roman" w:hAnsi="Times New Roman" w:cs="Times New Roman"/>
          <w:color w:val="222222"/>
          <w:sz w:val="20"/>
          <w:szCs w:val="20"/>
          <w:shd w:val="clear" w:color="auto" w:fill="FFFFFF"/>
        </w:rPr>
      </w:pPr>
    </w:p>
    <w:p w:rsidR="007C63BB" w:rsidRDefault="007C63BB" w:rsidP="00AE2A98">
      <w:pPr>
        <w:spacing w:after="0" w:line="240" w:lineRule="auto"/>
        <w:jc w:val="both"/>
        <w:rPr>
          <w:rFonts w:ascii="Times New Roman" w:hAnsi="Times New Roman" w:cs="Times New Roman"/>
          <w:color w:val="222222"/>
          <w:sz w:val="24"/>
          <w:szCs w:val="20"/>
          <w:shd w:val="clear" w:color="auto" w:fill="FFFFFF"/>
        </w:rPr>
      </w:pPr>
      <w:r w:rsidRPr="00EA5967">
        <w:rPr>
          <w:rFonts w:ascii="Times New Roman" w:hAnsi="Times New Roman" w:cs="Times New Roman"/>
          <w:color w:val="222222"/>
          <w:sz w:val="24"/>
          <w:szCs w:val="20"/>
          <w:shd w:val="clear" w:color="auto" w:fill="FFFFFF"/>
        </w:rPr>
        <w:t>Slam, M. M. (2003). "Development and performance of domestic and foreign banks in GCC countries</w:t>
      </w:r>
      <w:r w:rsidR="00D20512" w:rsidRPr="00EA5967">
        <w:rPr>
          <w:rFonts w:ascii="Times New Roman" w:hAnsi="Times New Roman" w:cs="Times New Roman"/>
          <w:color w:val="222222"/>
          <w:sz w:val="24"/>
          <w:szCs w:val="20"/>
          <w:shd w:val="clear" w:color="auto" w:fill="FFFFFF"/>
        </w:rPr>
        <w:t>.</w:t>
      </w:r>
      <w:r w:rsidR="00D20512">
        <w:rPr>
          <w:rFonts w:ascii="Times New Roman" w:hAnsi="Times New Roman" w:cs="Times New Roman"/>
          <w:color w:val="222222"/>
          <w:sz w:val="24"/>
          <w:szCs w:val="20"/>
          <w:shd w:val="clear" w:color="auto" w:fill="FFFFFF"/>
        </w:rPr>
        <w:t>”</w:t>
      </w:r>
      <w:r w:rsidRPr="00EA5967">
        <w:rPr>
          <w:rFonts w:ascii="Times New Roman" w:hAnsi="Times New Roman" w:cs="Times New Roman"/>
          <w:color w:val="222222"/>
          <w:sz w:val="24"/>
          <w:szCs w:val="20"/>
          <w:shd w:val="clear" w:color="auto" w:fill="FFFFFF"/>
        </w:rPr>
        <w:t xml:space="preserve"> Managerial Finance 29(2/3): 42-72.</w:t>
      </w:r>
    </w:p>
    <w:p w:rsidR="00D20512" w:rsidRPr="00D20512" w:rsidRDefault="00D20512" w:rsidP="00AE2A98">
      <w:pPr>
        <w:spacing w:after="0" w:line="240" w:lineRule="auto"/>
        <w:jc w:val="both"/>
        <w:rPr>
          <w:rFonts w:ascii="Times New Roman" w:hAnsi="Times New Roman" w:cs="Times New Roman"/>
          <w:color w:val="222222"/>
          <w:sz w:val="20"/>
          <w:szCs w:val="20"/>
          <w:shd w:val="clear" w:color="auto" w:fill="FFFFFF"/>
        </w:rPr>
      </w:pPr>
    </w:p>
    <w:p w:rsidR="007C63BB" w:rsidRDefault="007C63BB" w:rsidP="00AE2A98">
      <w:pPr>
        <w:spacing w:after="0" w:line="240" w:lineRule="auto"/>
        <w:jc w:val="both"/>
        <w:rPr>
          <w:rFonts w:ascii="Times New Roman" w:hAnsi="Times New Roman" w:cs="Times New Roman"/>
          <w:color w:val="222222"/>
          <w:sz w:val="24"/>
          <w:szCs w:val="20"/>
          <w:shd w:val="clear" w:color="auto" w:fill="FFFFFF"/>
        </w:rPr>
      </w:pPr>
      <w:r w:rsidRPr="00EA5967">
        <w:rPr>
          <w:rFonts w:ascii="Times New Roman" w:hAnsi="Times New Roman" w:cs="Times New Roman"/>
          <w:color w:val="222222"/>
          <w:sz w:val="24"/>
          <w:szCs w:val="20"/>
          <w:shd w:val="clear" w:color="auto" w:fill="FFFFFF"/>
        </w:rPr>
        <w:t>Soumadi, M. M., &amp; Hayajneh, O. S. (2012). Capital Structure and corporate performance empirical study on the public Jordanian Shareholdings firms listed in the Amman Stock Market.</w:t>
      </w:r>
      <w:r w:rsidRPr="00EA5967">
        <w:rPr>
          <w:rStyle w:val="apple-converted-space"/>
          <w:rFonts w:ascii="Times New Roman" w:hAnsi="Times New Roman" w:cs="Times New Roman"/>
          <w:color w:val="222222"/>
          <w:sz w:val="24"/>
          <w:szCs w:val="20"/>
          <w:shd w:val="clear" w:color="auto" w:fill="FFFFFF"/>
        </w:rPr>
        <w:t> </w:t>
      </w:r>
      <w:r w:rsidRPr="00EA5967">
        <w:rPr>
          <w:rFonts w:ascii="Times New Roman" w:hAnsi="Times New Roman" w:cs="Times New Roman"/>
          <w:i/>
          <w:iCs/>
          <w:color w:val="222222"/>
          <w:sz w:val="24"/>
          <w:szCs w:val="20"/>
          <w:shd w:val="clear" w:color="auto" w:fill="FFFFFF"/>
        </w:rPr>
        <w:t>European Scientific Journal</w:t>
      </w:r>
      <w:r w:rsidRPr="00EA5967">
        <w:rPr>
          <w:rFonts w:ascii="Times New Roman" w:hAnsi="Times New Roman" w:cs="Times New Roman"/>
          <w:color w:val="222222"/>
          <w:sz w:val="24"/>
          <w:szCs w:val="20"/>
          <w:shd w:val="clear" w:color="auto" w:fill="FFFFFF"/>
        </w:rPr>
        <w:t>,</w:t>
      </w:r>
      <w:r w:rsidRPr="00EA5967">
        <w:rPr>
          <w:rStyle w:val="apple-converted-space"/>
          <w:rFonts w:ascii="Times New Roman" w:hAnsi="Times New Roman" w:cs="Times New Roman"/>
          <w:color w:val="222222"/>
          <w:sz w:val="24"/>
          <w:szCs w:val="20"/>
          <w:shd w:val="clear" w:color="auto" w:fill="FFFFFF"/>
        </w:rPr>
        <w:t> </w:t>
      </w:r>
      <w:r w:rsidRPr="00EA5967">
        <w:rPr>
          <w:rFonts w:ascii="Times New Roman" w:hAnsi="Times New Roman" w:cs="Times New Roman"/>
          <w:i/>
          <w:iCs/>
          <w:color w:val="222222"/>
          <w:sz w:val="24"/>
          <w:szCs w:val="20"/>
          <w:shd w:val="clear" w:color="auto" w:fill="FFFFFF"/>
        </w:rPr>
        <w:t>8</w:t>
      </w:r>
      <w:r w:rsidRPr="00EA5967">
        <w:rPr>
          <w:rFonts w:ascii="Times New Roman" w:hAnsi="Times New Roman" w:cs="Times New Roman"/>
          <w:color w:val="222222"/>
          <w:sz w:val="24"/>
          <w:szCs w:val="20"/>
          <w:shd w:val="clear" w:color="auto" w:fill="FFFFFF"/>
        </w:rPr>
        <w:t>(22).</w:t>
      </w:r>
    </w:p>
    <w:p w:rsidR="00D20512" w:rsidRPr="00D20512" w:rsidRDefault="00D20512" w:rsidP="00AE2A98">
      <w:pPr>
        <w:spacing w:after="0" w:line="240" w:lineRule="auto"/>
        <w:jc w:val="both"/>
        <w:rPr>
          <w:rFonts w:ascii="Times New Roman" w:hAnsi="Times New Roman" w:cs="Times New Roman"/>
          <w:color w:val="222222"/>
          <w:sz w:val="16"/>
          <w:szCs w:val="20"/>
          <w:shd w:val="clear" w:color="auto" w:fill="FFFFFF"/>
        </w:rPr>
      </w:pPr>
    </w:p>
    <w:p w:rsidR="00571C1D" w:rsidRPr="00EA5967" w:rsidRDefault="00571C1D" w:rsidP="00AE2A98">
      <w:pPr>
        <w:spacing w:after="0" w:line="240" w:lineRule="auto"/>
        <w:jc w:val="both"/>
        <w:rPr>
          <w:rFonts w:ascii="Times New Roman" w:hAnsi="Times New Roman" w:cs="Times New Roman"/>
          <w:color w:val="222222"/>
          <w:sz w:val="24"/>
          <w:szCs w:val="20"/>
          <w:shd w:val="clear" w:color="auto" w:fill="FFFFFF"/>
        </w:rPr>
      </w:pPr>
      <w:r w:rsidRPr="00EA5967">
        <w:rPr>
          <w:rFonts w:ascii="Times New Roman" w:hAnsi="Times New Roman" w:cs="Times New Roman"/>
          <w:color w:val="222222"/>
          <w:sz w:val="24"/>
          <w:szCs w:val="20"/>
          <w:shd w:val="clear" w:color="auto" w:fill="FFFFFF"/>
        </w:rPr>
        <w:t>Tebini, H., M’Zali, B., Lang, P., &amp; Méndez-Rodrı́guez, P. (2015). Social Performance and Financial Performance: A Controversial Relationship. In</w:t>
      </w:r>
      <w:r w:rsidRPr="00EA5967">
        <w:rPr>
          <w:rFonts w:ascii="Times New Roman" w:hAnsi="Times New Roman" w:cs="Times New Roman"/>
          <w:i/>
          <w:iCs/>
          <w:color w:val="222222"/>
          <w:sz w:val="24"/>
          <w:szCs w:val="20"/>
          <w:shd w:val="clear" w:color="auto" w:fill="FFFFFF"/>
        </w:rPr>
        <w:t>Socially Responsible Investment</w:t>
      </w:r>
      <w:r w:rsidRPr="00EA5967">
        <w:rPr>
          <w:rStyle w:val="apple-converted-space"/>
          <w:rFonts w:ascii="Times New Roman" w:hAnsi="Times New Roman" w:cs="Times New Roman"/>
          <w:color w:val="222222"/>
          <w:sz w:val="24"/>
          <w:szCs w:val="20"/>
          <w:shd w:val="clear" w:color="auto" w:fill="FFFFFF"/>
        </w:rPr>
        <w:t> </w:t>
      </w:r>
      <w:r w:rsidRPr="00EA5967">
        <w:rPr>
          <w:rFonts w:ascii="Times New Roman" w:hAnsi="Times New Roman" w:cs="Times New Roman"/>
          <w:color w:val="222222"/>
          <w:sz w:val="24"/>
          <w:szCs w:val="20"/>
          <w:shd w:val="clear" w:color="auto" w:fill="FFFFFF"/>
        </w:rPr>
        <w:t>(pp. 53-73). Springer International Publishing.</w:t>
      </w:r>
    </w:p>
    <w:p w:rsidR="00AE2A98" w:rsidRPr="00EA5967" w:rsidRDefault="00AE2A98" w:rsidP="00AE2A98">
      <w:pPr>
        <w:widowControl w:val="0"/>
        <w:overflowPunct w:val="0"/>
        <w:autoSpaceDE w:val="0"/>
        <w:autoSpaceDN w:val="0"/>
        <w:adjustRightInd w:val="0"/>
        <w:spacing w:after="0" w:line="240" w:lineRule="auto"/>
        <w:ind w:left="360" w:hanging="360"/>
        <w:jc w:val="both"/>
        <w:rPr>
          <w:rFonts w:ascii="Times New Roman" w:hAnsi="Times New Roman" w:cs="Times New Roman"/>
          <w:sz w:val="24"/>
          <w:szCs w:val="20"/>
        </w:rPr>
      </w:pPr>
      <w:r w:rsidRPr="00EA5967">
        <w:rPr>
          <w:rFonts w:ascii="Times New Roman" w:hAnsi="Times New Roman" w:cs="Times New Roman"/>
          <w:sz w:val="24"/>
          <w:szCs w:val="20"/>
        </w:rPr>
        <w:t>Waddock, S. A., &amp; Graves, S. B. 1997. The corporate social pe</w:t>
      </w:r>
      <w:r w:rsidR="00D20512">
        <w:rPr>
          <w:rFonts w:ascii="Times New Roman" w:hAnsi="Times New Roman" w:cs="Times New Roman"/>
          <w:sz w:val="24"/>
          <w:szCs w:val="20"/>
        </w:rPr>
        <w:t xml:space="preserve">rformance–financial performance </w:t>
      </w:r>
      <w:r w:rsidRPr="00EA5967">
        <w:rPr>
          <w:rFonts w:ascii="Times New Roman" w:hAnsi="Times New Roman" w:cs="Times New Roman"/>
          <w:sz w:val="24"/>
          <w:szCs w:val="20"/>
        </w:rPr>
        <w:t>link. Strategic Management Journal, 18: 303–319.</w:t>
      </w:r>
    </w:p>
    <w:p w:rsidR="00AE2A98" w:rsidRPr="00EA5967" w:rsidRDefault="00AE2A98" w:rsidP="00AE2A98">
      <w:pPr>
        <w:widowControl w:val="0"/>
        <w:autoSpaceDE w:val="0"/>
        <w:autoSpaceDN w:val="0"/>
        <w:adjustRightInd w:val="0"/>
        <w:spacing w:after="0" w:line="240" w:lineRule="auto"/>
        <w:jc w:val="both"/>
        <w:rPr>
          <w:rFonts w:ascii="Times New Roman" w:hAnsi="Times New Roman" w:cs="Times New Roman"/>
          <w:sz w:val="24"/>
          <w:szCs w:val="20"/>
        </w:rPr>
      </w:pPr>
    </w:p>
    <w:p w:rsidR="00AE2A98" w:rsidRPr="00EA5967" w:rsidRDefault="00AE2A98" w:rsidP="00AE2A98">
      <w:pPr>
        <w:widowControl w:val="0"/>
        <w:overflowPunct w:val="0"/>
        <w:autoSpaceDE w:val="0"/>
        <w:autoSpaceDN w:val="0"/>
        <w:adjustRightInd w:val="0"/>
        <w:spacing w:after="0" w:line="240" w:lineRule="auto"/>
        <w:ind w:left="360" w:hanging="360"/>
        <w:jc w:val="both"/>
        <w:rPr>
          <w:rFonts w:ascii="Times New Roman" w:hAnsi="Times New Roman" w:cs="Times New Roman"/>
          <w:sz w:val="24"/>
          <w:szCs w:val="20"/>
        </w:rPr>
      </w:pPr>
      <w:r w:rsidRPr="00EA5967">
        <w:rPr>
          <w:rFonts w:ascii="Times New Roman" w:hAnsi="Times New Roman" w:cs="Times New Roman"/>
          <w:sz w:val="24"/>
          <w:szCs w:val="20"/>
        </w:rPr>
        <w:t>Wagner, T., Lutz, R. J., &amp; Weitz, B. A. 2009. Corporate hypocrisy: Overcoming the threat of inconsistent corporate social responsibility perceptions. Journal of Marketing, 73: 77–91.</w:t>
      </w:r>
    </w:p>
    <w:p w:rsidR="00AE2A98" w:rsidRPr="00D20512" w:rsidRDefault="00AE2A98" w:rsidP="00AE2A98">
      <w:pPr>
        <w:spacing w:after="0" w:line="240" w:lineRule="auto"/>
        <w:jc w:val="both"/>
        <w:rPr>
          <w:rFonts w:ascii="Times New Roman" w:hAnsi="Times New Roman" w:cs="Times New Roman"/>
          <w:color w:val="222222"/>
          <w:sz w:val="20"/>
          <w:szCs w:val="20"/>
          <w:shd w:val="clear" w:color="auto" w:fill="FFFFFF"/>
        </w:rPr>
      </w:pPr>
    </w:p>
    <w:p w:rsidR="00AE2A98" w:rsidRPr="00EA5967" w:rsidRDefault="00AE2A98" w:rsidP="00AE2A98">
      <w:pPr>
        <w:widowControl w:val="0"/>
        <w:autoSpaceDE w:val="0"/>
        <w:autoSpaceDN w:val="0"/>
        <w:adjustRightInd w:val="0"/>
        <w:spacing w:after="0" w:line="240" w:lineRule="auto"/>
        <w:jc w:val="both"/>
        <w:rPr>
          <w:rFonts w:ascii="Times New Roman" w:hAnsi="Times New Roman" w:cs="Times New Roman"/>
          <w:sz w:val="24"/>
          <w:szCs w:val="20"/>
        </w:rPr>
      </w:pPr>
      <w:r w:rsidRPr="00EA5967">
        <w:rPr>
          <w:rFonts w:ascii="Times New Roman" w:hAnsi="Times New Roman" w:cs="Times New Roman"/>
          <w:sz w:val="24"/>
          <w:szCs w:val="20"/>
        </w:rPr>
        <w:t>Zadek, S. 2004. The path to corporate responsibility. Harvard Business Review, 82(12): 159–172.</w:t>
      </w:r>
    </w:p>
    <w:p w:rsidR="00AE2A98" w:rsidRPr="00D20512" w:rsidRDefault="00AE2A98" w:rsidP="00AE2A98">
      <w:pPr>
        <w:widowControl w:val="0"/>
        <w:autoSpaceDE w:val="0"/>
        <w:autoSpaceDN w:val="0"/>
        <w:adjustRightInd w:val="0"/>
        <w:spacing w:after="0" w:line="240" w:lineRule="auto"/>
        <w:jc w:val="both"/>
        <w:rPr>
          <w:rFonts w:ascii="Times New Roman" w:hAnsi="Times New Roman" w:cs="Times New Roman"/>
          <w:sz w:val="20"/>
          <w:szCs w:val="20"/>
        </w:rPr>
      </w:pPr>
    </w:p>
    <w:p w:rsidR="00AE2A98" w:rsidRPr="00EA5967" w:rsidRDefault="00AE2A98" w:rsidP="00AE2A98">
      <w:pPr>
        <w:widowControl w:val="0"/>
        <w:overflowPunct w:val="0"/>
        <w:autoSpaceDE w:val="0"/>
        <w:autoSpaceDN w:val="0"/>
        <w:adjustRightInd w:val="0"/>
        <w:spacing w:after="0" w:line="240" w:lineRule="auto"/>
        <w:ind w:left="360" w:hanging="358"/>
        <w:jc w:val="both"/>
        <w:rPr>
          <w:rFonts w:ascii="Times New Roman" w:hAnsi="Times New Roman" w:cs="Times New Roman"/>
          <w:sz w:val="24"/>
          <w:szCs w:val="20"/>
        </w:rPr>
      </w:pPr>
      <w:r w:rsidRPr="00EA5967">
        <w:rPr>
          <w:rFonts w:ascii="Times New Roman" w:hAnsi="Times New Roman" w:cs="Times New Roman"/>
          <w:sz w:val="24"/>
          <w:szCs w:val="20"/>
        </w:rPr>
        <w:t xml:space="preserve">Zuckerman, E. W. 2000. Focusing the corporate product: Securities analysts </w:t>
      </w:r>
      <w:r w:rsidR="00D20512">
        <w:rPr>
          <w:rFonts w:ascii="Times New Roman" w:hAnsi="Times New Roman" w:cs="Times New Roman"/>
          <w:sz w:val="24"/>
          <w:szCs w:val="20"/>
        </w:rPr>
        <w:t xml:space="preserve">and de </w:t>
      </w:r>
      <w:r w:rsidRPr="00EA5967">
        <w:rPr>
          <w:rFonts w:ascii="Times New Roman" w:hAnsi="Times New Roman" w:cs="Times New Roman"/>
          <w:sz w:val="24"/>
          <w:szCs w:val="20"/>
        </w:rPr>
        <w:t>diversification. Administrative Science Quarterly, 45: 591-619.</w:t>
      </w:r>
    </w:p>
    <w:p w:rsidR="00AE2A98" w:rsidRPr="00EA5967" w:rsidRDefault="00AE2A98" w:rsidP="00AE2A98">
      <w:pPr>
        <w:spacing w:after="0" w:line="240" w:lineRule="auto"/>
        <w:jc w:val="both"/>
        <w:rPr>
          <w:rFonts w:ascii="Times New Roman" w:hAnsi="Times New Roman" w:cs="Times New Roman"/>
          <w:sz w:val="24"/>
          <w:szCs w:val="20"/>
        </w:rPr>
      </w:pPr>
    </w:p>
    <w:p w:rsidR="00AE2A98" w:rsidRPr="00AE2A98" w:rsidRDefault="00AE2A98" w:rsidP="00AE2A98">
      <w:pPr>
        <w:rPr>
          <w:rFonts w:ascii="Times New Roman" w:hAnsi="Times New Roman" w:cs="Times New Roman"/>
          <w:sz w:val="20"/>
          <w:szCs w:val="20"/>
        </w:rPr>
      </w:pPr>
    </w:p>
    <w:p w:rsidR="00AE2A98" w:rsidRPr="00AE2A98" w:rsidRDefault="00AE2A98" w:rsidP="00AE2A98">
      <w:pPr>
        <w:rPr>
          <w:rFonts w:ascii="Times New Roman" w:hAnsi="Times New Roman" w:cs="Times New Roman"/>
          <w:sz w:val="20"/>
          <w:szCs w:val="20"/>
        </w:rPr>
      </w:pPr>
    </w:p>
    <w:p w:rsidR="00AE2A98" w:rsidRPr="00AE2A98" w:rsidRDefault="00AE2A98" w:rsidP="00AE2A98">
      <w:pPr>
        <w:rPr>
          <w:rFonts w:ascii="Times New Roman" w:hAnsi="Times New Roman" w:cs="Times New Roman"/>
          <w:sz w:val="20"/>
          <w:szCs w:val="20"/>
        </w:rPr>
      </w:pPr>
    </w:p>
    <w:p w:rsidR="00571C1D" w:rsidRPr="00AE2A98" w:rsidRDefault="00571C1D" w:rsidP="001413E6">
      <w:pPr>
        <w:rPr>
          <w:rFonts w:ascii="Times New Roman" w:hAnsi="Times New Roman" w:cs="Times New Roman"/>
          <w:sz w:val="20"/>
          <w:szCs w:val="20"/>
        </w:rPr>
      </w:pPr>
      <w:bookmarkStart w:id="0" w:name="_GoBack"/>
      <w:bookmarkEnd w:id="0"/>
    </w:p>
    <w:sectPr w:rsidR="00571C1D" w:rsidRPr="00AE2A98" w:rsidSect="004052E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788" w:rsidRDefault="00832788" w:rsidP="00A870E9">
      <w:pPr>
        <w:spacing w:after="0" w:line="240" w:lineRule="auto"/>
      </w:pPr>
      <w:r>
        <w:separator/>
      </w:r>
    </w:p>
  </w:endnote>
  <w:endnote w:type="continuationSeparator" w:id="1">
    <w:p w:rsidR="00832788" w:rsidRDefault="00832788" w:rsidP="00A870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788" w:rsidRDefault="00832788" w:rsidP="00A870E9">
      <w:pPr>
        <w:spacing w:after="0" w:line="240" w:lineRule="auto"/>
      </w:pPr>
      <w:r>
        <w:separator/>
      </w:r>
    </w:p>
  </w:footnote>
  <w:footnote w:type="continuationSeparator" w:id="1">
    <w:p w:rsidR="00832788" w:rsidRDefault="00832788" w:rsidP="00A870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applyBreakingRules/>
  </w:compat>
  <w:rsids>
    <w:rsidRoot w:val="00861E73"/>
    <w:rsid w:val="00016A68"/>
    <w:rsid w:val="000231A8"/>
    <w:rsid w:val="0003348A"/>
    <w:rsid w:val="00036493"/>
    <w:rsid w:val="00044105"/>
    <w:rsid w:val="0005334B"/>
    <w:rsid w:val="00053B25"/>
    <w:rsid w:val="001413E6"/>
    <w:rsid w:val="00174EA6"/>
    <w:rsid w:val="001A4D8F"/>
    <w:rsid w:val="001D5178"/>
    <w:rsid w:val="00222267"/>
    <w:rsid w:val="0027542F"/>
    <w:rsid w:val="00285592"/>
    <w:rsid w:val="002A111C"/>
    <w:rsid w:val="002A30DD"/>
    <w:rsid w:val="002D40C6"/>
    <w:rsid w:val="002E430E"/>
    <w:rsid w:val="002F04C0"/>
    <w:rsid w:val="002F2B02"/>
    <w:rsid w:val="0034633C"/>
    <w:rsid w:val="00370FD7"/>
    <w:rsid w:val="003B6FE6"/>
    <w:rsid w:val="004052E4"/>
    <w:rsid w:val="00436A42"/>
    <w:rsid w:val="004D4B14"/>
    <w:rsid w:val="00503492"/>
    <w:rsid w:val="00505AD0"/>
    <w:rsid w:val="00540500"/>
    <w:rsid w:val="00551B3C"/>
    <w:rsid w:val="00571C1D"/>
    <w:rsid w:val="00632D00"/>
    <w:rsid w:val="0068474D"/>
    <w:rsid w:val="00692FEF"/>
    <w:rsid w:val="006A6D03"/>
    <w:rsid w:val="006D5E0F"/>
    <w:rsid w:val="007B6808"/>
    <w:rsid w:val="007C63BB"/>
    <w:rsid w:val="007C6B94"/>
    <w:rsid w:val="007E64A2"/>
    <w:rsid w:val="008101E0"/>
    <w:rsid w:val="00810A8B"/>
    <w:rsid w:val="00832788"/>
    <w:rsid w:val="00861E73"/>
    <w:rsid w:val="008626ED"/>
    <w:rsid w:val="008664CE"/>
    <w:rsid w:val="008864AE"/>
    <w:rsid w:val="008C6A84"/>
    <w:rsid w:val="008F7B35"/>
    <w:rsid w:val="00917506"/>
    <w:rsid w:val="009678B5"/>
    <w:rsid w:val="009E0261"/>
    <w:rsid w:val="00A07371"/>
    <w:rsid w:val="00A2233A"/>
    <w:rsid w:val="00A776EA"/>
    <w:rsid w:val="00A870E9"/>
    <w:rsid w:val="00AE2A98"/>
    <w:rsid w:val="00AE3545"/>
    <w:rsid w:val="00AE706B"/>
    <w:rsid w:val="00B20C9C"/>
    <w:rsid w:val="00B53879"/>
    <w:rsid w:val="00B676A5"/>
    <w:rsid w:val="00B70D36"/>
    <w:rsid w:val="00BB0FF0"/>
    <w:rsid w:val="00BB6E87"/>
    <w:rsid w:val="00C70F56"/>
    <w:rsid w:val="00C9153E"/>
    <w:rsid w:val="00CA0118"/>
    <w:rsid w:val="00D20512"/>
    <w:rsid w:val="00DA5053"/>
    <w:rsid w:val="00DB20E4"/>
    <w:rsid w:val="00E13929"/>
    <w:rsid w:val="00E3207C"/>
    <w:rsid w:val="00E67848"/>
    <w:rsid w:val="00EA5967"/>
    <w:rsid w:val="00F07798"/>
    <w:rsid w:val="00F479E1"/>
    <w:rsid w:val="00F9267B"/>
    <w:rsid w:val="00FA3E4B"/>
    <w:rsid w:val="00FC3B06"/>
    <w:rsid w:val="00FE553E"/>
    <w:rsid w:val="00FE68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2E4"/>
  </w:style>
  <w:style w:type="paragraph" w:styleId="Heading1">
    <w:name w:val="heading 1"/>
    <w:basedOn w:val="Normal"/>
    <w:link w:val="Heading1Char"/>
    <w:uiPriority w:val="9"/>
    <w:qFormat/>
    <w:rsid w:val="00571C1D"/>
    <w:pPr>
      <w:spacing w:before="100" w:beforeAutospacing="1" w:after="100" w:afterAutospacing="1" w:line="240" w:lineRule="auto"/>
      <w:outlineLvl w:val="0"/>
    </w:pPr>
    <w:rPr>
      <w:rFonts w:ascii="Times New Roman" w:eastAsia="Times New Roman" w:hAnsi="Times New Roman" w:cs="Times New Roman"/>
      <w:b/>
      <w:bCs/>
      <w:caps/>
      <w:kern w:val="36"/>
      <w:sz w:val="2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0E9"/>
  </w:style>
  <w:style w:type="paragraph" w:styleId="Footer">
    <w:name w:val="footer"/>
    <w:basedOn w:val="Normal"/>
    <w:link w:val="FooterChar"/>
    <w:uiPriority w:val="99"/>
    <w:unhideWhenUsed/>
    <w:rsid w:val="00A87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0E9"/>
  </w:style>
  <w:style w:type="character" w:customStyle="1" w:styleId="Heading1Char">
    <w:name w:val="Heading 1 Char"/>
    <w:basedOn w:val="DefaultParagraphFont"/>
    <w:link w:val="Heading1"/>
    <w:uiPriority w:val="9"/>
    <w:rsid w:val="00571C1D"/>
    <w:rPr>
      <w:rFonts w:ascii="Times New Roman" w:eastAsia="Times New Roman" w:hAnsi="Times New Roman" w:cs="Times New Roman"/>
      <w:b/>
      <w:bCs/>
      <w:caps/>
      <w:kern w:val="36"/>
      <w:sz w:val="28"/>
      <w:szCs w:val="48"/>
    </w:rPr>
  </w:style>
  <w:style w:type="character" w:customStyle="1" w:styleId="apple-converted-space">
    <w:name w:val="apple-converted-space"/>
    <w:basedOn w:val="DefaultParagraphFont"/>
    <w:rsid w:val="00571C1D"/>
  </w:style>
  <w:style w:type="character" w:styleId="Hyperlink">
    <w:name w:val="Hyperlink"/>
    <w:basedOn w:val="DefaultParagraphFont"/>
    <w:uiPriority w:val="99"/>
    <w:unhideWhenUsed/>
    <w:rsid w:val="00016A6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ushadamu@gmail.com" TargetMode="External"/><Relationship Id="rId3" Type="http://schemas.openxmlformats.org/officeDocument/2006/relationships/settings" Target="settings.xml"/><Relationship Id="rId7" Type="http://schemas.openxmlformats.org/officeDocument/2006/relationships/hyperlink" Target="mailto:mdshabbir@du.edu.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52890-B702-4C1B-A8DA-DFFA82494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2188</Words>
  <Characters>12474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SEU</Company>
  <LinksUpToDate>false</LinksUpToDate>
  <CharactersWithSpaces>14633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Naushad</dc:creator>
  <cp:lastModifiedBy>mdshabbir</cp:lastModifiedBy>
  <cp:revision>3</cp:revision>
  <dcterms:created xsi:type="dcterms:W3CDTF">2016-06-01T14:17:00Z</dcterms:created>
  <dcterms:modified xsi:type="dcterms:W3CDTF">2016-06-06T08:23:00Z</dcterms:modified>
</cp:coreProperties>
</file>