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0AA" w:rsidRPr="00E560AA" w:rsidRDefault="00B64FA9" w:rsidP="00E560AA">
      <w:pPr>
        <w:autoSpaceDE w:val="0"/>
        <w:autoSpaceDN w:val="0"/>
        <w:adjustRightInd w:val="0"/>
        <w:spacing w:line="360" w:lineRule="auto"/>
        <w:jc w:val="center"/>
        <w:rPr>
          <w:rFonts w:eastAsiaTheme="minorHAnsi"/>
          <w:b/>
          <w:bCs/>
          <w:iCs/>
        </w:rPr>
      </w:pPr>
      <w:r>
        <w:rPr>
          <w:rFonts w:eastAsiaTheme="minorHAnsi"/>
          <w:b/>
          <w:bCs/>
          <w:iCs/>
        </w:rPr>
        <w:t xml:space="preserve">Assessing the </w:t>
      </w:r>
      <w:r w:rsidR="00FC3D12">
        <w:rPr>
          <w:rFonts w:eastAsiaTheme="minorHAnsi"/>
          <w:b/>
          <w:bCs/>
          <w:iCs/>
        </w:rPr>
        <w:t xml:space="preserve">Role of </w:t>
      </w:r>
      <w:r w:rsidR="00736425">
        <w:rPr>
          <w:rFonts w:eastAsiaTheme="minorHAnsi"/>
          <w:b/>
          <w:bCs/>
          <w:iCs/>
        </w:rPr>
        <w:t>CSR Practices of C</w:t>
      </w:r>
      <w:r w:rsidR="00FC6252">
        <w:rPr>
          <w:rFonts w:eastAsiaTheme="minorHAnsi"/>
          <w:b/>
          <w:bCs/>
          <w:iCs/>
        </w:rPr>
        <w:t xml:space="preserve">ommercial </w:t>
      </w:r>
      <w:r w:rsidR="00736425">
        <w:rPr>
          <w:rFonts w:eastAsiaTheme="minorHAnsi"/>
          <w:b/>
          <w:bCs/>
          <w:iCs/>
        </w:rPr>
        <w:t>B</w:t>
      </w:r>
      <w:r w:rsidR="00FC6252">
        <w:rPr>
          <w:rFonts w:eastAsiaTheme="minorHAnsi"/>
          <w:b/>
          <w:bCs/>
          <w:iCs/>
        </w:rPr>
        <w:t>anks</w:t>
      </w:r>
      <w:r w:rsidR="00B40938">
        <w:rPr>
          <w:rFonts w:eastAsiaTheme="minorHAnsi"/>
          <w:b/>
          <w:bCs/>
          <w:iCs/>
        </w:rPr>
        <w:t xml:space="preserve"> in </w:t>
      </w:r>
      <w:r w:rsidR="00FC3D12">
        <w:rPr>
          <w:rFonts w:eastAsiaTheme="minorHAnsi"/>
          <w:b/>
          <w:bCs/>
          <w:iCs/>
        </w:rPr>
        <w:t xml:space="preserve">enhancing </w:t>
      </w:r>
      <w:r w:rsidR="00736425" w:rsidRPr="00F00B6E">
        <w:rPr>
          <w:rFonts w:eastAsiaTheme="minorHAnsi"/>
          <w:b/>
          <w:bCs/>
          <w:iCs/>
        </w:rPr>
        <w:t>Financial Inclusion</w:t>
      </w:r>
      <w:r w:rsidR="00C11579">
        <w:rPr>
          <w:rFonts w:eastAsiaTheme="minorHAnsi"/>
          <w:b/>
          <w:bCs/>
          <w:iCs/>
        </w:rPr>
        <w:t xml:space="preserve">: A Study on </w:t>
      </w:r>
      <w:r>
        <w:rPr>
          <w:rFonts w:eastAsiaTheme="minorHAnsi"/>
          <w:b/>
          <w:bCs/>
          <w:iCs/>
        </w:rPr>
        <w:t xml:space="preserve">Banking Sector </w:t>
      </w:r>
      <w:r w:rsidR="00E560AA">
        <w:rPr>
          <w:rFonts w:eastAsiaTheme="minorHAnsi"/>
          <w:b/>
          <w:bCs/>
          <w:iCs/>
        </w:rPr>
        <w:t>in Bangladesh</w:t>
      </w:r>
    </w:p>
    <w:p w:rsidR="000C47C7" w:rsidRPr="009E69F0" w:rsidRDefault="00FC6252" w:rsidP="009E69F0">
      <w:pPr>
        <w:autoSpaceDE w:val="0"/>
        <w:autoSpaceDN w:val="0"/>
        <w:adjustRightInd w:val="0"/>
        <w:spacing w:line="360" w:lineRule="auto"/>
        <w:rPr>
          <w:rFonts w:eastAsiaTheme="minorHAnsi"/>
          <w:b/>
          <w:bCs/>
          <w:iCs/>
        </w:rPr>
      </w:pPr>
      <w:r>
        <w:rPr>
          <w:rFonts w:eastAsiaTheme="minorHAnsi"/>
          <w:b/>
          <w:bCs/>
          <w:iCs/>
        </w:rPr>
        <w:t>Abstract</w:t>
      </w:r>
      <w:r w:rsidR="0029241D">
        <w:rPr>
          <w:rFonts w:eastAsiaTheme="minorHAnsi"/>
          <w:b/>
          <w:bCs/>
          <w:iCs/>
        </w:rPr>
        <w:t>:</w:t>
      </w:r>
    </w:p>
    <w:p w:rsidR="00B77F35" w:rsidRPr="004B0AF7" w:rsidRDefault="00B77F35" w:rsidP="004B0AF7">
      <w:pPr>
        <w:autoSpaceDE w:val="0"/>
        <w:autoSpaceDN w:val="0"/>
        <w:adjustRightInd w:val="0"/>
        <w:spacing w:line="276" w:lineRule="auto"/>
        <w:jc w:val="both"/>
        <w:rPr>
          <w:rFonts w:eastAsiaTheme="minorHAnsi"/>
          <w:lang w:val="ms-MY"/>
        </w:rPr>
      </w:pPr>
      <w:r w:rsidRPr="00F00B6E">
        <w:t xml:space="preserve">Financial inclusion is </w:t>
      </w:r>
      <w:r>
        <w:t xml:space="preserve">currently </w:t>
      </w:r>
      <w:r w:rsidRPr="00F00B6E">
        <w:t>a high priority policy goal for developing and developed countries in order to ensure stable and equitable economic growth</w:t>
      </w:r>
      <w:r>
        <w:t>.</w:t>
      </w:r>
      <w:r>
        <w:rPr>
          <w:rFonts w:eastAsiaTheme="minorHAnsi"/>
          <w:szCs w:val="23"/>
        </w:rPr>
        <w:t xml:space="preserve">This study aims to assess the role of CSR initiatives of commercial banks in enhancing financial inclusion in Bangladesh.The study also focuses on </w:t>
      </w:r>
      <w:r>
        <w:t>the benefits of financial inclusion and overall f</w:t>
      </w:r>
      <w:r w:rsidRPr="009632E8">
        <w:t>inan</w:t>
      </w:r>
      <w:r>
        <w:t>cial inclusion scenario of banking sector in the country.</w:t>
      </w:r>
      <w:r w:rsidR="00D05735" w:rsidRPr="00AC5972">
        <w:t>The study is based on secondary data</w:t>
      </w:r>
      <w:r w:rsidR="00D05735">
        <w:t xml:space="preserve"> extracted from the </w:t>
      </w:r>
      <w:r w:rsidR="00D05735" w:rsidRPr="00AC5972">
        <w:t>selected commercial banks</w:t>
      </w:r>
      <w:r w:rsidR="00D05735">
        <w:t xml:space="preserve"> for the period of 2008- 2012</w:t>
      </w:r>
      <w:r w:rsidR="00D05735" w:rsidRPr="00AC5972">
        <w:t>.</w:t>
      </w:r>
      <w:r w:rsidR="003F532E">
        <w:t xml:space="preserve">The analyses show </w:t>
      </w:r>
      <w:r w:rsidR="003F532E">
        <w:rPr>
          <w:rFonts w:eastAsiaTheme="minorHAnsi"/>
          <w:szCs w:val="23"/>
        </w:rPr>
        <w:t xml:space="preserve">that </w:t>
      </w:r>
      <w:r w:rsidR="003F532E">
        <w:t xml:space="preserve">geographic as well as </w:t>
      </w:r>
      <w:r w:rsidR="003F532E" w:rsidRPr="00F00B6E">
        <w:t>demographic penetration</w:t>
      </w:r>
      <w:r w:rsidR="003F532E">
        <w:t xml:space="preserve"> of banking services in the country has increased significantly during the last five years. Consequently, f</w:t>
      </w:r>
      <w:r w:rsidR="003F532E" w:rsidRPr="00F00B6E">
        <w:t xml:space="preserve">inancial inclusion </w:t>
      </w:r>
      <w:r w:rsidR="003F532E">
        <w:t xml:space="preserve">in terms of </w:t>
      </w:r>
      <w:r w:rsidR="003F532E" w:rsidRPr="00F00B6E">
        <w:t xml:space="preserve">total population </w:t>
      </w:r>
      <w:r w:rsidR="003F532E">
        <w:t xml:space="preserve">has </w:t>
      </w:r>
      <w:r w:rsidR="003F532E" w:rsidRPr="00F00B6E">
        <w:t>increased from 48.86 percent in 2008 to 63.46 percent in 2012.</w:t>
      </w:r>
      <w:r w:rsidR="00824AF0">
        <w:t xml:space="preserve"> However,the </w:t>
      </w:r>
      <w:r w:rsidR="00824AF0" w:rsidRPr="00F00B6E">
        <w:t>overall financial inclusion</w:t>
      </w:r>
      <w:r w:rsidR="00824AF0">
        <w:t xml:space="preserve"> through banking services has followed a</w:t>
      </w:r>
      <w:r w:rsidR="00824AF0" w:rsidRPr="00F00B6E">
        <w:t xml:space="preserve"> modest pace. </w:t>
      </w:r>
      <w:r w:rsidR="003F532E">
        <w:t>The study also found that the private commercial banks are contributing more in enhancing financial inclusion through CSR practices than state owned commercial banks and foreign commercial banks.</w:t>
      </w:r>
      <w:r w:rsidR="00847AD5">
        <w:t xml:space="preserve">The findings of the study </w:t>
      </w:r>
      <w:r w:rsidR="00847AD5">
        <w:rPr>
          <w:rFonts w:eastAsiaTheme="minorHAnsi"/>
          <w:lang w:val="ms-MY"/>
        </w:rPr>
        <w:t xml:space="preserve">might be valuable for the commercial banks to </w:t>
      </w:r>
      <w:r w:rsidR="00BC748B">
        <w:rPr>
          <w:rFonts w:eastAsiaTheme="minorHAnsi"/>
          <w:lang w:val="ms-MY"/>
        </w:rPr>
        <w:t xml:space="preserve">judge </w:t>
      </w:r>
      <w:r w:rsidR="00D41B4E">
        <w:rPr>
          <w:rFonts w:eastAsiaTheme="minorHAnsi"/>
          <w:lang w:val="ms-MY"/>
        </w:rPr>
        <w:t xml:space="preserve">their </w:t>
      </w:r>
      <w:r w:rsidR="00BC748B">
        <w:rPr>
          <w:rFonts w:eastAsiaTheme="minorHAnsi"/>
          <w:lang w:val="ms-MY"/>
        </w:rPr>
        <w:t xml:space="preserve">performance </w:t>
      </w:r>
      <w:r w:rsidR="00847AD5">
        <w:rPr>
          <w:rFonts w:eastAsiaTheme="minorHAnsi"/>
          <w:lang w:val="ms-MY"/>
        </w:rPr>
        <w:t xml:space="preserve">in terms of CSR practices among the overall banking sector in the country. The study might also be useful for policymakers to </w:t>
      </w:r>
      <w:r w:rsidR="00D41B4E">
        <w:rPr>
          <w:rFonts w:eastAsiaTheme="minorHAnsi"/>
          <w:lang w:val="ms-MY"/>
        </w:rPr>
        <w:t>promote more effective policies and guidelines to ensure</w:t>
      </w:r>
      <w:r w:rsidR="00D41B4E">
        <w:rPr>
          <w:szCs w:val="20"/>
        </w:rPr>
        <w:t xml:space="preserve">an </w:t>
      </w:r>
      <w:r w:rsidR="00D41B4E" w:rsidRPr="00386291">
        <w:rPr>
          <w:szCs w:val="20"/>
        </w:rPr>
        <w:t>equitable f</w:t>
      </w:r>
      <w:r w:rsidR="00D41B4E">
        <w:rPr>
          <w:szCs w:val="20"/>
        </w:rPr>
        <w:t>inancial inclusion</w:t>
      </w:r>
      <w:r w:rsidR="00D41B4E" w:rsidRPr="00386291">
        <w:rPr>
          <w:szCs w:val="20"/>
        </w:rPr>
        <w:t xml:space="preserve"> for all the people including poor, underserved and underprivileged group</w:t>
      </w:r>
      <w:r w:rsidR="001C11ED">
        <w:rPr>
          <w:rFonts w:eastAsiaTheme="minorHAnsi"/>
          <w:lang w:val="ms-MY"/>
        </w:rPr>
        <w:t xml:space="preserve"> of the society</w:t>
      </w:r>
      <w:r w:rsidR="00847AD5">
        <w:rPr>
          <w:rFonts w:eastAsiaTheme="minorHAnsi"/>
          <w:lang w:val="ms-MY"/>
        </w:rPr>
        <w:t xml:space="preserve">. </w:t>
      </w:r>
    </w:p>
    <w:p w:rsidR="00731844" w:rsidRPr="006969BD" w:rsidRDefault="00731844" w:rsidP="007064D7">
      <w:pPr>
        <w:autoSpaceDE w:val="0"/>
        <w:autoSpaceDN w:val="0"/>
        <w:adjustRightInd w:val="0"/>
        <w:spacing w:line="360" w:lineRule="auto"/>
        <w:rPr>
          <w:rFonts w:eastAsiaTheme="minorHAnsi"/>
          <w:b/>
          <w:bCs/>
          <w:iCs/>
          <w:sz w:val="23"/>
          <w:szCs w:val="23"/>
        </w:rPr>
      </w:pPr>
    </w:p>
    <w:p w:rsidR="00FC6252" w:rsidRPr="006969BD" w:rsidRDefault="00533FA5" w:rsidP="006969BD">
      <w:pPr>
        <w:autoSpaceDE w:val="0"/>
        <w:autoSpaceDN w:val="0"/>
        <w:adjustRightInd w:val="0"/>
        <w:spacing w:line="276" w:lineRule="auto"/>
        <w:rPr>
          <w:rFonts w:eastAsiaTheme="minorHAnsi"/>
          <w:bCs/>
          <w:iCs/>
          <w:sz w:val="23"/>
          <w:szCs w:val="23"/>
        </w:rPr>
      </w:pPr>
      <w:r w:rsidRPr="006969BD">
        <w:rPr>
          <w:rFonts w:eastAsiaTheme="minorHAnsi"/>
          <w:b/>
          <w:bCs/>
          <w:iCs/>
        </w:rPr>
        <w:t xml:space="preserve">Key Words: </w:t>
      </w:r>
      <w:r w:rsidRPr="006969BD">
        <w:rPr>
          <w:rFonts w:eastAsiaTheme="minorHAnsi"/>
          <w:bCs/>
          <w:iCs/>
          <w:sz w:val="23"/>
          <w:szCs w:val="23"/>
        </w:rPr>
        <w:t>Corporate Social Responsibility, Commercial Bank, Financial Inclusion</w:t>
      </w:r>
      <w:r w:rsidR="00731844" w:rsidRPr="006969BD">
        <w:rPr>
          <w:rFonts w:eastAsiaTheme="minorHAnsi"/>
          <w:bCs/>
          <w:iCs/>
          <w:sz w:val="23"/>
          <w:szCs w:val="23"/>
        </w:rPr>
        <w:t>,</w:t>
      </w:r>
      <w:r w:rsidR="006969BD" w:rsidRPr="006969BD">
        <w:rPr>
          <w:rFonts w:eastAsiaTheme="minorHAnsi"/>
          <w:bCs/>
          <w:iCs/>
          <w:sz w:val="23"/>
          <w:szCs w:val="23"/>
        </w:rPr>
        <w:t>Bangladesh</w:t>
      </w:r>
    </w:p>
    <w:p w:rsidR="00731844" w:rsidRDefault="00731844" w:rsidP="007064D7">
      <w:pPr>
        <w:autoSpaceDE w:val="0"/>
        <w:autoSpaceDN w:val="0"/>
        <w:adjustRightInd w:val="0"/>
        <w:spacing w:line="360" w:lineRule="auto"/>
        <w:rPr>
          <w:rFonts w:eastAsiaTheme="minorHAnsi"/>
          <w:b/>
          <w:bCs/>
          <w:iCs/>
        </w:rPr>
      </w:pPr>
    </w:p>
    <w:p w:rsidR="00AC5972" w:rsidRPr="00B31611" w:rsidRDefault="00185832" w:rsidP="00B31611">
      <w:pPr>
        <w:autoSpaceDE w:val="0"/>
        <w:autoSpaceDN w:val="0"/>
        <w:adjustRightInd w:val="0"/>
        <w:spacing w:line="360" w:lineRule="auto"/>
        <w:rPr>
          <w:rFonts w:eastAsiaTheme="minorHAnsi"/>
          <w:b/>
          <w:bCs/>
          <w:iCs/>
        </w:rPr>
      </w:pPr>
      <w:r>
        <w:rPr>
          <w:rFonts w:eastAsiaTheme="minorHAnsi"/>
          <w:b/>
          <w:bCs/>
          <w:iCs/>
        </w:rPr>
        <w:t>Introduction</w:t>
      </w:r>
    </w:p>
    <w:p w:rsidR="00236B98" w:rsidRDefault="00D63943" w:rsidP="00236B98">
      <w:pPr>
        <w:spacing w:line="276" w:lineRule="auto"/>
        <w:jc w:val="both"/>
        <w:rPr>
          <w:rFonts w:eastAsiaTheme="minorHAnsi"/>
          <w:szCs w:val="23"/>
        </w:rPr>
      </w:pPr>
      <w:r>
        <w:t>It is needless to mention that financial i</w:t>
      </w:r>
      <w:r w:rsidR="00481E12">
        <w:t>nclusion (FI) includes</w:t>
      </w:r>
      <w:r w:rsidR="00501C6A">
        <w:t xml:space="preserve"> those peoples with the finance who are not getting proper financial services by the formal financ</w:t>
      </w:r>
      <w:r w:rsidR="00481E12">
        <w:t>ial</w:t>
      </w:r>
      <w:r w:rsidR="00501C6A">
        <w:t xml:space="preserve"> organizations. It is</w:t>
      </w:r>
      <w:r w:rsidR="00CD65C6">
        <w:t xml:space="preserve"> a burning</w:t>
      </w:r>
      <w:r w:rsidR="00501C6A">
        <w:t xml:space="preserve"> issue all over the developing country in th</w:t>
      </w:r>
      <w:r w:rsidR="00467C39">
        <w:t xml:space="preserve">e world where Bangladesh is </w:t>
      </w:r>
      <w:r w:rsidR="00835CC1">
        <w:t>also</w:t>
      </w:r>
      <w:r w:rsidR="00501C6A">
        <w:t xml:space="preserve"> trying to </w:t>
      </w:r>
      <w:r w:rsidR="00467C39">
        <w:t>comprise</w:t>
      </w:r>
      <w:r w:rsidR="00501C6A">
        <w:t xml:space="preserve"> all the people with the </w:t>
      </w:r>
      <w:r w:rsidR="00835CC1">
        <w:t>banking service</w:t>
      </w:r>
      <w:r w:rsidR="00501C6A">
        <w:t xml:space="preserve">. Last few years, Bangladesh Bank has taken different types of initiatives for increasing </w:t>
      </w:r>
      <w:r>
        <w:t>financial inclusion</w:t>
      </w:r>
      <w:r w:rsidR="000F0B0C">
        <w:t>.</w:t>
      </w:r>
      <w:r>
        <w:t xml:space="preserve">It </w:t>
      </w:r>
      <w:r w:rsidR="00736425" w:rsidRPr="00F00B6E">
        <w:t xml:space="preserve">has emerged as a tool to achieve inclusive growth for poverty reduction since 2005, a year that the United Nation has declared International Microcredit Year. Studies </w:t>
      </w:r>
      <w:r>
        <w:t xml:space="preserve">revealed </w:t>
      </w:r>
      <w:r w:rsidR="00736425" w:rsidRPr="00F00B6E">
        <w:t xml:space="preserve">a positive correlation between financial </w:t>
      </w:r>
      <w:r w:rsidR="00CD65C6" w:rsidRPr="00F00B6E">
        <w:t>inclusion</w:t>
      </w:r>
      <w:r w:rsidR="00736425" w:rsidRPr="00F00B6E">
        <w:t xml:space="preserve"> and economic growth</w:t>
      </w:r>
      <w:r w:rsidRPr="00F00B6E">
        <w:t>(</w:t>
      </w:r>
      <w:r w:rsidRPr="00335045">
        <w:t xml:space="preserve">King </w:t>
      </w:r>
      <w:r w:rsidR="00CD65C6" w:rsidRPr="00335045">
        <w:rPr>
          <w:iCs/>
        </w:rPr>
        <w:t>and</w:t>
      </w:r>
      <w:r w:rsidRPr="00335045">
        <w:rPr>
          <w:iCs/>
        </w:rPr>
        <w:t xml:space="preserve"> Levine, </w:t>
      </w:r>
      <w:r w:rsidRPr="00335045">
        <w:t>1993;</w:t>
      </w:r>
      <w:r w:rsidRPr="00E735C7">
        <w:t>Beck, 2008; Levine, 2005</w:t>
      </w:r>
      <w:r w:rsidRPr="00F00B6E">
        <w:t>)</w:t>
      </w:r>
      <w:r w:rsidR="00736425" w:rsidRPr="00F00B6E">
        <w:t xml:space="preserve">. Current development theories suggest that greater financial inclusion can have a positive impact on the lives of the poor. Financial inclusion is thus a high priority policy goal for developing and developed countries in order to ensure stable and equitable economic growth. </w:t>
      </w:r>
      <w:r w:rsidR="00236B98">
        <w:rPr>
          <w:rFonts w:eastAsiaTheme="minorHAnsi"/>
          <w:szCs w:val="23"/>
        </w:rPr>
        <w:t>Financial inclusion</w:t>
      </w:r>
      <w:r w:rsidR="00236B98" w:rsidRPr="005244C2">
        <w:rPr>
          <w:rFonts w:eastAsiaTheme="minorHAnsi"/>
          <w:szCs w:val="23"/>
        </w:rPr>
        <w:t xml:space="preserve"> system has several merits. It facilitates efficient allocation of productive resources and thus can potentially reduce the cost of capital. In addition, access</w:t>
      </w:r>
      <w:r w:rsidR="00236B98">
        <w:rPr>
          <w:rFonts w:eastAsiaTheme="minorHAnsi"/>
          <w:szCs w:val="23"/>
        </w:rPr>
        <w:t xml:space="preserve"> of the people</w:t>
      </w:r>
      <w:r w:rsidR="00236B98" w:rsidRPr="005244C2">
        <w:rPr>
          <w:rFonts w:eastAsiaTheme="minorHAnsi"/>
          <w:szCs w:val="23"/>
        </w:rPr>
        <w:t xml:space="preserve"> to appropriate financial services can significantly improve the day-to-day management of finances. An inclusive financial system can help in reducing the growth of informal sources of credit (such as money lenders), which are often found to be exploitative. Thus, an all-inclusive financial system enhances efficiency and </w:t>
      </w:r>
      <w:r w:rsidR="00236B98" w:rsidRPr="005244C2">
        <w:rPr>
          <w:rFonts w:eastAsiaTheme="minorHAnsi"/>
          <w:szCs w:val="23"/>
        </w:rPr>
        <w:lastRenderedPageBreak/>
        <w:t xml:space="preserve">welfare </w:t>
      </w:r>
      <w:r w:rsidR="00236B98">
        <w:rPr>
          <w:rFonts w:eastAsiaTheme="minorHAnsi"/>
          <w:szCs w:val="23"/>
        </w:rPr>
        <w:t xml:space="preserve">of the people </w:t>
      </w:r>
      <w:r w:rsidR="00236B98" w:rsidRPr="005244C2">
        <w:rPr>
          <w:rFonts w:eastAsiaTheme="minorHAnsi"/>
          <w:szCs w:val="23"/>
        </w:rPr>
        <w:t>by providing avenues for secure and safe saving practices and facilitating a whole range of efficient financial services.</w:t>
      </w:r>
    </w:p>
    <w:p w:rsidR="00D63943" w:rsidRPr="00A773D5" w:rsidRDefault="00D63943" w:rsidP="00A773D5">
      <w:pPr>
        <w:spacing w:line="276" w:lineRule="auto"/>
        <w:jc w:val="both"/>
      </w:pPr>
    </w:p>
    <w:p w:rsidR="00BD3BB7" w:rsidRPr="00A773D5" w:rsidRDefault="00736425" w:rsidP="00A773D5">
      <w:pPr>
        <w:autoSpaceDE w:val="0"/>
        <w:autoSpaceDN w:val="0"/>
        <w:adjustRightInd w:val="0"/>
        <w:spacing w:line="276" w:lineRule="auto"/>
        <w:jc w:val="both"/>
        <w:rPr>
          <w:rFonts w:eastAsiaTheme="minorHAnsi"/>
          <w:lang w:val="ms-MY"/>
        </w:rPr>
      </w:pPr>
      <w:r w:rsidRPr="00A773D5">
        <w:t>Financial inclusion refers to a process that ensures the ease of access, availability and usage of the formal financial system for all members of an economy.</w:t>
      </w:r>
      <w:r w:rsidR="00A773D5" w:rsidRPr="00A773D5">
        <w:rPr>
          <w:rFonts w:eastAsiaTheme="minorHAnsi"/>
          <w:lang w:val="ms-MY"/>
        </w:rPr>
        <w:t xml:space="preserve"> Financial inclusion is the delivery of financial services at an affordable cost to the disadvantaged and low income segments of society (</w:t>
      </w:r>
      <w:r w:rsidR="00A773D5" w:rsidRPr="00E735C7">
        <w:rPr>
          <w:rFonts w:eastAsiaTheme="minorHAnsi"/>
          <w:lang w:val="ms-MY"/>
        </w:rPr>
        <w:t>Ullah, 2013</w:t>
      </w:r>
      <w:r w:rsidR="00A773D5" w:rsidRPr="00A773D5">
        <w:rPr>
          <w:rFonts w:eastAsiaTheme="minorHAnsi"/>
          <w:lang w:val="ms-MY"/>
        </w:rPr>
        <w:t>).</w:t>
      </w:r>
      <w:r w:rsidR="00200460" w:rsidRPr="00A773D5">
        <w:t>In this case, t</w:t>
      </w:r>
      <w:r w:rsidRPr="00A773D5">
        <w:t>he banking sector</w:t>
      </w:r>
      <w:r w:rsidR="00236B98" w:rsidRPr="00A773D5">
        <w:t xml:space="preserve"> of a countrycan play </w:t>
      </w:r>
      <w:r w:rsidRPr="00A773D5">
        <w:t>a lead role in promoting financial inclusion. In Bangladesh, the Central Bank of Bangladesh has initiated several measures to achi</w:t>
      </w:r>
      <w:r w:rsidR="008E5A7F" w:rsidRPr="00A773D5">
        <w:t>eve greater financial inclusion. Under the CSR initiatives</w:t>
      </w:r>
      <w:r w:rsidR="00200460" w:rsidRPr="00A773D5">
        <w:t xml:space="preserve"> taken by the Central Bank of Bangladesh, the</w:t>
      </w:r>
      <w:r w:rsidR="008E5A7F" w:rsidRPr="00A773D5">
        <w:t xml:space="preserve"> commercial banks in </w:t>
      </w:r>
      <w:r w:rsidR="00200460" w:rsidRPr="00A773D5">
        <w:t>t</w:t>
      </w:r>
      <w:r w:rsidR="008E5A7F" w:rsidRPr="00A773D5">
        <w:t>h</w:t>
      </w:r>
      <w:r w:rsidR="00200460" w:rsidRPr="00A773D5">
        <w:t>e country</w:t>
      </w:r>
      <w:r w:rsidR="008E5A7F" w:rsidRPr="00A773D5">
        <w:t xml:space="preserve"> have taken different activities for financial inclusion</w:t>
      </w:r>
      <w:r w:rsidRPr="00A773D5">
        <w:t xml:space="preserve"> such as facilitating ‘10 taka’ accounts and “General Credit Cards” “ Farmers Car</w:t>
      </w:r>
      <w:r w:rsidR="00A51FB3" w:rsidRPr="00A773D5">
        <w:t>ds” for  low deposit and credit, solar paneldistribution, big gas plant establishment</w:t>
      </w:r>
      <w:r w:rsidR="007308B0" w:rsidRPr="00A773D5">
        <w:t>, e</w:t>
      </w:r>
      <w:r w:rsidR="00176DAD" w:rsidRPr="00A773D5">
        <w:t xml:space="preserve">ntrepreneur training, woman entrepreneur training and so on. </w:t>
      </w:r>
      <w:r w:rsidR="007308B0" w:rsidRPr="00A773D5">
        <w:t xml:space="preserve">The </w:t>
      </w:r>
      <w:r w:rsidR="00D86DE5" w:rsidRPr="00A773D5">
        <w:t xml:space="preserve">commercial banks </w:t>
      </w:r>
      <w:r w:rsidR="007308B0" w:rsidRPr="00A773D5">
        <w:t xml:space="preserve">are providing </w:t>
      </w:r>
      <w:r w:rsidR="00D86DE5" w:rsidRPr="00A773D5">
        <w:t>low interest agri</w:t>
      </w:r>
      <w:r w:rsidR="009A0BB9" w:rsidRPr="00A773D5">
        <w:t>culture</w:t>
      </w:r>
      <w:r w:rsidR="00D86DE5" w:rsidRPr="00A773D5">
        <w:t xml:space="preserve"> loan,</w:t>
      </w:r>
      <w:r w:rsidR="007308B0" w:rsidRPr="00A773D5">
        <w:t xml:space="preserve"> and</w:t>
      </w:r>
      <w:r w:rsidR="00D86DE5" w:rsidRPr="00A773D5">
        <w:t xml:space="preserve"> collateral free loan</w:t>
      </w:r>
      <w:r w:rsidR="007308B0" w:rsidRPr="00A773D5">
        <w:t xml:space="preserve"> to enhance financial inclusion all over the country</w:t>
      </w:r>
      <w:r w:rsidR="009A0BB9" w:rsidRPr="00A773D5">
        <w:t>.</w:t>
      </w:r>
      <w:r w:rsidR="00E36D58" w:rsidRPr="00A773D5">
        <w:t>Moreover</w:t>
      </w:r>
      <w:r w:rsidR="000E0C39" w:rsidRPr="00A773D5">
        <w:t>, majority of the</w:t>
      </w:r>
      <w:r w:rsidR="00AC4946" w:rsidRPr="00A773D5">
        <w:t xml:space="preserve"> banks</w:t>
      </w:r>
      <w:r w:rsidR="00E36D58" w:rsidRPr="00A773D5">
        <w:t xml:space="preserve"> donate </w:t>
      </w:r>
      <w:r w:rsidR="000E0C39" w:rsidRPr="00A773D5">
        <w:t>sizeable</w:t>
      </w:r>
      <w:r w:rsidR="00AC4946" w:rsidRPr="00A773D5">
        <w:t xml:space="preserve"> amount</w:t>
      </w:r>
      <w:r w:rsidR="00E36D58" w:rsidRPr="00A773D5">
        <w:t xml:space="preserve"> of money</w:t>
      </w:r>
      <w:r w:rsidR="00FC00AF" w:rsidRPr="00A773D5">
        <w:t>for educational scholarship</w:t>
      </w:r>
      <w:r w:rsidR="00E36D58" w:rsidRPr="00A773D5">
        <w:t xml:space="preserve"> every year</w:t>
      </w:r>
      <w:r w:rsidR="00FC00AF" w:rsidRPr="00A773D5">
        <w:t>.</w:t>
      </w:r>
      <w:r w:rsidR="007D36B7" w:rsidRPr="00A773D5">
        <w:t xml:space="preserve"> When a student ge</w:t>
      </w:r>
      <w:r w:rsidR="00FC00AF" w:rsidRPr="00A773D5">
        <w:t>t</w:t>
      </w:r>
      <w:r w:rsidR="007D36B7" w:rsidRPr="00A773D5">
        <w:t>s the</w:t>
      </w:r>
      <w:r w:rsidR="00FC00AF" w:rsidRPr="00A773D5">
        <w:t xml:space="preserve"> scholarship</w:t>
      </w:r>
      <w:r w:rsidR="007D36B7" w:rsidRPr="00A773D5">
        <w:t xml:space="preserve"> from a bank, he/she</w:t>
      </w:r>
      <w:r w:rsidR="00100298" w:rsidRPr="00A773D5">
        <w:t xml:space="preserve"> collect</w:t>
      </w:r>
      <w:r w:rsidR="007D36B7" w:rsidRPr="00A773D5">
        <w:t>s the</w:t>
      </w:r>
      <w:r w:rsidR="00100298" w:rsidRPr="00A773D5">
        <w:t xml:space="preserve"> money by open</w:t>
      </w:r>
      <w:r w:rsidR="007D36B7" w:rsidRPr="00A773D5">
        <w:t>ing an</w:t>
      </w:r>
      <w:r w:rsidR="00100298" w:rsidRPr="00A773D5">
        <w:t xml:space="preserve"> account</w:t>
      </w:r>
      <w:r w:rsidR="007D36B7" w:rsidRPr="00A773D5">
        <w:t xml:space="preserve"> with the</w:t>
      </w:r>
      <w:r w:rsidR="00060E45" w:rsidRPr="00A773D5">
        <w:t xml:space="preserve"> respect</w:t>
      </w:r>
      <w:r w:rsidR="007D36B7" w:rsidRPr="00A773D5">
        <w:t xml:space="preserve">ive bank.In this way, the </w:t>
      </w:r>
      <w:r w:rsidR="00DE4574" w:rsidRPr="00A773D5">
        <w:t>student come</w:t>
      </w:r>
      <w:r w:rsidR="007D36B7" w:rsidRPr="00A773D5">
        <w:t>s under</w:t>
      </w:r>
      <w:r w:rsidR="00DE4574" w:rsidRPr="00A773D5">
        <w:t xml:space="preserve"> financial inclusion</w:t>
      </w:r>
      <w:r w:rsidR="007D36B7" w:rsidRPr="00A773D5">
        <w:t xml:space="preserve"> of the bank</w:t>
      </w:r>
      <w:r w:rsidR="00DE4574" w:rsidRPr="00A773D5">
        <w:t>.</w:t>
      </w:r>
      <w:r w:rsidR="00060E45" w:rsidRPr="00A773D5">
        <w:t xml:space="preserve"> Under the CSR </w:t>
      </w:r>
      <w:r w:rsidR="00522851" w:rsidRPr="00A773D5">
        <w:t xml:space="preserve">practices, </w:t>
      </w:r>
      <w:r w:rsidR="00060E45" w:rsidRPr="00A773D5">
        <w:t>one of the impor</w:t>
      </w:r>
      <w:r w:rsidR="00980FFD" w:rsidRPr="00A773D5">
        <w:t xml:space="preserve">tant financial inclusion </w:t>
      </w:r>
      <w:r w:rsidR="00522851" w:rsidRPr="00A773D5">
        <w:t xml:space="preserve">initiatives of the banks </w:t>
      </w:r>
      <w:r w:rsidR="00980FFD" w:rsidRPr="00A773D5">
        <w:t>is mobile banking</w:t>
      </w:r>
      <w:r w:rsidR="00522851" w:rsidRPr="00A773D5">
        <w:t>. With this initiative,</w:t>
      </w:r>
      <w:r w:rsidR="00980FFD" w:rsidRPr="00A773D5">
        <w:t xml:space="preserve"> people can easily </w:t>
      </w:r>
      <w:r w:rsidR="00522851" w:rsidRPr="00A773D5">
        <w:t xml:space="preserve">open an account at </w:t>
      </w:r>
      <w:r w:rsidR="00980FFD" w:rsidRPr="00A773D5">
        <w:t>free of cost</w:t>
      </w:r>
      <w:r w:rsidR="00DA23D0" w:rsidRPr="00A773D5">
        <w:t xml:space="preserve"> and </w:t>
      </w:r>
      <w:r w:rsidR="00522851" w:rsidRPr="00A773D5">
        <w:t>transact with the bank</w:t>
      </w:r>
      <w:r w:rsidR="00DA23D0" w:rsidRPr="00A773D5">
        <w:t>.</w:t>
      </w:r>
    </w:p>
    <w:p w:rsidR="008B57C8" w:rsidRDefault="008B57C8" w:rsidP="00236B98">
      <w:pPr>
        <w:spacing w:line="276" w:lineRule="auto"/>
        <w:jc w:val="both"/>
        <w:rPr>
          <w:rFonts w:eastAsiaTheme="minorHAnsi"/>
          <w:szCs w:val="23"/>
        </w:rPr>
      </w:pPr>
    </w:p>
    <w:p w:rsidR="00D879AE" w:rsidRDefault="00236B98" w:rsidP="00D879AE">
      <w:pPr>
        <w:spacing w:line="276" w:lineRule="auto"/>
        <w:ind w:firstLine="720"/>
        <w:jc w:val="both"/>
      </w:pPr>
      <w:r>
        <w:rPr>
          <w:rFonts w:eastAsiaTheme="minorHAnsi"/>
          <w:szCs w:val="23"/>
        </w:rPr>
        <w:t>The</w:t>
      </w:r>
      <w:r w:rsidR="00FC3D12">
        <w:rPr>
          <w:rFonts w:eastAsiaTheme="minorHAnsi"/>
          <w:szCs w:val="23"/>
        </w:rPr>
        <w:t xml:space="preserve"> present</w:t>
      </w:r>
      <w:r w:rsidR="00142AE7">
        <w:rPr>
          <w:rFonts w:eastAsiaTheme="minorHAnsi"/>
          <w:szCs w:val="23"/>
        </w:rPr>
        <w:t xml:space="preserve"> study </w:t>
      </w:r>
      <w:r w:rsidR="00FC3D12">
        <w:rPr>
          <w:rFonts w:eastAsiaTheme="minorHAnsi"/>
          <w:szCs w:val="23"/>
        </w:rPr>
        <w:t xml:space="preserve">aims to assess the role of </w:t>
      </w:r>
      <w:r w:rsidR="00646DC1">
        <w:rPr>
          <w:rFonts w:eastAsiaTheme="minorHAnsi"/>
          <w:szCs w:val="23"/>
        </w:rPr>
        <w:t>CSR initiatives</w:t>
      </w:r>
      <w:r w:rsidR="00FC3D12">
        <w:rPr>
          <w:rFonts w:eastAsiaTheme="minorHAnsi"/>
          <w:szCs w:val="23"/>
        </w:rPr>
        <w:t xml:space="preserve"> of the commercial banks in enhancing</w:t>
      </w:r>
      <w:r w:rsidR="000C2F6A">
        <w:rPr>
          <w:rFonts w:eastAsiaTheme="minorHAnsi"/>
          <w:szCs w:val="23"/>
        </w:rPr>
        <w:t xml:space="preserve">financial inclusion </w:t>
      </w:r>
      <w:r w:rsidR="00FC3D12">
        <w:rPr>
          <w:rFonts w:eastAsiaTheme="minorHAnsi"/>
          <w:szCs w:val="23"/>
        </w:rPr>
        <w:t>among the common people</w:t>
      </w:r>
      <w:r w:rsidR="000C2F6A">
        <w:rPr>
          <w:rFonts w:eastAsiaTheme="minorHAnsi"/>
          <w:szCs w:val="23"/>
        </w:rPr>
        <w:t xml:space="preserve"> in Bangladesh. </w:t>
      </w:r>
      <w:r w:rsidR="008B57C8">
        <w:rPr>
          <w:rFonts w:eastAsiaTheme="minorHAnsi"/>
          <w:szCs w:val="23"/>
        </w:rPr>
        <w:t xml:space="preserve">The study also attempts to </w:t>
      </w:r>
      <w:r w:rsidR="008B57C8">
        <w:t>know the benefits of financial inclusion and overall f</w:t>
      </w:r>
      <w:r w:rsidR="008B57C8" w:rsidRPr="009632E8">
        <w:t>inan</w:t>
      </w:r>
      <w:r w:rsidR="008B57C8">
        <w:t xml:space="preserve">cial inclusion scenario of commercial banks in the country. </w:t>
      </w:r>
    </w:p>
    <w:p w:rsidR="00FC3D12" w:rsidRDefault="00FC3D12" w:rsidP="00736425">
      <w:pPr>
        <w:spacing w:line="360" w:lineRule="auto"/>
        <w:jc w:val="both"/>
        <w:rPr>
          <w:b/>
        </w:rPr>
      </w:pPr>
    </w:p>
    <w:p w:rsidR="004B0AF7" w:rsidRDefault="004B0AF7" w:rsidP="00575B70">
      <w:pPr>
        <w:spacing w:line="360" w:lineRule="auto"/>
        <w:jc w:val="both"/>
        <w:rPr>
          <w:b/>
        </w:rPr>
      </w:pPr>
    </w:p>
    <w:p w:rsidR="00AC5972" w:rsidRPr="00575B70" w:rsidRDefault="00D928AD" w:rsidP="00575B70">
      <w:pPr>
        <w:spacing w:line="360" w:lineRule="auto"/>
        <w:jc w:val="both"/>
        <w:rPr>
          <w:b/>
        </w:rPr>
      </w:pPr>
      <w:r>
        <w:rPr>
          <w:b/>
        </w:rPr>
        <w:t>Review of Literature</w:t>
      </w:r>
    </w:p>
    <w:p w:rsidR="004A62F6" w:rsidRPr="004A62F6" w:rsidRDefault="00E22019" w:rsidP="007264A9">
      <w:pPr>
        <w:autoSpaceDE w:val="0"/>
        <w:autoSpaceDN w:val="0"/>
        <w:adjustRightInd w:val="0"/>
        <w:spacing w:line="276" w:lineRule="auto"/>
        <w:jc w:val="both"/>
        <w:rPr>
          <w:bCs/>
        </w:rPr>
      </w:pPr>
      <w:r w:rsidRPr="004A62F6">
        <w:t>The Central Bank of Bangladesh and Government of Bangladesh has</w:t>
      </w:r>
      <w:r w:rsidR="00524FE9" w:rsidRPr="004A62F6">
        <w:t xml:space="preserve"> taken different initiatives to increase financial inclusion. </w:t>
      </w:r>
      <w:r w:rsidRPr="004A62F6">
        <w:rPr>
          <w:rFonts w:eastAsiaTheme="minorHAnsi"/>
          <w:lang w:val="ms-MY"/>
        </w:rPr>
        <w:t xml:space="preserve">Especially, in recent years, </w:t>
      </w:r>
      <w:r w:rsidRPr="004A62F6">
        <w:t>the Central Bank of Bangladesh</w:t>
      </w:r>
      <w:r w:rsidRPr="004A62F6">
        <w:rPr>
          <w:rFonts w:eastAsiaTheme="minorHAnsi"/>
          <w:lang w:val="ms-MY"/>
        </w:rPr>
        <w:t xml:space="preserve"> has brought about deeper engagement of the country's financial sector with a social responsibility driven financial inclusion strategy (</w:t>
      </w:r>
      <w:r w:rsidRPr="00D33E24">
        <w:rPr>
          <w:rFonts w:eastAsiaTheme="minorHAnsi"/>
          <w:lang w:val="ms-MY"/>
        </w:rPr>
        <w:t>Bangladesh Bank, 2013</w:t>
      </w:r>
      <w:r w:rsidR="00D33E24" w:rsidRPr="00D33E24">
        <w:rPr>
          <w:rFonts w:eastAsiaTheme="minorHAnsi"/>
          <w:lang w:val="ms-MY"/>
        </w:rPr>
        <w:t>a</w:t>
      </w:r>
      <w:r w:rsidRPr="004A62F6">
        <w:rPr>
          <w:rFonts w:eastAsiaTheme="minorHAnsi"/>
          <w:lang w:val="ms-MY"/>
        </w:rPr>
        <w:t xml:space="preserve">). </w:t>
      </w:r>
      <w:r w:rsidR="00524FE9" w:rsidRPr="004A62F6">
        <w:t>The main motto of the Central Bank is that all peoples in Bangladesh will come under the financial inclusion’s umbrella. However, the c</w:t>
      </w:r>
      <w:r w:rsidR="00D879AE" w:rsidRPr="004A62F6">
        <w:rPr>
          <w:bCs/>
        </w:rPr>
        <w:t>ommon CSR practices in Bangladesh by different organizations are centered on mainly poverty alleviation, healthcare, education, charity activities, cultural enrichment, youth development, women empowerment, patronizing sports and music etc</w:t>
      </w:r>
      <w:r w:rsidR="00413AEF">
        <w:rPr>
          <w:bCs/>
        </w:rPr>
        <w:t>.</w:t>
      </w:r>
      <w:r w:rsidR="00D879AE" w:rsidRPr="004A62F6">
        <w:rPr>
          <w:bCs/>
        </w:rPr>
        <w:t xml:space="preserve"> (</w:t>
      </w:r>
      <w:r w:rsidR="00D879AE" w:rsidRPr="008A535A">
        <w:rPr>
          <w:bCs/>
        </w:rPr>
        <w:t>Alam, et al. 2010</w:t>
      </w:r>
      <w:r w:rsidR="00D879AE" w:rsidRPr="004A62F6">
        <w:rPr>
          <w:bCs/>
        </w:rPr>
        <w:t xml:space="preserve">). </w:t>
      </w:r>
      <w:r w:rsidR="001A4F1B" w:rsidRPr="004A62F6">
        <w:rPr>
          <w:bCs/>
        </w:rPr>
        <w:t xml:space="preserve">The study by </w:t>
      </w:r>
      <w:proofErr w:type="spellStart"/>
      <w:r w:rsidR="004A0165" w:rsidRPr="008A535A">
        <w:rPr>
          <w:bCs/>
        </w:rPr>
        <w:t>Noman</w:t>
      </w:r>
      <w:proofErr w:type="spellEnd"/>
      <w:r w:rsidR="004A0165" w:rsidRPr="008A535A">
        <w:rPr>
          <w:bCs/>
        </w:rPr>
        <w:t>(2013)</w:t>
      </w:r>
      <w:r w:rsidR="001A4F1B" w:rsidRPr="004A62F6">
        <w:rPr>
          <w:bCs/>
        </w:rPr>
        <w:t xml:space="preserve"> investigated the enhancement of financial inclusion among the </w:t>
      </w:r>
      <w:r w:rsidR="001A4F1B" w:rsidRPr="004A62F6">
        <w:t>64 districts of Bangladesh. The study attempted to find out the most financially inclusive and less financially inclusive districts in the country. It was revealed that 19 districts show positive changes, 35 districts negative changes, and the remaining 10 districts show no changes.</w:t>
      </w:r>
    </w:p>
    <w:p w:rsidR="004A62F6" w:rsidRDefault="004A62F6" w:rsidP="004A62F6">
      <w:pPr>
        <w:autoSpaceDE w:val="0"/>
        <w:autoSpaceDN w:val="0"/>
        <w:adjustRightInd w:val="0"/>
        <w:spacing w:line="276" w:lineRule="auto"/>
        <w:jc w:val="both"/>
      </w:pPr>
    </w:p>
    <w:p w:rsidR="001A0D64" w:rsidRPr="00AB15A1" w:rsidRDefault="004A62F6" w:rsidP="000B586F">
      <w:pPr>
        <w:autoSpaceDE w:val="0"/>
        <w:autoSpaceDN w:val="0"/>
        <w:adjustRightInd w:val="0"/>
        <w:spacing w:line="276" w:lineRule="auto"/>
        <w:jc w:val="both"/>
        <w:rPr>
          <w:rFonts w:eastAsiaTheme="minorHAnsi"/>
          <w:lang w:val="ms-MY"/>
        </w:rPr>
      </w:pPr>
      <w:r w:rsidRPr="00AB15A1">
        <w:rPr>
          <w:rFonts w:eastAsiaTheme="minorHAnsi"/>
          <w:lang w:val="ms-MY"/>
        </w:rPr>
        <w:t xml:space="preserve">The study by </w:t>
      </w:r>
      <w:r w:rsidRPr="008A535A">
        <w:rPr>
          <w:rFonts w:eastAsiaTheme="minorHAnsi"/>
          <w:lang w:val="ms-MY"/>
        </w:rPr>
        <w:t>Ullah (2013)</w:t>
      </w:r>
      <w:r w:rsidRPr="00AB15A1">
        <w:rPr>
          <w:rFonts w:eastAsiaTheme="minorHAnsi"/>
          <w:lang w:val="ms-MY"/>
        </w:rPr>
        <w:t xml:space="preserve"> examined the nature and magnitude of CSR initiatives and practices by the commercial banks in Bangladesh. The study found  that almost all of the banks in</w:t>
      </w:r>
      <w:r w:rsidR="00AB15A1" w:rsidRPr="00AB15A1">
        <w:rPr>
          <w:rFonts w:eastAsiaTheme="minorHAnsi"/>
          <w:lang w:val="ms-MY"/>
        </w:rPr>
        <w:t xml:space="preserve"> the country</w:t>
      </w:r>
      <w:r w:rsidR="00AB15A1">
        <w:rPr>
          <w:rFonts w:eastAsiaTheme="minorHAnsi"/>
          <w:lang w:val="ms-MY"/>
        </w:rPr>
        <w:t xml:space="preserve"> have more or </w:t>
      </w:r>
      <w:r w:rsidRPr="00AB15A1">
        <w:rPr>
          <w:rFonts w:eastAsiaTheme="minorHAnsi"/>
          <w:lang w:val="ms-MY"/>
        </w:rPr>
        <w:t>less engagement in CSR activities</w:t>
      </w:r>
      <w:r w:rsidR="00AB15A1" w:rsidRPr="00AB15A1">
        <w:rPr>
          <w:rFonts w:eastAsiaTheme="minorHAnsi"/>
          <w:lang w:val="ms-MY"/>
        </w:rPr>
        <w:t xml:space="preserve">. The areas of involvement in CSR activities include community investment, environmental banking, financial inclusion, and CSR reporting. </w:t>
      </w:r>
      <w:r w:rsidR="003F56E6" w:rsidRPr="00DA34EF">
        <w:rPr>
          <w:rFonts w:eastAsiaTheme="minorHAnsi"/>
          <w:lang w:val="ms-MY"/>
        </w:rPr>
        <w:t>Masud (2011)</w:t>
      </w:r>
      <w:r w:rsidR="003F56E6">
        <w:rPr>
          <w:rFonts w:eastAsiaTheme="minorHAnsi"/>
          <w:lang w:val="ms-MY"/>
        </w:rPr>
        <w:t xml:space="preserve"> conducted a comparative study on CSR activities of private commercial banks (PCBs) in Bangladesh. </w:t>
      </w:r>
      <w:r w:rsidR="00A22E2C">
        <w:rPr>
          <w:rFonts w:eastAsiaTheme="minorHAnsi"/>
          <w:lang w:val="ms-MY"/>
        </w:rPr>
        <w:t>The researcher revealed that participation of the  PCBs in different areas of CSR activities are limited. However, every bank under the study</w:t>
      </w:r>
      <w:r w:rsidR="000B586F">
        <w:rPr>
          <w:rFonts w:eastAsiaTheme="minorHAnsi"/>
          <w:lang w:val="ms-MY"/>
        </w:rPr>
        <w:t xml:space="preserve"> has a very good consideration and contribution to education and health sector. Moreover, the banks have active involvement in the management of natural disasters, especially cyclones and floods.</w:t>
      </w:r>
      <w:r w:rsidR="00D85322" w:rsidRPr="00AB15A1">
        <w:t>Another study provided efforts to know how and in what ways the commercial banks in Bangladesh</w:t>
      </w:r>
      <w:r w:rsidR="00897A76" w:rsidRPr="00AB15A1">
        <w:t xml:space="preserve"> have been discharging their CSR to enhance financial inclusion (</w:t>
      </w:r>
      <w:proofErr w:type="spellStart"/>
      <w:r w:rsidR="00897A76" w:rsidRPr="00DA34EF">
        <w:t>Halder</w:t>
      </w:r>
      <w:proofErr w:type="spellEnd"/>
      <w:r w:rsidR="00897A76" w:rsidRPr="00DA34EF">
        <w:t xml:space="preserve"> and </w:t>
      </w:r>
      <w:proofErr w:type="spellStart"/>
      <w:r w:rsidR="00897A76" w:rsidRPr="00DA34EF">
        <w:t>Rahman</w:t>
      </w:r>
      <w:proofErr w:type="spellEnd"/>
      <w:r w:rsidR="00897A76" w:rsidRPr="00DA34EF">
        <w:t>, 2014</w:t>
      </w:r>
      <w:r w:rsidR="00897A76" w:rsidRPr="00AB15A1">
        <w:t>).</w:t>
      </w:r>
      <w:r w:rsidR="00802A9F" w:rsidRPr="00AB15A1">
        <w:t xml:space="preserve"> The study found that most of the banks which design and implement CSR initiatives cover the entire community in the surrounding of their working area. CSR initiatives being implemented by the commercial banks for rural development have been a positive impact on overall development of society. </w:t>
      </w:r>
      <w:r w:rsidR="00372060" w:rsidRPr="00AB15A1">
        <w:t xml:space="preserve">Many banks have promoted and implemented CSR initiatives through setting up their own foundation or in partnership with NGOs. </w:t>
      </w:r>
      <w:r w:rsidR="001A0D64" w:rsidRPr="00AB15A1">
        <w:t xml:space="preserve">The study by </w:t>
      </w:r>
      <w:r w:rsidR="001A0D64" w:rsidRPr="00586E81">
        <w:t>Ahmed (2013)</w:t>
      </w:r>
      <w:r w:rsidR="001A0D64" w:rsidRPr="00AB15A1">
        <w:t xml:space="preserve"> focused on CSR practices of Southeast Bank Ltd</w:t>
      </w:r>
      <w:proofErr w:type="gramStart"/>
      <w:r w:rsidR="001A0D64" w:rsidRPr="00AB15A1">
        <w:t>.-</w:t>
      </w:r>
      <w:proofErr w:type="gramEnd"/>
      <w:r w:rsidR="001A0D64" w:rsidRPr="00AB15A1">
        <w:t xml:space="preserve"> a </w:t>
      </w:r>
      <w:r w:rsidR="000D7658" w:rsidRPr="00AB15A1">
        <w:t xml:space="preserve">leading </w:t>
      </w:r>
      <w:r w:rsidR="001A0D64" w:rsidRPr="00AB15A1">
        <w:t>private commercial bank in Bangladesh. The researcher found that the bank practices its CSR</w:t>
      </w:r>
      <w:r w:rsidR="000D7658" w:rsidRPr="00AB15A1">
        <w:t xml:space="preserve"> in the area of education, health, community development, environmental issues, art and culture, sports etc. However, the bank expenses the highest amount of money in the education sector through scholarship program whereby school, college and university tuition fees and other expenses are paidfully without imposing any condition. </w:t>
      </w:r>
    </w:p>
    <w:p w:rsidR="003F56E6" w:rsidRDefault="003F56E6" w:rsidP="001E3531">
      <w:pPr>
        <w:pStyle w:val="Default"/>
        <w:spacing w:line="276" w:lineRule="auto"/>
        <w:jc w:val="both"/>
        <w:rPr>
          <w:bCs/>
        </w:rPr>
      </w:pPr>
    </w:p>
    <w:p w:rsidR="00E22F37" w:rsidRPr="00160213" w:rsidRDefault="00E22F37" w:rsidP="00160213">
      <w:pPr>
        <w:autoSpaceDE w:val="0"/>
        <w:autoSpaceDN w:val="0"/>
        <w:adjustRightInd w:val="0"/>
        <w:spacing w:line="276" w:lineRule="auto"/>
        <w:jc w:val="both"/>
        <w:rPr>
          <w:rFonts w:eastAsiaTheme="minorHAnsi"/>
          <w:lang w:val="ms-MY"/>
        </w:rPr>
      </w:pPr>
      <w:r w:rsidRPr="00586E81">
        <w:t>Sharma and Mani (2013)</w:t>
      </w:r>
      <w:r w:rsidRPr="00160213">
        <w:t xml:space="preserve"> analyzed the CSR activities carried out by Indian commercial banks. The researchers reported that </w:t>
      </w:r>
      <w:r w:rsidRPr="00160213">
        <w:rPr>
          <w:rFonts w:eastAsiaTheme="minorHAnsi"/>
          <w:lang w:val="ms-MY"/>
        </w:rPr>
        <w:t xml:space="preserve">though the Indian banks are making efforts to contribute in different areas of CSR activities but still there is a requirement of more emphasis on CSR. The banks focus on the community welfare and farmers’ welfare programs but the efforts </w:t>
      </w:r>
      <w:r w:rsidR="00ED4C30" w:rsidRPr="00160213">
        <w:rPr>
          <w:rFonts w:eastAsiaTheme="minorHAnsi"/>
          <w:lang w:val="ms-MY"/>
        </w:rPr>
        <w:t xml:space="preserve">for women welfare and education </w:t>
      </w:r>
      <w:r w:rsidRPr="00160213">
        <w:rPr>
          <w:rFonts w:eastAsiaTheme="minorHAnsi"/>
          <w:lang w:val="ms-MY"/>
        </w:rPr>
        <w:t xml:space="preserve">are not sizeable. </w:t>
      </w:r>
      <w:r w:rsidR="00ED4C30" w:rsidRPr="00160213">
        <w:rPr>
          <w:rFonts w:eastAsiaTheme="minorHAnsi"/>
          <w:lang w:val="ms-MY"/>
        </w:rPr>
        <w:t xml:space="preserve">The study also found that </w:t>
      </w:r>
      <w:r w:rsidRPr="00160213">
        <w:rPr>
          <w:rFonts w:eastAsiaTheme="minorHAnsi"/>
          <w:lang w:val="ms-MY"/>
        </w:rPr>
        <w:t xml:space="preserve">the public sector banks have </w:t>
      </w:r>
      <w:r w:rsidR="00ED4C30" w:rsidRPr="00160213">
        <w:rPr>
          <w:rFonts w:eastAsiaTheme="minorHAnsi"/>
          <w:lang w:val="ms-MY"/>
        </w:rPr>
        <w:t>overall highest contribution in CSR activities while thep</w:t>
      </w:r>
      <w:r w:rsidRPr="00160213">
        <w:rPr>
          <w:rFonts w:eastAsiaTheme="minorHAnsi"/>
          <w:lang w:val="ms-MY"/>
        </w:rPr>
        <w:t>rivate sector banks and foreign banks are still lagging in this area.</w:t>
      </w:r>
      <w:r w:rsidR="00A42F93" w:rsidRPr="00160213">
        <w:t xml:space="preserve">In line with the previous study, </w:t>
      </w:r>
      <w:r w:rsidR="00A42F93" w:rsidRPr="00710207">
        <w:rPr>
          <w:rFonts w:eastAsiaTheme="minorHAnsi"/>
          <w:lang w:val="ms-MY"/>
        </w:rPr>
        <w:t>Al-Tamimi (2014)</w:t>
      </w:r>
      <w:r w:rsidR="00A42F93" w:rsidRPr="00160213">
        <w:rPr>
          <w:rFonts w:eastAsiaTheme="minorHAnsi"/>
          <w:lang w:val="ms-MY"/>
        </w:rPr>
        <w:t xml:space="preserve"> investigated </w:t>
      </w:r>
      <w:r w:rsidR="00A42F93" w:rsidRPr="00160213">
        <w:t>CSR practices of the commercial banks in UAE. The study revealed that</w:t>
      </w:r>
      <w:r w:rsidR="00A42F93" w:rsidRPr="00160213">
        <w:rPr>
          <w:rFonts w:eastAsiaTheme="minorHAnsi"/>
          <w:lang w:val="ms-MY"/>
        </w:rPr>
        <w:t xml:space="preserve"> the UAE banks make a positive contribution in supporting community activities such as donations and sponsorship, but they need to contribute more. </w:t>
      </w:r>
      <w:r w:rsidR="00160213" w:rsidRPr="00160213">
        <w:rPr>
          <w:rFonts w:eastAsiaTheme="minorHAnsi"/>
          <w:lang w:val="ms-MY"/>
        </w:rPr>
        <w:t xml:space="preserve">The </w:t>
      </w:r>
      <w:r w:rsidR="00A42F93" w:rsidRPr="00160213">
        <w:rPr>
          <w:rFonts w:eastAsiaTheme="minorHAnsi"/>
          <w:lang w:val="ms-MY"/>
        </w:rPr>
        <w:t>banks ensur</w:t>
      </w:r>
      <w:r w:rsidR="00160213" w:rsidRPr="00160213">
        <w:rPr>
          <w:rFonts w:eastAsiaTheme="minorHAnsi"/>
          <w:lang w:val="ms-MY"/>
        </w:rPr>
        <w:t xml:space="preserve">e equal access to their banking </w:t>
      </w:r>
      <w:r w:rsidR="00A42F93" w:rsidRPr="00160213">
        <w:rPr>
          <w:rFonts w:eastAsiaTheme="minorHAnsi"/>
          <w:lang w:val="ms-MY"/>
        </w:rPr>
        <w:t>services for all women, irrespective of t</w:t>
      </w:r>
      <w:r w:rsidR="00160213" w:rsidRPr="00160213">
        <w:rPr>
          <w:rFonts w:eastAsiaTheme="minorHAnsi"/>
          <w:lang w:val="ms-MY"/>
        </w:rPr>
        <w:t xml:space="preserve">heir marital status, race, etc. However, </w:t>
      </w:r>
      <w:r w:rsidR="00A42F93" w:rsidRPr="00160213">
        <w:rPr>
          <w:rFonts w:eastAsiaTheme="minorHAnsi"/>
          <w:lang w:val="ms-MY"/>
        </w:rPr>
        <w:t>the UAE banksare not heavily involve</w:t>
      </w:r>
      <w:r w:rsidR="00160213" w:rsidRPr="00160213">
        <w:rPr>
          <w:rFonts w:eastAsiaTheme="minorHAnsi"/>
          <w:lang w:val="ms-MY"/>
        </w:rPr>
        <w:t xml:space="preserve">d in problems of climate change. Moreover, </w:t>
      </w:r>
      <w:r w:rsidR="00A42F93" w:rsidRPr="00160213">
        <w:rPr>
          <w:rFonts w:eastAsiaTheme="minorHAnsi"/>
          <w:lang w:val="ms-MY"/>
        </w:rPr>
        <w:t xml:space="preserve">the banks strongly support </w:t>
      </w:r>
      <w:r w:rsidR="00160213" w:rsidRPr="00160213">
        <w:rPr>
          <w:rFonts w:eastAsiaTheme="minorHAnsi"/>
          <w:lang w:val="ms-MY"/>
        </w:rPr>
        <w:t xml:space="preserve">CSR </w:t>
      </w:r>
      <w:r w:rsidR="00A42F93" w:rsidRPr="00160213">
        <w:rPr>
          <w:rFonts w:eastAsiaTheme="minorHAnsi"/>
          <w:lang w:val="ms-MY"/>
        </w:rPr>
        <w:t>efforts to payback</w:t>
      </w:r>
      <w:r w:rsidR="00160213" w:rsidRPr="00160213">
        <w:rPr>
          <w:rFonts w:eastAsiaTheme="minorHAnsi"/>
          <w:lang w:val="ms-MY"/>
        </w:rPr>
        <w:t xml:space="preserve"> while</w:t>
      </w:r>
      <w:r w:rsidR="00A42F93" w:rsidRPr="00160213">
        <w:rPr>
          <w:rFonts w:eastAsiaTheme="minorHAnsi"/>
          <w:lang w:val="ms-MY"/>
        </w:rPr>
        <w:t xml:space="preserve"> they place less emphasis on pub</w:t>
      </w:r>
      <w:r w:rsidR="00160213" w:rsidRPr="00160213">
        <w:rPr>
          <w:rFonts w:eastAsiaTheme="minorHAnsi"/>
          <w:lang w:val="ms-MY"/>
        </w:rPr>
        <w:t>lic policy support for CSR.</w:t>
      </w:r>
    </w:p>
    <w:p w:rsidR="00A42F93" w:rsidRPr="00160213" w:rsidRDefault="00A42F93" w:rsidP="00E22F37">
      <w:pPr>
        <w:autoSpaceDE w:val="0"/>
        <w:autoSpaceDN w:val="0"/>
        <w:adjustRightInd w:val="0"/>
        <w:rPr>
          <w:rFonts w:eastAsiaTheme="minorHAnsi"/>
          <w:sz w:val="20"/>
          <w:szCs w:val="20"/>
          <w:lang w:val="ms-MY"/>
        </w:rPr>
      </w:pPr>
    </w:p>
    <w:p w:rsidR="00524FE9" w:rsidRPr="00075F06" w:rsidRDefault="001A5AC0" w:rsidP="00160213">
      <w:pPr>
        <w:autoSpaceDE w:val="0"/>
        <w:autoSpaceDN w:val="0"/>
        <w:adjustRightInd w:val="0"/>
        <w:spacing w:line="276" w:lineRule="auto"/>
        <w:jc w:val="both"/>
        <w:rPr>
          <w:rFonts w:eastAsiaTheme="minorHAnsi"/>
          <w:lang w:val="ms-MY"/>
        </w:rPr>
      </w:pPr>
      <w:r w:rsidRPr="00075F06">
        <w:rPr>
          <w:rFonts w:eastAsiaTheme="minorHAnsi"/>
          <w:lang w:val="ms-MY"/>
        </w:rPr>
        <w:t>In order to bring the vast unbanked/under-banked population under the umbrella of formal financial service</w:t>
      </w:r>
      <w:r w:rsidR="00160213">
        <w:rPr>
          <w:rFonts w:eastAsiaTheme="minorHAnsi"/>
          <w:lang w:val="ms-MY"/>
        </w:rPr>
        <w:t>,</w:t>
      </w:r>
      <w:r w:rsidRPr="00075F06">
        <w:rPr>
          <w:lang w:val="ms-MY"/>
        </w:rPr>
        <w:t xml:space="preserve"> the Central Bank of Bangladesh</w:t>
      </w:r>
      <w:r w:rsidRPr="00075F06">
        <w:rPr>
          <w:rFonts w:eastAsiaTheme="minorHAnsi"/>
          <w:lang w:val="ms-MY"/>
        </w:rPr>
        <w:t xml:space="preserve"> has taken steps to introduce bank-led mobile financial services (</w:t>
      </w:r>
      <w:r w:rsidRPr="00710207">
        <w:rPr>
          <w:rFonts w:eastAsiaTheme="minorHAnsi"/>
          <w:lang w:val="ms-MY"/>
        </w:rPr>
        <w:t>Bangladesh Bank, 2013</w:t>
      </w:r>
      <w:r w:rsidR="00710207" w:rsidRPr="00710207">
        <w:rPr>
          <w:rFonts w:eastAsiaTheme="minorHAnsi"/>
          <w:lang w:val="ms-MY"/>
        </w:rPr>
        <w:t>a</w:t>
      </w:r>
      <w:r w:rsidRPr="00075F06">
        <w:rPr>
          <w:lang w:val="ms-MY"/>
        </w:rPr>
        <w:t>)</w:t>
      </w:r>
      <w:r w:rsidRPr="00075F06">
        <w:rPr>
          <w:rFonts w:eastAsiaTheme="minorHAnsi"/>
          <w:lang w:val="ms-MY"/>
        </w:rPr>
        <w:t>. In this regard,</w:t>
      </w:r>
      <w:r w:rsidR="00566B61" w:rsidRPr="00710207">
        <w:t>Ahmed (2012)</w:t>
      </w:r>
      <w:r w:rsidR="00566B61" w:rsidRPr="00075F06">
        <w:t xml:space="preserve"> attempted to find out </w:t>
      </w:r>
      <w:r w:rsidR="00566B61" w:rsidRPr="00075F06">
        <w:lastRenderedPageBreak/>
        <w:t xml:space="preserve">the problems and prospects of mobile banking in enhancing financial inclusion of the banking sector in Bangladesh. The study found that </w:t>
      </w:r>
      <w:r w:rsidR="003B0722" w:rsidRPr="00075F06">
        <w:t xml:space="preserve">all of the respondents (100%)do agree that mobile banking services are speedy. Nearly 61% of the respondents think that mobile banking saves time than traditional banking, and 56% replied that it is less expensive than traditional banking. However, only 21% of </w:t>
      </w:r>
      <w:r w:rsidR="00566B61" w:rsidRPr="00075F06">
        <w:t>the respondents use mobile bankin</w:t>
      </w:r>
      <w:r w:rsidR="003B0722" w:rsidRPr="00075F06">
        <w:t>g for ‘Air-time top-up’ service. The study reported that although the</w:t>
      </w:r>
      <w:r w:rsidR="00566B61" w:rsidRPr="00075F06">
        <w:t xml:space="preserve"> concept</w:t>
      </w:r>
      <w:r w:rsidR="003B0722" w:rsidRPr="00075F06">
        <w:t xml:space="preserve"> of mobile banking</w:t>
      </w:r>
      <w:r w:rsidR="00566B61" w:rsidRPr="00075F06">
        <w:t xml:space="preserve"> is new in Bangladesh but its potentiality is high.</w:t>
      </w:r>
      <w:r w:rsidR="00994AFE" w:rsidRPr="00075F06">
        <w:t xml:space="preserve"> In line with the previous study, </w:t>
      </w:r>
      <w:proofErr w:type="spellStart"/>
      <w:r w:rsidR="00994AFE" w:rsidRPr="003E0250">
        <w:t>Ndlovu</w:t>
      </w:r>
      <w:proofErr w:type="spellEnd"/>
      <w:r w:rsidR="00994AFE" w:rsidRPr="003E0250">
        <w:t xml:space="preserve"> (2013)</w:t>
      </w:r>
      <w:r w:rsidR="00994AFE" w:rsidRPr="00075F06">
        <w:t xml:space="preserve"> investigated the </w:t>
      </w:r>
      <w:r w:rsidR="00994AFE" w:rsidRPr="00075F06">
        <w:rPr>
          <w:bCs/>
        </w:rPr>
        <w:t xml:space="preserve">role of mobile banking to rural financial inclusion in Zimbabwe. </w:t>
      </w:r>
      <w:r w:rsidR="00994AFE" w:rsidRPr="00075F06">
        <w:rPr>
          <w:iCs/>
        </w:rPr>
        <w:t xml:space="preserve">The study revealed that mobile banking has the potential to reduce poverty by bringing </w:t>
      </w:r>
      <w:r w:rsidR="00E82084" w:rsidRPr="00075F06">
        <w:rPr>
          <w:iCs/>
        </w:rPr>
        <w:t xml:space="preserve">the previously excluded rural communities </w:t>
      </w:r>
      <w:r w:rsidR="00994AFE" w:rsidRPr="00075F06">
        <w:rPr>
          <w:iCs/>
        </w:rPr>
        <w:t>in</w:t>
      </w:r>
      <w:r w:rsidR="00E82084" w:rsidRPr="00075F06">
        <w:rPr>
          <w:iCs/>
        </w:rPr>
        <w:t>to mainstream economic activities in the country.</w:t>
      </w:r>
      <w:r w:rsidR="00383E6E" w:rsidRPr="00075F06">
        <w:rPr>
          <w:iCs/>
        </w:rPr>
        <w:t xml:space="preserve"> A study in </w:t>
      </w:r>
      <w:r w:rsidR="00383E6E" w:rsidRPr="00075F06">
        <w:t>Mexico evaluated the development and potential of mobile banking in enhancing financial inclusion in the country (</w:t>
      </w:r>
      <w:r w:rsidR="00383E6E" w:rsidRPr="008611DD">
        <w:t>Alonso, 2013</w:t>
      </w:r>
      <w:r w:rsidR="00383E6E" w:rsidRPr="00075F06">
        <w:t xml:space="preserve">). The </w:t>
      </w:r>
      <w:r w:rsidR="00956DD8" w:rsidRPr="00075F06">
        <w:t>study revealed that majority of the respondents perceives</w:t>
      </w:r>
      <w:r w:rsidR="00383E6E" w:rsidRPr="00075F06">
        <w:t xml:space="preserve"> mobile banking as a channel to access the financial system. </w:t>
      </w:r>
      <w:r w:rsidR="00956DD8" w:rsidRPr="00075F06">
        <w:t>However, by gender, it was found that males have a greater number of mobile banking accounts than females.</w:t>
      </w:r>
    </w:p>
    <w:p w:rsidR="00524FE9" w:rsidRDefault="00524FE9" w:rsidP="001E3531">
      <w:pPr>
        <w:spacing w:line="276" w:lineRule="auto"/>
        <w:jc w:val="both"/>
      </w:pPr>
    </w:p>
    <w:p w:rsidR="00325334" w:rsidRPr="000A725C" w:rsidRDefault="00524FE9" w:rsidP="000A725C">
      <w:pPr>
        <w:autoSpaceDE w:val="0"/>
        <w:autoSpaceDN w:val="0"/>
        <w:adjustRightInd w:val="0"/>
        <w:spacing w:line="276" w:lineRule="auto"/>
        <w:jc w:val="both"/>
        <w:rPr>
          <w:rFonts w:eastAsiaTheme="minorHAnsi"/>
          <w:lang w:val="ms-MY"/>
        </w:rPr>
      </w:pPr>
      <w:r>
        <w:t>The a</w:t>
      </w:r>
      <w:r w:rsidR="008754ED">
        <w:t>bove</w:t>
      </w:r>
      <w:r>
        <w:t xml:space="preserve"> review of </w:t>
      </w:r>
      <w:r w:rsidR="008754ED">
        <w:t>literatures suggest</w:t>
      </w:r>
      <w:r>
        <w:t>s</w:t>
      </w:r>
      <w:r w:rsidR="008754ED">
        <w:t xml:space="preserve"> that</w:t>
      </w:r>
      <w:r>
        <w:t xml:space="preserve"> the nature and patterns of CSR practices of banking sector differ from country to country and even from bank to bank.</w:t>
      </w:r>
      <w:r w:rsidR="00325334">
        <w:rPr>
          <w:rFonts w:eastAsiaTheme="minorHAnsi"/>
          <w:lang w:val="ms-MY"/>
        </w:rPr>
        <w:t xml:space="preserve">However, there are not many studies directly related to CSR </w:t>
      </w:r>
      <w:r w:rsidR="00325334" w:rsidRPr="000A725C">
        <w:rPr>
          <w:rFonts w:eastAsiaTheme="minorHAnsi"/>
          <w:bCs/>
          <w:iCs/>
        </w:rPr>
        <w:t xml:space="preserve">practices of commercial banks in enhancing </w:t>
      </w:r>
      <w:r w:rsidR="000A725C" w:rsidRPr="000A725C">
        <w:rPr>
          <w:rFonts w:eastAsiaTheme="minorHAnsi"/>
          <w:bCs/>
          <w:iCs/>
        </w:rPr>
        <w:t>financial i</w:t>
      </w:r>
      <w:r w:rsidR="00325334" w:rsidRPr="000A725C">
        <w:rPr>
          <w:rFonts w:eastAsiaTheme="minorHAnsi"/>
          <w:bCs/>
          <w:iCs/>
        </w:rPr>
        <w:t>nclusion</w:t>
      </w:r>
      <w:r w:rsidR="000A725C" w:rsidRPr="000A725C">
        <w:rPr>
          <w:rFonts w:eastAsiaTheme="minorHAnsi"/>
          <w:bCs/>
          <w:iCs/>
        </w:rPr>
        <w:t xml:space="preserve"> in Bangladesh.</w:t>
      </w:r>
    </w:p>
    <w:p w:rsidR="00524FE9" w:rsidRDefault="00524FE9" w:rsidP="00524FE9">
      <w:pPr>
        <w:spacing w:line="276" w:lineRule="auto"/>
        <w:jc w:val="both"/>
        <w:rPr>
          <w:b/>
        </w:rPr>
      </w:pPr>
    </w:p>
    <w:p w:rsidR="00AC5972" w:rsidRPr="00575B70" w:rsidRDefault="00D928AD" w:rsidP="00575B70">
      <w:pPr>
        <w:spacing w:line="360" w:lineRule="auto"/>
        <w:jc w:val="both"/>
        <w:rPr>
          <w:b/>
        </w:rPr>
      </w:pPr>
      <w:r>
        <w:rPr>
          <w:b/>
        </w:rPr>
        <w:t xml:space="preserve">Materials and </w:t>
      </w:r>
      <w:r w:rsidR="00620DEF">
        <w:rPr>
          <w:b/>
        </w:rPr>
        <w:t>Method</w:t>
      </w:r>
      <w:r>
        <w:rPr>
          <w:b/>
        </w:rPr>
        <w:t>s</w:t>
      </w:r>
    </w:p>
    <w:p w:rsidR="00AC5972" w:rsidRPr="00AC5972" w:rsidRDefault="009142D8" w:rsidP="007B268A">
      <w:pPr>
        <w:autoSpaceDE w:val="0"/>
        <w:autoSpaceDN w:val="0"/>
        <w:adjustRightInd w:val="0"/>
        <w:spacing w:line="276" w:lineRule="auto"/>
        <w:jc w:val="both"/>
        <w:rPr>
          <w:rFonts w:eastAsia="E-BZ"/>
        </w:rPr>
      </w:pPr>
      <w:r w:rsidRPr="00AC5972">
        <w:t xml:space="preserve">The study is based on secondary data and information on CSR initiatives of the commercial banks, </w:t>
      </w:r>
      <w:r w:rsidR="00D377AE" w:rsidRPr="00AC5972">
        <w:rPr>
          <w:rFonts w:eastAsiaTheme="minorHAnsi"/>
          <w:bCs/>
        </w:rPr>
        <w:t>major financial inclusion p</w:t>
      </w:r>
      <w:r w:rsidRPr="00AC5972">
        <w:rPr>
          <w:rFonts w:eastAsiaTheme="minorHAnsi"/>
          <w:bCs/>
        </w:rPr>
        <w:t>rograms</w:t>
      </w:r>
      <w:r w:rsidR="00D377AE" w:rsidRPr="00AC5972">
        <w:rPr>
          <w:rFonts w:eastAsiaTheme="minorHAnsi"/>
          <w:bCs/>
        </w:rPr>
        <w:t xml:space="preserve"> u</w:t>
      </w:r>
      <w:r w:rsidRPr="00AC5972">
        <w:rPr>
          <w:rFonts w:eastAsiaTheme="minorHAnsi"/>
          <w:bCs/>
        </w:rPr>
        <w:t>ndertaken by</w:t>
      </w:r>
      <w:r w:rsidR="00D377AE" w:rsidRPr="00AC5972">
        <w:rPr>
          <w:rFonts w:eastAsiaTheme="minorHAnsi"/>
          <w:bCs/>
        </w:rPr>
        <w:t xml:space="preserve"> the banks,</w:t>
      </w:r>
      <w:r w:rsidR="00D377AE" w:rsidRPr="00AC5972">
        <w:t>geographic and demographic penetration of financial i</w:t>
      </w:r>
      <w:r w:rsidRPr="00AC5972">
        <w:t xml:space="preserve">nclusion </w:t>
      </w:r>
      <w:r w:rsidR="00D377AE" w:rsidRPr="00AC5972">
        <w:rPr>
          <w:rFonts w:eastAsiaTheme="minorHAnsi"/>
          <w:bCs/>
        </w:rPr>
        <w:t xml:space="preserve">programs and </w:t>
      </w:r>
      <w:r w:rsidR="00D377AE" w:rsidRPr="00AC5972">
        <w:t>benefits of financial inclusion.</w:t>
      </w:r>
      <w:r w:rsidR="002A0288" w:rsidRPr="00AC5972">
        <w:t xml:space="preserve"> Currently,t</w:t>
      </w:r>
      <w:r w:rsidR="004D5FA8" w:rsidRPr="00AC5972">
        <w:t>here are 52 commercial banks</w:t>
      </w:r>
      <w:r w:rsidR="002A0288" w:rsidRPr="00AC5972">
        <w:t xml:space="preserve"> o</w:t>
      </w:r>
      <w:r w:rsidR="008A0D7B" w:rsidRPr="00AC5972">
        <w:t>perat</w:t>
      </w:r>
      <w:r w:rsidR="002A0288" w:rsidRPr="00AC5972">
        <w:t>ing</w:t>
      </w:r>
      <w:r w:rsidR="004D5FA8" w:rsidRPr="00AC5972">
        <w:t xml:space="preserve"> in Bangladesh</w:t>
      </w:r>
      <w:r w:rsidR="008A0D7B" w:rsidRPr="00AC5972">
        <w:t>. Some of them ares</w:t>
      </w:r>
      <w:r w:rsidR="00A10FD0" w:rsidRPr="00AC5972">
        <w:t>tate own</w:t>
      </w:r>
      <w:r w:rsidR="008A0D7B" w:rsidRPr="00AC5972">
        <w:t>ed</w:t>
      </w:r>
      <w:r w:rsidR="00A10FD0" w:rsidRPr="00AC5972">
        <w:t xml:space="preserve"> commercial bank</w:t>
      </w:r>
      <w:r w:rsidR="008A0D7B" w:rsidRPr="00AC5972">
        <w:t>s</w:t>
      </w:r>
      <w:r w:rsidR="00AA551A">
        <w:t xml:space="preserve"> (</w:t>
      </w:r>
      <w:r w:rsidR="00AA551A" w:rsidRPr="00005043">
        <w:rPr>
          <w:rFonts w:eastAsiaTheme="minorHAnsi"/>
          <w:bCs/>
          <w:iCs/>
        </w:rPr>
        <w:t>SCB</w:t>
      </w:r>
      <w:r w:rsidR="00AA551A">
        <w:rPr>
          <w:rFonts w:eastAsiaTheme="minorHAnsi"/>
          <w:bCs/>
          <w:iCs/>
        </w:rPr>
        <w:t>s</w:t>
      </w:r>
      <w:r w:rsidR="00AA551A">
        <w:t>)</w:t>
      </w:r>
      <w:r w:rsidR="00A10FD0" w:rsidRPr="00AC5972">
        <w:t>,</w:t>
      </w:r>
      <w:r w:rsidR="008A0D7B" w:rsidRPr="00AC5972">
        <w:t xml:space="preserve"> and some others arep</w:t>
      </w:r>
      <w:r w:rsidR="00A10FD0" w:rsidRPr="00AC5972">
        <w:t>rivate commercial bank</w:t>
      </w:r>
      <w:r w:rsidR="008A0D7B" w:rsidRPr="00AC5972">
        <w:t>s</w:t>
      </w:r>
      <w:r w:rsidR="00AA551A">
        <w:t xml:space="preserve"> (</w:t>
      </w:r>
      <w:r w:rsidR="00AA551A">
        <w:rPr>
          <w:rFonts w:eastAsiaTheme="minorHAnsi"/>
          <w:bCs/>
          <w:iCs/>
        </w:rPr>
        <w:t>P</w:t>
      </w:r>
      <w:r w:rsidR="00AA551A" w:rsidRPr="00005043">
        <w:rPr>
          <w:rFonts w:eastAsiaTheme="minorHAnsi"/>
          <w:bCs/>
          <w:iCs/>
        </w:rPr>
        <w:t>CB</w:t>
      </w:r>
      <w:r w:rsidR="00AA551A">
        <w:rPr>
          <w:rFonts w:eastAsiaTheme="minorHAnsi"/>
          <w:bCs/>
          <w:iCs/>
        </w:rPr>
        <w:t>s</w:t>
      </w:r>
      <w:r w:rsidR="00AA551A">
        <w:t>)</w:t>
      </w:r>
      <w:r w:rsidR="00A10FD0" w:rsidRPr="00AC5972">
        <w:t xml:space="preserve"> and </w:t>
      </w:r>
      <w:r w:rsidR="008A0D7B" w:rsidRPr="00AC5972">
        <w:t>f</w:t>
      </w:r>
      <w:r w:rsidR="00A10FD0" w:rsidRPr="00AC5972">
        <w:t>oreign commercial bank</w:t>
      </w:r>
      <w:r w:rsidR="008A0D7B" w:rsidRPr="00AC5972">
        <w:t>s</w:t>
      </w:r>
      <w:r w:rsidR="00AA551A">
        <w:t xml:space="preserve"> (</w:t>
      </w:r>
      <w:r w:rsidR="00AA551A">
        <w:rPr>
          <w:rFonts w:eastAsiaTheme="minorHAnsi"/>
          <w:bCs/>
          <w:iCs/>
        </w:rPr>
        <w:t>F</w:t>
      </w:r>
      <w:r w:rsidR="00AA551A" w:rsidRPr="00005043">
        <w:rPr>
          <w:rFonts w:eastAsiaTheme="minorHAnsi"/>
          <w:bCs/>
          <w:iCs/>
        </w:rPr>
        <w:t>CB</w:t>
      </w:r>
      <w:r w:rsidR="00AA551A">
        <w:rPr>
          <w:rFonts w:eastAsiaTheme="minorHAnsi"/>
          <w:bCs/>
          <w:iCs/>
        </w:rPr>
        <w:t>s</w:t>
      </w:r>
      <w:r w:rsidR="00AA551A">
        <w:t>)</w:t>
      </w:r>
      <w:r w:rsidR="00E16046" w:rsidRPr="00AC5972">
        <w:t>.</w:t>
      </w:r>
      <w:r w:rsidR="008A0D7B" w:rsidRPr="00AC5972">
        <w:t xml:space="preserve"> Data were collected from10 (ten) </w:t>
      </w:r>
      <w:r w:rsidR="00E346B9" w:rsidRPr="00AC5972">
        <w:t xml:space="preserve">selected </w:t>
      </w:r>
      <w:r w:rsidR="008A0D7B" w:rsidRPr="00AC5972">
        <w:t>commercial banks</w:t>
      </w:r>
      <w:r w:rsidR="00D05735">
        <w:t xml:space="preserve"> for the period of 2008- 2012</w:t>
      </w:r>
      <w:r w:rsidR="00B35308" w:rsidRPr="00AC5972">
        <w:t xml:space="preserve">. </w:t>
      </w:r>
      <w:r w:rsidR="008A0D7B" w:rsidRPr="00AC5972">
        <w:t>Random sampling method was applied to select the b</w:t>
      </w:r>
      <w:r w:rsidR="00B35308" w:rsidRPr="00AC5972">
        <w:t>anks</w:t>
      </w:r>
      <w:r w:rsidR="008A0D7B" w:rsidRPr="00AC5972">
        <w:t xml:space="preserve">. </w:t>
      </w:r>
      <w:r w:rsidR="00026109" w:rsidRPr="00AC5972">
        <w:t>The sample selection had been made as per random sampling process i.e. selecting one (1) bank out of every five (5) banks from the total of 52 listed down commercial banks.</w:t>
      </w:r>
      <w:r w:rsidR="00B0388D" w:rsidRPr="00AC5972">
        <w:t xml:space="preserve"> Moreover, empirical data and information were extracted from financial reports of Bangladesh Bank (the Central Bank of Bangladesh), annual reports of commercial banks, CSR initiatives reports and published journals to get an overall scenario of financial inclusion of c</w:t>
      </w:r>
      <w:r w:rsidR="00AC5972" w:rsidRPr="00AC5972">
        <w:t>ommercial banks in the country. S</w:t>
      </w:r>
      <w:r w:rsidR="00AC5972" w:rsidRPr="00AC5972">
        <w:rPr>
          <w:bCs/>
        </w:rPr>
        <w:t xml:space="preserve">ummary descriptive statistics (viz. summation, mean, frequency, maximum, minimum, ratio and percentage) were applied to analyze the data. </w:t>
      </w:r>
    </w:p>
    <w:p w:rsidR="006E2938" w:rsidRDefault="006E2938" w:rsidP="006E2938">
      <w:pPr>
        <w:spacing w:line="360" w:lineRule="auto"/>
        <w:jc w:val="both"/>
        <w:rPr>
          <w:b/>
        </w:rPr>
      </w:pPr>
    </w:p>
    <w:p w:rsidR="00D00F2A" w:rsidRPr="00575B70" w:rsidRDefault="006E2938" w:rsidP="00736425">
      <w:pPr>
        <w:spacing w:line="360" w:lineRule="auto"/>
        <w:jc w:val="both"/>
        <w:rPr>
          <w:b/>
        </w:rPr>
      </w:pPr>
      <w:r>
        <w:rPr>
          <w:b/>
        </w:rPr>
        <w:t>Results and Discussion</w:t>
      </w:r>
    </w:p>
    <w:p w:rsidR="000568A3" w:rsidRPr="00D00F2A" w:rsidRDefault="007064D7" w:rsidP="00736425">
      <w:pPr>
        <w:spacing w:line="360" w:lineRule="auto"/>
        <w:jc w:val="both"/>
        <w:rPr>
          <w:b/>
          <w:i/>
        </w:rPr>
      </w:pPr>
      <w:r w:rsidRPr="00D00F2A">
        <w:rPr>
          <w:b/>
          <w:i/>
        </w:rPr>
        <w:t>Benefits of Financial Inclusion</w:t>
      </w:r>
      <w:r w:rsidR="007B268A" w:rsidRPr="00D00F2A">
        <w:rPr>
          <w:b/>
          <w:i/>
        </w:rPr>
        <w:t xml:space="preserve"> of Commercial Banks of Bangladesh (CBBs)</w:t>
      </w:r>
      <w:r w:rsidR="0029241D" w:rsidRPr="00D00F2A">
        <w:rPr>
          <w:b/>
          <w:i/>
        </w:rPr>
        <w:t>:</w:t>
      </w:r>
    </w:p>
    <w:p w:rsidR="00736425" w:rsidRPr="00F00B6E" w:rsidRDefault="007B268A" w:rsidP="00736425">
      <w:pPr>
        <w:spacing w:line="360" w:lineRule="auto"/>
        <w:jc w:val="both"/>
      </w:pPr>
      <w:r>
        <w:t xml:space="preserve">Through the </w:t>
      </w:r>
      <w:r w:rsidR="00736425" w:rsidRPr="00F00B6E">
        <w:t>financial inclusion</w:t>
      </w:r>
      <w:r>
        <w:t xml:space="preserve"> of CBBs, people enjoythe </w:t>
      </w:r>
      <w:r w:rsidR="00736425" w:rsidRPr="00F00B6E">
        <w:t>following benefits:</w:t>
      </w:r>
    </w:p>
    <w:p w:rsidR="00736425" w:rsidRPr="00F00B6E" w:rsidRDefault="00736425" w:rsidP="00A65D95">
      <w:pPr>
        <w:pStyle w:val="ListParagraph"/>
        <w:numPr>
          <w:ilvl w:val="0"/>
          <w:numId w:val="4"/>
        </w:numPr>
        <w:spacing w:line="276" w:lineRule="auto"/>
        <w:jc w:val="both"/>
      </w:pPr>
      <w:r w:rsidRPr="00F00B6E">
        <w:lastRenderedPageBreak/>
        <w:t xml:space="preserve">Access to credit in the formal sector may also open up entrepreneurship opportunities for low income populations and increase the scope for investment. </w:t>
      </w:r>
    </w:p>
    <w:p w:rsidR="00736425" w:rsidRPr="00F00B6E" w:rsidRDefault="00736425" w:rsidP="00A65D95">
      <w:pPr>
        <w:pStyle w:val="ListParagraph"/>
        <w:numPr>
          <w:ilvl w:val="0"/>
          <w:numId w:val="4"/>
        </w:numPr>
        <w:spacing w:line="276" w:lineRule="auto"/>
        <w:jc w:val="both"/>
      </w:pPr>
      <w:r w:rsidRPr="00F00B6E">
        <w:t xml:space="preserve">Linkages with the formal financial sector enable </w:t>
      </w:r>
      <w:r w:rsidR="007B268A">
        <w:t xml:space="preserve">people </w:t>
      </w:r>
      <w:r w:rsidRPr="00F00B6E">
        <w:t xml:space="preserve">to access different credit, savings and insurance products with </w:t>
      </w:r>
      <w:r w:rsidR="007B268A" w:rsidRPr="00F00B6E">
        <w:t>flexible</w:t>
      </w:r>
      <w:r w:rsidR="007B268A">
        <w:t>conditions provided by regulatory</w:t>
      </w:r>
      <w:r w:rsidRPr="00F00B6E">
        <w:t xml:space="preserve"> institutions. In terms of cost, easy access to the formal financial sector reduces the growth of informal sector credit provided by m</w:t>
      </w:r>
      <w:r w:rsidR="00D00F2A">
        <w:t>oneylenders who</w:t>
      </w:r>
      <w:r w:rsidRPr="00F00B6E">
        <w:t xml:space="preserve"> can often be expensive and exploitive. </w:t>
      </w:r>
    </w:p>
    <w:p w:rsidR="00736425" w:rsidRPr="00F00B6E" w:rsidRDefault="00D00F2A" w:rsidP="00A65D95">
      <w:pPr>
        <w:pStyle w:val="ListParagraph"/>
        <w:numPr>
          <w:ilvl w:val="0"/>
          <w:numId w:val="4"/>
        </w:numPr>
        <w:spacing w:line="276" w:lineRule="auto"/>
        <w:jc w:val="both"/>
      </w:pPr>
      <w:r>
        <w:t>A single</w:t>
      </w:r>
      <w:r w:rsidR="00736425" w:rsidRPr="00F00B6E">
        <w:t xml:space="preserve"> account can be used for multiple purposes including making payments for essential utilities, receiving benefits from government programs; therefore contributing to financial deepening. </w:t>
      </w:r>
    </w:p>
    <w:p w:rsidR="00736425" w:rsidRPr="00F00B6E" w:rsidRDefault="00736425" w:rsidP="00A65D95">
      <w:pPr>
        <w:pStyle w:val="ListParagraph"/>
        <w:numPr>
          <w:ilvl w:val="0"/>
          <w:numId w:val="4"/>
        </w:numPr>
        <w:spacing w:line="276" w:lineRule="auto"/>
        <w:jc w:val="both"/>
      </w:pPr>
      <w:r>
        <w:t>A</w:t>
      </w:r>
      <w:r w:rsidRPr="00F00B6E">
        <w:t>ccess to financial services allows the poor to save money safely outside their homes, prevents the concentration of economic power with a few individuals and helps to mitigate the risks that the poor face as a result of economic shocks or natural calamities</w:t>
      </w:r>
      <w:r w:rsidR="00D00F2A">
        <w:t>.</w:t>
      </w:r>
    </w:p>
    <w:p w:rsidR="00A86B7F" w:rsidRDefault="00A86B7F" w:rsidP="00736425">
      <w:pPr>
        <w:spacing w:line="360" w:lineRule="auto"/>
        <w:jc w:val="both"/>
      </w:pPr>
    </w:p>
    <w:p w:rsidR="002D55D7" w:rsidRPr="00575B70" w:rsidRDefault="00A86B7F" w:rsidP="00575B70">
      <w:pPr>
        <w:spacing w:line="360" w:lineRule="auto"/>
        <w:jc w:val="both"/>
        <w:rPr>
          <w:b/>
          <w:i/>
        </w:rPr>
      </w:pPr>
      <w:r w:rsidRPr="00925250">
        <w:rPr>
          <w:b/>
          <w:i/>
        </w:rPr>
        <w:t>Overall Financial Inclusion Scenarios of CBBs</w:t>
      </w:r>
      <w:r w:rsidR="00A65D95" w:rsidRPr="00925250">
        <w:rPr>
          <w:b/>
          <w:i/>
        </w:rPr>
        <w:t>:</w:t>
      </w:r>
    </w:p>
    <w:p w:rsidR="002D55D7" w:rsidRDefault="00A65D95" w:rsidP="002D55D7">
      <w:pPr>
        <w:spacing w:line="276" w:lineRule="auto"/>
        <w:jc w:val="both"/>
      </w:pPr>
      <w:r>
        <w:t>Table 1</w:t>
      </w:r>
      <w:r w:rsidR="00491181">
        <w:t xml:space="preserve"> shows the o</w:t>
      </w:r>
      <w:r w:rsidR="00736425">
        <w:t xml:space="preserve">verall financial inclusion scenarios of </w:t>
      </w:r>
      <w:r w:rsidR="00491181">
        <w:t>commercial banks in Bangladesh between 2008 and 2012</w:t>
      </w:r>
      <w:r w:rsidR="00736425">
        <w:t>.</w:t>
      </w:r>
      <w:r w:rsidR="00491181">
        <w:t>The findings indicate</w:t>
      </w:r>
      <w:r w:rsidRPr="00F00B6E">
        <w:t xml:space="preserve"> that the</w:t>
      </w:r>
      <w:r w:rsidR="00417ADD">
        <w:t xml:space="preserve">re was a rising trend of </w:t>
      </w:r>
      <w:r w:rsidRPr="00F00B6E">
        <w:t>financial inclusion</w:t>
      </w:r>
      <w:r w:rsidR="00417ADD">
        <w:t xml:space="preserve"> of people into the banking sector of the country.</w:t>
      </w:r>
      <w:r w:rsidRPr="00F00B6E">
        <w:t xml:space="preserve"> It is obser</w:t>
      </w:r>
      <w:r w:rsidR="00417ADD">
        <w:t>ved that</w:t>
      </w:r>
      <w:r w:rsidR="00A62575">
        <w:t xml:space="preserve"> the number of deposit accounts in the banks has increased from 37.60 percent in 2008 to </w:t>
      </w:r>
      <w:r w:rsidR="00A62575" w:rsidRPr="00F00B6E">
        <w:t>51.12</w:t>
      </w:r>
      <w:r w:rsidR="00A62575">
        <w:t xml:space="preserve">percent in 2012. This is mainly </w:t>
      </w:r>
      <w:r w:rsidR="009900F3">
        <w:t>due to introducing</w:t>
      </w:r>
      <w:r w:rsidR="009900F3" w:rsidRPr="00F00B6E">
        <w:t>10 Taka account</w:t>
      </w:r>
      <w:r w:rsidR="009900F3">
        <w:t xml:space="preserve"> by the banks during the </w:t>
      </w:r>
      <w:r w:rsidR="009900F3" w:rsidRPr="00F00B6E">
        <w:t>last five years</w:t>
      </w:r>
      <w:r w:rsidR="009900F3">
        <w:t>.</w:t>
      </w:r>
      <w:r w:rsidR="002D55D7">
        <w:t xml:space="preserve"> Consequently f</w:t>
      </w:r>
      <w:r w:rsidR="00417ADD">
        <w:t xml:space="preserve">inancial inclusion in terms </w:t>
      </w:r>
      <w:r w:rsidRPr="00F00B6E">
        <w:t>of total population increased from 48.86 percent in 2008 to 63.46 percent in 2012.</w:t>
      </w:r>
      <w:r w:rsidR="002D55D7">
        <w:t xml:space="preserve"> Similarlyfinancial inclusion</w:t>
      </w:r>
      <w:r w:rsidRPr="00F00B6E">
        <w:t xml:space="preserve"> increased from 77.63 percent in 2008 to 95.12 percent in 2012 </w:t>
      </w:r>
      <w:r w:rsidR="002D55D7">
        <w:t>i</w:t>
      </w:r>
      <w:r w:rsidR="002D55D7" w:rsidRPr="00F00B6E">
        <w:t>n terms of adult population</w:t>
      </w:r>
      <w:r w:rsidR="002D55D7">
        <w:t>.</w:t>
      </w:r>
    </w:p>
    <w:p w:rsidR="00575B70" w:rsidRPr="009F534D" w:rsidRDefault="00575B70" w:rsidP="002D55D7">
      <w:pPr>
        <w:spacing w:line="276" w:lineRule="auto"/>
        <w:jc w:val="both"/>
      </w:pPr>
    </w:p>
    <w:p w:rsidR="004B0AF7" w:rsidRDefault="004B0AF7" w:rsidP="009F534D">
      <w:pPr>
        <w:jc w:val="center"/>
      </w:pPr>
    </w:p>
    <w:p w:rsidR="004B0AF7" w:rsidRDefault="004B0AF7" w:rsidP="009F534D">
      <w:pPr>
        <w:jc w:val="center"/>
      </w:pPr>
    </w:p>
    <w:p w:rsidR="0007068B" w:rsidRDefault="0007068B" w:rsidP="009F534D">
      <w:pPr>
        <w:jc w:val="center"/>
      </w:pPr>
    </w:p>
    <w:p w:rsidR="0007068B" w:rsidRDefault="0007068B" w:rsidP="009F534D">
      <w:pPr>
        <w:jc w:val="center"/>
      </w:pPr>
    </w:p>
    <w:p w:rsidR="0007068B" w:rsidRDefault="0007068B" w:rsidP="009F534D">
      <w:pPr>
        <w:jc w:val="center"/>
      </w:pPr>
    </w:p>
    <w:p w:rsidR="0007068B" w:rsidRDefault="0007068B" w:rsidP="009F534D">
      <w:pPr>
        <w:jc w:val="center"/>
      </w:pPr>
    </w:p>
    <w:p w:rsidR="0007068B" w:rsidRDefault="0007068B" w:rsidP="009F534D">
      <w:pPr>
        <w:jc w:val="center"/>
      </w:pPr>
    </w:p>
    <w:p w:rsidR="0007068B" w:rsidRDefault="0007068B" w:rsidP="009F534D">
      <w:pPr>
        <w:jc w:val="center"/>
      </w:pPr>
    </w:p>
    <w:p w:rsidR="0007068B" w:rsidRDefault="0007068B" w:rsidP="009F534D">
      <w:pPr>
        <w:jc w:val="center"/>
      </w:pPr>
    </w:p>
    <w:p w:rsidR="0007068B" w:rsidRDefault="0007068B" w:rsidP="009F534D">
      <w:pPr>
        <w:jc w:val="center"/>
      </w:pPr>
    </w:p>
    <w:p w:rsidR="0007068B" w:rsidRDefault="0007068B" w:rsidP="009F534D">
      <w:pPr>
        <w:jc w:val="center"/>
      </w:pPr>
    </w:p>
    <w:p w:rsidR="0007068B" w:rsidRDefault="0007068B" w:rsidP="009F534D">
      <w:pPr>
        <w:jc w:val="center"/>
      </w:pPr>
    </w:p>
    <w:p w:rsidR="0007068B" w:rsidRDefault="0007068B" w:rsidP="009F534D">
      <w:pPr>
        <w:jc w:val="center"/>
      </w:pPr>
    </w:p>
    <w:p w:rsidR="0007068B" w:rsidRDefault="0007068B" w:rsidP="009F534D">
      <w:pPr>
        <w:jc w:val="center"/>
      </w:pPr>
    </w:p>
    <w:p w:rsidR="0007068B" w:rsidRDefault="0007068B" w:rsidP="009F534D">
      <w:pPr>
        <w:jc w:val="center"/>
      </w:pPr>
    </w:p>
    <w:p w:rsidR="0007068B" w:rsidRDefault="0007068B" w:rsidP="009F534D">
      <w:pPr>
        <w:jc w:val="center"/>
      </w:pPr>
    </w:p>
    <w:p w:rsidR="0007068B" w:rsidRDefault="0007068B" w:rsidP="009F534D">
      <w:pPr>
        <w:jc w:val="center"/>
      </w:pPr>
    </w:p>
    <w:p w:rsidR="004B0AF7" w:rsidRDefault="004B0AF7" w:rsidP="009F534D">
      <w:pPr>
        <w:jc w:val="center"/>
      </w:pPr>
    </w:p>
    <w:p w:rsidR="004B0AF7" w:rsidRDefault="004B0AF7" w:rsidP="009F534D">
      <w:pPr>
        <w:jc w:val="center"/>
      </w:pPr>
    </w:p>
    <w:p w:rsidR="009F534D" w:rsidRPr="009F534D" w:rsidRDefault="00620DEF" w:rsidP="009F534D">
      <w:pPr>
        <w:jc w:val="center"/>
      </w:pPr>
      <w:r w:rsidRPr="009F534D">
        <w:lastRenderedPageBreak/>
        <w:t xml:space="preserve">Table </w:t>
      </w:r>
      <w:r w:rsidR="00AB7605" w:rsidRPr="009F534D">
        <w:t>1</w:t>
      </w:r>
      <w:r w:rsidRPr="009F534D">
        <w:t>:</w:t>
      </w:r>
      <w:r w:rsidR="00736425" w:rsidRPr="009F534D">
        <w:t xml:space="preserve"> Financial </w:t>
      </w:r>
      <w:r w:rsidR="00AE362D">
        <w:t>i</w:t>
      </w:r>
      <w:r w:rsidR="00736425" w:rsidRPr="009F534D">
        <w:t xml:space="preserve">nclusion </w:t>
      </w:r>
      <w:r w:rsidR="00AE362D">
        <w:t xml:space="preserve">of </w:t>
      </w:r>
      <w:r w:rsidR="00736425" w:rsidRPr="009F534D">
        <w:t>CBBs</w:t>
      </w:r>
      <w:r w:rsidR="009F534D">
        <w:t xml:space="preserve"> in terms of population (2008-2012)</w:t>
      </w:r>
    </w:p>
    <w:tbl>
      <w:tblPr>
        <w:tblStyle w:val="TableGrid"/>
        <w:tblpPr w:leftFromText="180" w:rightFromText="180" w:vertAnchor="text" w:tblpY="216"/>
        <w:tblW w:w="0" w:type="auto"/>
        <w:tblLook w:val="04A0"/>
      </w:tblPr>
      <w:tblGrid>
        <w:gridCol w:w="668"/>
        <w:gridCol w:w="1185"/>
        <w:gridCol w:w="1185"/>
        <w:gridCol w:w="1199"/>
        <w:gridCol w:w="1110"/>
        <w:gridCol w:w="1199"/>
        <w:gridCol w:w="1537"/>
        <w:gridCol w:w="1537"/>
      </w:tblGrid>
      <w:tr w:rsidR="00736425" w:rsidRPr="00F00B6E" w:rsidTr="009F534D">
        <w:trPr>
          <w:trHeight w:val="1973"/>
        </w:trPr>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Year</w:t>
            </w:r>
          </w:p>
        </w:tc>
        <w:tc>
          <w:tcPr>
            <w:tcW w:w="1197" w:type="dxa"/>
          </w:tcPr>
          <w:p w:rsidR="00736425" w:rsidRPr="00F00B6E" w:rsidRDefault="00736425" w:rsidP="00B81056">
            <w:pPr>
              <w:rPr>
                <w:rFonts w:ascii="Times New Roman" w:hAnsi="Times New Roman"/>
                <w:sz w:val="24"/>
              </w:rPr>
            </w:pPr>
            <w:r w:rsidRPr="00F00B6E">
              <w:rPr>
                <w:rFonts w:ascii="Times New Roman" w:hAnsi="Times New Roman"/>
                <w:sz w:val="24"/>
              </w:rPr>
              <w:t xml:space="preserve">Adult </w:t>
            </w:r>
          </w:p>
          <w:p w:rsidR="00736425" w:rsidRPr="00F00B6E" w:rsidRDefault="00A65D95" w:rsidP="00B81056">
            <w:pPr>
              <w:rPr>
                <w:rFonts w:ascii="Times New Roman" w:hAnsi="Times New Roman"/>
                <w:sz w:val="24"/>
              </w:rPr>
            </w:pPr>
            <w:r>
              <w:rPr>
                <w:rFonts w:ascii="Times New Roman" w:hAnsi="Times New Roman"/>
                <w:sz w:val="24"/>
              </w:rPr>
              <w:t>p</w:t>
            </w:r>
            <w:r w:rsidR="00736425" w:rsidRPr="00F00B6E">
              <w:rPr>
                <w:rFonts w:ascii="Times New Roman" w:hAnsi="Times New Roman"/>
                <w:sz w:val="24"/>
              </w:rPr>
              <w:t xml:space="preserve">opulation </w:t>
            </w:r>
          </w:p>
          <w:p w:rsidR="00736425" w:rsidRPr="00F00B6E" w:rsidRDefault="00736425" w:rsidP="00B81056">
            <w:pPr>
              <w:rPr>
                <w:rFonts w:ascii="Times New Roman" w:hAnsi="Times New Roman"/>
                <w:sz w:val="24"/>
              </w:rPr>
            </w:pPr>
            <w:r w:rsidRPr="00F00B6E">
              <w:rPr>
                <w:rFonts w:ascii="Times New Roman" w:hAnsi="Times New Roman"/>
                <w:sz w:val="24"/>
              </w:rPr>
              <w:t>(millions)</w:t>
            </w:r>
          </w:p>
          <w:p w:rsidR="00736425" w:rsidRPr="00F00B6E" w:rsidRDefault="00736425" w:rsidP="00B81056">
            <w:pPr>
              <w:spacing w:line="360" w:lineRule="auto"/>
              <w:jc w:val="both"/>
              <w:rPr>
                <w:rFonts w:ascii="Times New Roman" w:hAnsi="Times New Roman"/>
                <w:sz w:val="24"/>
              </w:rPr>
            </w:pPr>
          </w:p>
        </w:tc>
        <w:tc>
          <w:tcPr>
            <w:tcW w:w="1197" w:type="dxa"/>
          </w:tcPr>
          <w:p w:rsidR="00736425" w:rsidRPr="00F00B6E" w:rsidRDefault="00736425" w:rsidP="00B81056">
            <w:pPr>
              <w:rPr>
                <w:rFonts w:ascii="Times New Roman" w:hAnsi="Times New Roman"/>
                <w:sz w:val="24"/>
              </w:rPr>
            </w:pPr>
            <w:r w:rsidRPr="00F00B6E">
              <w:rPr>
                <w:rFonts w:ascii="Times New Roman" w:hAnsi="Times New Roman"/>
                <w:sz w:val="24"/>
              </w:rPr>
              <w:t xml:space="preserve">Total </w:t>
            </w:r>
          </w:p>
          <w:p w:rsidR="00736425" w:rsidRPr="00F00B6E" w:rsidRDefault="00736425" w:rsidP="00B81056">
            <w:pPr>
              <w:rPr>
                <w:rFonts w:ascii="Times New Roman" w:hAnsi="Times New Roman"/>
                <w:sz w:val="24"/>
              </w:rPr>
            </w:pPr>
            <w:r w:rsidRPr="00F00B6E">
              <w:rPr>
                <w:rFonts w:ascii="Times New Roman" w:hAnsi="Times New Roman"/>
                <w:sz w:val="24"/>
              </w:rPr>
              <w:t xml:space="preserve">population </w:t>
            </w:r>
          </w:p>
          <w:p w:rsidR="00736425" w:rsidRPr="00F00B6E" w:rsidRDefault="00736425" w:rsidP="00B81056">
            <w:pPr>
              <w:rPr>
                <w:rFonts w:ascii="Times New Roman" w:hAnsi="Times New Roman"/>
                <w:sz w:val="24"/>
              </w:rPr>
            </w:pPr>
            <w:r w:rsidRPr="00F00B6E">
              <w:rPr>
                <w:rFonts w:ascii="Times New Roman" w:hAnsi="Times New Roman"/>
                <w:sz w:val="24"/>
              </w:rPr>
              <w:t>(millions)</w:t>
            </w:r>
          </w:p>
          <w:p w:rsidR="00736425" w:rsidRPr="00F00B6E" w:rsidRDefault="00736425" w:rsidP="00B81056">
            <w:pPr>
              <w:spacing w:line="360" w:lineRule="auto"/>
              <w:jc w:val="both"/>
              <w:rPr>
                <w:rFonts w:ascii="Times New Roman" w:hAnsi="Times New Roman"/>
                <w:sz w:val="24"/>
              </w:rPr>
            </w:pPr>
          </w:p>
        </w:tc>
        <w:tc>
          <w:tcPr>
            <w:tcW w:w="1197" w:type="dxa"/>
          </w:tcPr>
          <w:p w:rsidR="00736425" w:rsidRPr="00F00B6E" w:rsidRDefault="00736425" w:rsidP="00B81056">
            <w:pPr>
              <w:rPr>
                <w:rFonts w:ascii="Times New Roman" w:hAnsi="Times New Roman"/>
                <w:sz w:val="24"/>
              </w:rPr>
            </w:pPr>
            <w:r w:rsidRPr="00F00B6E">
              <w:rPr>
                <w:rFonts w:ascii="Times New Roman" w:hAnsi="Times New Roman"/>
                <w:sz w:val="24"/>
              </w:rPr>
              <w:t xml:space="preserve">Population </w:t>
            </w:r>
          </w:p>
          <w:p w:rsidR="00736425" w:rsidRPr="00F00B6E" w:rsidRDefault="00736425" w:rsidP="00B81056">
            <w:pPr>
              <w:rPr>
                <w:rFonts w:ascii="Times New Roman" w:hAnsi="Times New Roman"/>
                <w:sz w:val="24"/>
              </w:rPr>
            </w:pPr>
            <w:r w:rsidRPr="00F00B6E">
              <w:rPr>
                <w:rFonts w:ascii="Times New Roman" w:hAnsi="Times New Roman"/>
                <w:sz w:val="24"/>
              </w:rPr>
              <w:t xml:space="preserve">per bank </w:t>
            </w:r>
          </w:p>
          <w:p w:rsidR="00736425" w:rsidRPr="00F00B6E" w:rsidRDefault="00736425" w:rsidP="00B81056">
            <w:pPr>
              <w:rPr>
                <w:rFonts w:ascii="Times New Roman" w:hAnsi="Times New Roman"/>
                <w:sz w:val="24"/>
              </w:rPr>
            </w:pPr>
            <w:r w:rsidRPr="00F00B6E">
              <w:rPr>
                <w:rFonts w:ascii="Times New Roman" w:hAnsi="Times New Roman"/>
                <w:sz w:val="24"/>
              </w:rPr>
              <w:t xml:space="preserve">branch (in </w:t>
            </w:r>
          </w:p>
          <w:p w:rsidR="009F534D" w:rsidRPr="00F00B6E" w:rsidRDefault="00736425" w:rsidP="009F534D">
            <w:pPr>
              <w:rPr>
                <w:rFonts w:ascii="Times New Roman" w:hAnsi="Times New Roman"/>
                <w:sz w:val="24"/>
              </w:rPr>
            </w:pPr>
            <w:r w:rsidRPr="00F00B6E">
              <w:rPr>
                <w:rFonts w:ascii="Times New Roman" w:hAnsi="Times New Roman"/>
                <w:sz w:val="24"/>
              </w:rPr>
              <w:t>number)</w:t>
            </w:r>
          </w:p>
        </w:tc>
        <w:tc>
          <w:tcPr>
            <w:tcW w:w="1197" w:type="dxa"/>
          </w:tcPr>
          <w:p w:rsidR="00736425" w:rsidRPr="00F00B6E" w:rsidRDefault="00736425" w:rsidP="00B81056">
            <w:pPr>
              <w:rPr>
                <w:rFonts w:ascii="Times New Roman" w:hAnsi="Times New Roman"/>
                <w:sz w:val="24"/>
              </w:rPr>
            </w:pPr>
            <w:r w:rsidRPr="00F00B6E">
              <w:rPr>
                <w:rFonts w:ascii="Times New Roman" w:hAnsi="Times New Roman"/>
                <w:sz w:val="24"/>
              </w:rPr>
              <w:t xml:space="preserve">Number of deposit </w:t>
            </w:r>
          </w:p>
          <w:p w:rsidR="00736425" w:rsidRPr="00F00B6E" w:rsidRDefault="00736425" w:rsidP="00B81056">
            <w:pPr>
              <w:rPr>
                <w:rFonts w:ascii="Times New Roman" w:hAnsi="Times New Roman"/>
                <w:sz w:val="24"/>
              </w:rPr>
            </w:pPr>
            <w:r w:rsidRPr="00F00B6E">
              <w:rPr>
                <w:rFonts w:ascii="Times New Roman" w:hAnsi="Times New Roman"/>
                <w:sz w:val="24"/>
              </w:rPr>
              <w:t xml:space="preserve">A/Cs </w:t>
            </w:r>
            <w:r w:rsidR="00A65D95">
              <w:rPr>
                <w:rFonts w:ascii="Times New Roman" w:hAnsi="Times New Roman"/>
                <w:sz w:val="24"/>
              </w:rPr>
              <w:t xml:space="preserve">in </w:t>
            </w:r>
            <w:r w:rsidR="00A65D95" w:rsidRPr="00F00B6E">
              <w:rPr>
                <w:rFonts w:ascii="Times New Roman" w:hAnsi="Times New Roman"/>
                <w:sz w:val="24"/>
              </w:rPr>
              <w:t>bank</w:t>
            </w:r>
          </w:p>
          <w:p w:rsidR="00736425" w:rsidRPr="00F00B6E" w:rsidRDefault="00736425" w:rsidP="00A65D95">
            <w:pPr>
              <w:rPr>
                <w:rFonts w:ascii="Times New Roman" w:hAnsi="Times New Roman"/>
                <w:sz w:val="24"/>
              </w:rPr>
            </w:pPr>
            <w:r w:rsidRPr="00F00B6E">
              <w:rPr>
                <w:rFonts w:ascii="Times New Roman" w:hAnsi="Times New Roman"/>
                <w:sz w:val="24"/>
              </w:rPr>
              <w:t>(millions)</w:t>
            </w:r>
          </w:p>
        </w:tc>
        <w:tc>
          <w:tcPr>
            <w:tcW w:w="1197" w:type="dxa"/>
          </w:tcPr>
          <w:p w:rsidR="00736425" w:rsidRPr="00F00B6E" w:rsidRDefault="00736425" w:rsidP="00B81056">
            <w:pPr>
              <w:rPr>
                <w:rFonts w:ascii="Times New Roman" w:hAnsi="Times New Roman"/>
                <w:sz w:val="24"/>
              </w:rPr>
            </w:pPr>
            <w:r w:rsidRPr="00F00B6E">
              <w:rPr>
                <w:rFonts w:ascii="Times New Roman" w:hAnsi="Times New Roman"/>
                <w:sz w:val="24"/>
              </w:rPr>
              <w:t xml:space="preserve">Deposit </w:t>
            </w:r>
          </w:p>
          <w:p w:rsidR="00736425" w:rsidRPr="00F00B6E" w:rsidRDefault="00736425" w:rsidP="00B81056">
            <w:pPr>
              <w:rPr>
                <w:rFonts w:ascii="Times New Roman" w:hAnsi="Times New Roman"/>
                <w:sz w:val="24"/>
              </w:rPr>
            </w:pPr>
            <w:r w:rsidRPr="00F00B6E">
              <w:rPr>
                <w:rFonts w:ascii="Times New Roman" w:hAnsi="Times New Roman"/>
                <w:sz w:val="24"/>
              </w:rPr>
              <w:t xml:space="preserve">A/Cs as </w:t>
            </w:r>
            <w:r w:rsidR="00A65D95">
              <w:rPr>
                <w:rFonts w:ascii="Times New Roman" w:hAnsi="Times New Roman"/>
                <w:sz w:val="24"/>
              </w:rPr>
              <w:t>percentage (</w:t>
            </w:r>
            <w:r w:rsidRPr="00F00B6E">
              <w:rPr>
                <w:rFonts w:ascii="Times New Roman" w:hAnsi="Times New Roman"/>
                <w:sz w:val="24"/>
              </w:rPr>
              <w:t>%</w:t>
            </w:r>
            <w:r w:rsidR="00A65D95">
              <w:rPr>
                <w:rFonts w:ascii="Times New Roman" w:hAnsi="Times New Roman"/>
                <w:sz w:val="24"/>
              </w:rPr>
              <w:t>)</w:t>
            </w:r>
            <w:r w:rsidR="009F534D">
              <w:rPr>
                <w:rFonts w:ascii="Times New Roman" w:hAnsi="Times New Roman"/>
                <w:sz w:val="24"/>
              </w:rPr>
              <w:t xml:space="preserve">of </w:t>
            </w:r>
            <w:r w:rsidRPr="00F00B6E">
              <w:rPr>
                <w:rFonts w:ascii="Times New Roman" w:hAnsi="Times New Roman"/>
                <w:sz w:val="24"/>
              </w:rPr>
              <w:t xml:space="preserve">adult </w:t>
            </w:r>
          </w:p>
          <w:p w:rsidR="009F534D" w:rsidRPr="00F00B6E" w:rsidRDefault="009F534D" w:rsidP="009F534D">
            <w:pPr>
              <w:rPr>
                <w:rFonts w:ascii="Times New Roman" w:hAnsi="Times New Roman"/>
                <w:sz w:val="24"/>
              </w:rPr>
            </w:pPr>
            <w:r w:rsidRPr="00F00B6E">
              <w:rPr>
                <w:rFonts w:ascii="Times New Roman" w:hAnsi="Times New Roman"/>
                <w:sz w:val="24"/>
              </w:rPr>
              <w:t>P</w:t>
            </w:r>
            <w:r w:rsidR="00736425" w:rsidRPr="00F00B6E">
              <w:rPr>
                <w:rFonts w:ascii="Times New Roman" w:hAnsi="Times New Roman"/>
                <w:sz w:val="24"/>
              </w:rPr>
              <w:t>opulation</w:t>
            </w:r>
          </w:p>
        </w:tc>
        <w:tc>
          <w:tcPr>
            <w:tcW w:w="1197" w:type="dxa"/>
          </w:tcPr>
          <w:p w:rsidR="00736425" w:rsidRPr="00F00B6E" w:rsidRDefault="00736425" w:rsidP="00B81056">
            <w:pPr>
              <w:rPr>
                <w:rFonts w:ascii="Times New Roman" w:hAnsi="Times New Roman"/>
                <w:sz w:val="24"/>
              </w:rPr>
            </w:pPr>
            <w:r w:rsidRPr="00F00B6E">
              <w:rPr>
                <w:rFonts w:ascii="Times New Roman" w:hAnsi="Times New Roman"/>
                <w:sz w:val="24"/>
              </w:rPr>
              <w:t xml:space="preserve">Financial </w:t>
            </w:r>
          </w:p>
          <w:p w:rsidR="00736425" w:rsidRPr="00F00B6E" w:rsidRDefault="00736425" w:rsidP="00B81056">
            <w:pPr>
              <w:rPr>
                <w:rFonts w:ascii="Times New Roman" w:hAnsi="Times New Roman"/>
                <w:sz w:val="24"/>
              </w:rPr>
            </w:pPr>
            <w:r w:rsidRPr="00F00B6E">
              <w:rPr>
                <w:rFonts w:ascii="Times New Roman" w:hAnsi="Times New Roman"/>
                <w:sz w:val="24"/>
              </w:rPr>
              <w:t xml:space="preserve">inclusion </w:t>
            </w:r>
          </w:p>
          <w:p w:rsidR="00736425" w:rsidRPr="00F00B6E" w:rsidRDefault="00736425" w:rsidP="00B81056">
            <w:pPr>
              <w:rPr>
                <w:rFonts w:ascii="Times New Roman" w:hAnsi="Times New Roman"/>
                <w:sz w:val="24"/>
              </w:rPr>
            </w:pPr>
            <w:r w:rsidRPr="00F00B6E">
              <w:rPr>
                <w:rFonts w:ascii="Times New Roman" w:hAnsi="Times New Roman"/>
                <w:sz w:val="24"/>
              </w:rPr>
              <w:t xml:space="preserve">as </w:t>
            </w:r>
            <w:r w:rsidR="009F534D">
              <w:rPr>
                <w:rFonts w:ascii="Times New Roman" w:hAnsi="Times New Roman"/>
                <w:sz w:val="24"/>
              </w:rPr>
              <w:t>percentage(</w:t>
            </w:r>
            <w:r w:rsidRPr="00F00B6E">
              <w:rPr>
                <w:rFonts w:ascii="Times New Roman" w:hAnsi="Times New Roman"/>
                <w:sz w:val="24"/>
              </w:rPr>
              <w:t>%</w:t>
            </w:r>
            <w:r w:rsidR="009F534D">
              <w:rPr>
                <w:rFonts w:ascii="Times New Roman" w:hAnsi="Times New Roman"/>
                <w:sz w:val="24"/>
              </w:rPr>
              <w:t>)</w:t>
            </w:r>
            <w:r w:rsidRPr="00F00B6E">
              <w:rPr>
                <w:rFonts w:ascii="Times New Roman" w:hAnsi="Times New Roman"/>
                <w:sz w:val="24"/>
              </w:rPr>
              <w:t xml:space="preserve"> of </w:t>
            </w:r>
          </w:p>
          <w:p w:rsidR="009F534D" w:rsidRPr="00F00B6E" w:rsidRDefault="00736425" w:rsidP="009F534D">
            <w:pPr>
              <w:rPr>
                <w:rFonts w:ascii="Times New Roman" w:hAnsi="Times New Roman"/>
                <w:sz w:val="24"/>
              </w:rPr>
            </w:pPr>
            <w:r w:rsidRPr="00F00B6E">
              <w:rPr>
                <w:rFonts w:ascii="Times New Roman" w:hAnsi="Times New Roman"/>
                <w:sz w:val="24"/>
              </w:rPr>
              <w:t>adult</w:t>
            </w:r>
            <w:r w:rsidR="00A65D95">
              <w:rPr>
                <w:rFonts w:ascii="Times New Roman" w:hAnsi="Times New Roman"/>
                <w:sz w:val="24"/>
              </w:rPr>
              <w:t xml:space="preserve"> p</w:t>
            </w:r>
            <w:r w:rsidRPr="00F00B6E">
              <w:rPr>
                <w:rFonts w:ascii="Times New Roman" w:hAnsi="Times New Roman"/>
                <w:sz w:val="24"/>
              </w:rPr>
              <w:t>opulation</w:t>
            </w:r>
          </w:p>
        </w:tc>
        <w:tc>
          <w:tcPr>
            <w:tcW w:w="1197" w:type="dxa"/>
          </w:tcPr>
          <w:p w:rsidR="00736425" w:rsidRPr="00F00B6E" w:rsidRDefault="00736425" w:rsidP="00B81056">
            <w:pPr>
              <w:rPr>
                <w:rFonts w:ascii="Times New Roman" w:hAnsi="Times New Roman"/>
                <w:sz w:val="24"/>
              </w:rPr>
            </w:pPr>
            <w:r w:rsidRPr="00F00B6E">
              <w:rPr>
                <w:rFonts w:ascii="Times New Roman" w:hAnsi="Times New Roman"/>
                <w:sz w:val="24"/>
              </w:rPr>
              <w:t xml:space="preserve">Financial </w:t>
            </w:r>
          </w:p>
          <w:p w:rsidR="00736425" w:rsidRPr="00F00B6E" w:rsidRDefault="00736425" w:rsidP="00B81056">
            <w:pPr>
              <w:rPr>
                <w:rFonts w:ascii="Times New Roman" w:hAnsi="Times New Roman"/>
                <w:sz w:val="24"/>
              </w:rPr>
            </w:pPr>
            <w:r w:rsidRPr="00F00B6E">
              <w:rPr>
                <w:rFonts w:ascii="Times New Roman" w:hAnsi="Times New Roman"/>
                <w:sz w:val="24"/>
              </w:rPr>
              <w:t xml:space="preserve">inclusion </w:t>
            </w:r>
          </w:p>
          <w:p w:rsidR="00736425" w:rsidRPr="00F00B6E" w:rsidRDefault="00736425" w:rsidP="00B81056">
            <w:pPr>
              <w:rPr>
                <w:rFonts w:ascii="Times New Roman" w:hAnsi="Times New Roman"/>
                <w:sz w:val="24"/>
              </w:rPr>
            </w:pPr>
            <w:r w:rsidRPr="00F00B6E">
              <w:rPr>
                <w:rFonts w:ascii="Times New Roman" w:hAnsi="Times New Roman"/>
                <w:sz w:val="24"/>
              </w:rPr>
              <w:t>as</w:t>
            </w:r>
            <w:r w:rsidR="009F534D">
              <w:rPr>
                <w:rFonts w:ascii="Times New Roman" w:hAnsi="Times New Roman"/>
                <w:sz w:val="24"/>
              </w:rPr>
              <w:t xml:space="preserve">  percentage(</w:t>
            </w:r>
            <w:r w:rsidRPr="00F00B6E">
              <w:rPr>
                <w:rFonts w:ascii="Times New Roman" w:hAnsi="Times New Roman"/>
                <w:sz w:val="24"/>
              </w:rPr>
              <w:t>%</w:t>
            </w:r>
            <w:r w:rsidR="009F534D">
              <w:rPr>
                <w:rFonts w:ascii="Times New Roman" w:hAnsi="Times New Roman"/>
                <w:sz w:val="24"/>
              </w:rPr>
              <w:t>)</w:t>
            </w:r>
            <w:r w:rsidRPr="00F00B6E">
              <w:rPr>
                <w:rFonts w:ascii="Times New Roman" w:hAnsi="Times New Roman"/>
                <w:sz w:val="24"/>
              </w:rPr>
              <w:t xml:space="preserve"> of </w:t>
            </w:r>
          </w:p>
          <w:p w:rsidR="00736425" w:rsidRPr="00F00B6E" w:rsidRDefault="00736425" w:rsidP="00B81056">
            <w:pPr>
              <w:rPr>
                <w:rFonts w:ascii="Times New Roman" w:hAnsi="Times New Roman"/>
                <w:sz w:val="24"/>
              </w:rPr>
            </w:pPr>
            <w:r w:rsidRPr="00F00B6E">
              <w:rPr>
                <w:rFonts w:ascii="Times New Roman" w:hAnsi="Times New Roman"/>
                <w:sz w:val="24"/>
              </w:rPr>
              <w:t xml:space="preserve">total </w:t>
            </w:r>
          </w:p>
          <w:p w:rsidR="009F534D" w:rsidRPr="00F00B6E" w:rsidRDefault="00A65D95" w:rsidP="009F534D">
            <w:pPr>
              <w:rPr>
                <w:rFonts w:ascii="Times New Roman" w:hAnsi="Times New Roman"/>
                <w:sz w:val="24"/>
              </w:rPr>
            </w:pPr>
            <w:r>
              <w:rPr>
                <w:rFonts w:ascii="Times New Roman" w:hAnsi="Times New Roman"/>
                <w:sz w:val="24"/>
              </w:rPr>
              <w:t>p</w:t>
            </w:r>
            <w:r w:rsidR="00736425" w:rsidRPr="00F00B6E">
              <w:rPr>
                <w:rFonts w:ascii="Times New Roman" w:hAnsi="Times New Roman"/>
                <w:sz w:val="24"/>
              </w:rPr>
              <w:t>opulation</w:t>
            </w:r>
          </w:p>
        </w:tc>
      </w:tr>
      <w:tr w:rsidR="00736425" w:rsidRPr="00F00B6E" w:rsidTr="00B81056">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2008</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89.62</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142.40</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20566</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37.60</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43.83</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77.63</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48.86</w:t>
            </w:r>
          </w:p>
        </w:tc>
      </w:tr>
      <w:tr w:rsidR="00736425" w:rsidRPr="00F00B6E" w:rsidTr="00B81056">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2009</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92.24</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144.20</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19681</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38.97</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42.25</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78.61</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50.28</w:t>
            </w:r>
          </w:p>
        </w:tc>
      </w:tr>
      <w:tr w:rsidR="00736425" w:rsidRPr="00F00B6E" w:rsidTr="00B81056">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2010</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94.50</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146.10</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18947</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48.68</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51.51</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87.23</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56.42</w:t>
            </w:r>
          </w:p>
        </w:tc>
      </w:tr>
      <w:tr w:rsidR="00736425" w:rsidRPr="00F00B6E" w:rsidTr="00B81056">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2011</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95.34</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148.50</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17460</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49.23</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53.12</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88.10</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60.23</w:t>
            </w:r>
          </w:p>
        </w:tc>
      </w:tr>
      <w:tr w:rsidR="00736425" w:rsidRPr="00F00B6E" w:rsidTr="00B81056">
        <w:trPr>
          <w:trHeight w:val="467"/>
        </w:trPr>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2012</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97.12</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150.30</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16234</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51.12</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56.23</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95.12</w:t>
            </w:r>
          </w:p>
        </w:tc>
        <w:tc>
          <w:tcPr>
            <w:tcW w:w="1197" w:type="dxa"/>
          </w:tcPr>
          <w:p w:rsidR="00736425" w:rsidRPr="00F00B6E" w:rsidRDefault="00736425" w:rsidP="00B81056">
            <w:pPr>
              <w:spacing w:line="360" w:lineRule="auto"/>
              <w:jc w:val="both"/>
              <w:rPr>
                <w:rFonts w:ascii="Times New Roman" w:hAnsi="Times New Roman"/>
                <w:sz w:val="24"/>
              </w:rPr>
            </w:pPr>
            <w:r w:rsidRPr="00F00B6E">
              <w:rPr>
                <w:rFonts w:ascii="Times New Roman" w:hAnsi="Times New Roman"/>
                <w:sz w:val="24"/>
              </w:rPr>
              <w:t>63.46</w:t>
            </w:r>
          </w:p>
        </w:tc>
      </w:tr>
    </w:tbl>
    <w:p w:rsidR="00736425" w:rsidRPr="009F534D" w:rsidRDefault="00736425" w:rsidP="00736425">
      <w:pPr>
        <w:spacing w:line="360" w:lineRule="auto"/>
      </w:pPr>
      <w:r w:rsidRPr="009F534D">
        <w:t xml:space="preserve">Source: </w:t>
      </w:r>
      <w:r w:rsidR="009F534D">
        <w:t xml:space="preserve">Bangladesh Bank, </w:t>
      </w:r>
      <w:r w:rsidR="009F534D" w:rsidRPr="009F534D">
        <w:t>2013</w:t>
      </w:r>
      <w:r w:rsidR="00D33E24">
        <w:t>b</w:t>
      </w:r>
    </w:p>
    <w:p w:rsidR="001E3531" w:rsidRDefault="001E3531" w:rsidP="00736425">
      <w:pPr>
        <w:autoSpaceDE w:val="0"/>
        <w:autoSpaceDN w:val="0"/>
        <w:adjustRightInd w:val="0"/>
        <w:spacing w:line="360" w:lineRule="auto"/>
        <w:jc w:val="both"/>
        <w:rPr>
          <w:rFonts w:eastAsiaTheme="minorHAnsi"/>
          <w:b/>
          <w:bCs/>
          <w:iCs/>
        </w:rPr>
      </w:pPr>
    </w:p>
    <w:p w:rsidR="00394412" w:rsidRDefault="00BD0B83" w:rsidP="00AE362D">
      <w:pPr>
        <w:spacing w:line="276" w:lineRule="auto"/>
        <w:jc w:val="both"/>
      </w:pPr>
      <w:r>
        <w:rPr>
          <w:rFonts w:eastAsiaTheme="minorHAnsi"/>
          <w:bCs/>
          <w:iCs/>
        </w:rPr>
        <w:t>Table 2 presents</w:t>
      </w:r>
      <w:r w:rsidR="008D66B5">
        <w:t xml:space="preserve"> the major financial inclusion programs undertaken by the commercial banks in Bangladesh.</w:t>
      </w:r>
      <w:r w:rsidR="00C01968">
        <w:t xml:space="preserve">It can be seen </w:t>
      </w:r>
      <w:r w:rsidR="00AE362D">
        <w:t xml:space="preserve">that </w:t>
      </w:r>
      <w:r w:rsidR="00C01968">
        <w:t>PCBs (08), as compared to SCBs (</w:t>
      </w:r>
      <w:r w:rsidR="00AE362D">
        <w:t>01</w:t>
      </w:r>
      <w:r w:rsidR="00C01968">
        <w:t>) and FCBs (01)</w:t>
      </w:r>
      <w:r w:rsidR="00AE362D">
        <w:t xml:space="preserve"> have substantial engagement </w:t>
      </w:r>
      <w:r w:rsidR="00AE362D" w:rsidRPr="00DD0F4E">
        <w:t>in credit programspromoting financial inclusion of socially disadvantaged</w:t>
      </w:r>
      <w:r w:rsidR="00C01968">
        <w:t xml:space="preserve"> peoplein both </w:t>
      </w:r>
      <w:r w:rsidR="00AE362D" w:rsidRPr="00DD0F4E">
        <w:t>rural and urban segments</w:t>
      </w:r>
      <w:r w:rsidR="00C01968">
        <w:t xml:space="preserve"> of the country</w:t>
      </w:r>
      <w:r w:rsidR="00AE362D" w:rsidRPr="00DD0F4E">
        <w:t>.</w:t>
      </w:r>
      <w:r w:rsidR="008E09F7">
        <w:t xml:space="preserve"> However, it is important to note that self-employment c</w:t>
      </w:r>
      <w:r w:rsidR="008E09F7" w:rsidRPr="00DD0F4E">
        <w:t>redit and Small and Medium Enterp</w:t>
      </w:r>
      <w:r w:rsidR="008E09F7">
        <w:t xml:space="preserve">rise (SME) lending programs ofall </w:t>
      </w:r>
      <w:r w:rsidR="008E09F7" w:rsidRPr="00DD0F4E">
        <w:t>SCB</w:t>
      </w:r>
      <w:r w:rsidR="008E09F7">
        <w:t xml:space="preserve">s, PCBs and FCBsare </w:t>
      </w:r>
      <w:r w:rsidR="008E09F7" w:rsidRPr="00DD0F4E">
        <w:t>taken up solo or in association w</w:t>
      </w:r>
      <w:r w:rsidR="008E09F7">
        <w:t xml:space="preserve">ith locally active </w:t>
      </w:r>
      <w:r w:rsidR="008E09F7" w:rsidRPr="00DD0F4E">
        <w:t>MFIs.</w:t>
      </w:r>
      <w:r w:rsidR="008E09F7">
        <w:t xml:space="preserve"> The findings also show that m</w:t>
      </w:r>
      <w:r w:rsidR="007109F2">
        <w:t>ajority of the</w:t>
      </w:r>
      <w:r w:rsidR="008E09F7">
        <w:t xml:space="preserve"> financing</w:t>
      </w:r>
      <w:r w:rsidR="008E09F7" w:rsidRPr="00DD0F4E">
        <w:t xml:space="preserve"> program</w:t>
      </w:r>
      <w:r w:rsidR="008E09F7">
        <w:t>s</w:t>
      </w:r>
      <w:r w:rsidR="008E09F7" w:rsidRPr="00DD0F4E">
        <w:t xml:space="preserve"> for installation of biomass processing plants generating biogas fuel and</w:t>
      </w:r>
      <w:r w:rsidR="007109F2">
        <w:t>organic manure,</w:t>
      </w:r>
      <w:r w:rsidR="008E09F7" w:rsidRPr="00DD0F4E">
        <w:t xml:space="preserve"> Effluent Treatment Plants (ETPs) in manuf</w:t>
      </w:r>
      <w:r w:rsidR="007109F2">
        <w:t>acturing establishments, and</w:t>
      </w:r>
      <w:r w:rsidR="008E09F7" w:rsidRPr="00DD0F4E">
        <w:t xml:space="preserve">solar energy units in households in off grid rural areas including </w:t>
      </w:r>
      <w:r w:rsidR="008E09F7">
        <w:t>char lands</w:t>
      </w:r>
      <w:r w:rsidR="007109F2">
        <w:t xml:space="preserve"> are supported by PCBs (07) as compared toSCBs (01) and FCBs (01).</w:t>
      </w:r>
      <w:r w:rsidR="0097615A">
        <w:t xml:space="preserve"> Similar scenario is observed in promoting </w:t>
      </w:r>
      <w:r w:rsidR="0097615A" w:rsidRPr="00DD0F4E">
        <w:t>financing program</w:t>
      </w:r>
      <w:r w:rsidR="0097615A">
        <w:t>s</w:t>
      </w:r>
      <w:r w:rsidR="0097615A" w:rsidRPr="00DD0F4E">
        <w:t xml:space="preserve"> for rural craftsmen and folk/music/drama groups holding cultural events intourism si</w:t>
      </w:r>
      <w:r w:rsidR="0097615A">
        <w:t>tes</w:t>
      </w:r>
      <w:r w:rsidR="00FF56A0">
        <w:t xml:space="preserve"> of the country.</w:t>
      </w:r>
    </w:p>
    <w:p w:rsidR="00394412" w:rsidRDefault="00394412" w:rsidP="00AE362D">
      <w:pPr>
        <w:spacing w:line="276" w:lineRule="auto"/>
        <w:jc w:val="both"/>
      </w:pPr>
    </w:p>
    <w:p w:rsidR="008E09F7" w:rsidRDefault="00DF2EE1" w:rsidP="00AE362D">
      <w:pPr>
        <w:spacing w:line="276" w:lineRule="auto"/>
        <w:jc w:val="both"/>
      </w:pPr>
      <w:r>
        <w:t xml:space="preserve">It is worth to mention that only the </w:t>
      </w:r>
      <w:r w:rsidRPr="00DD0F4E">
        <w:t>PCBs</w:t>
      </w:r>
      <w:r>
        <w:t xml:space="preserve"> (08) have taken initiatives to promote </w:t>
      </w:r>
      <w:r w:rsidRPr="00DD0F4E">
        <w:t>card based/m</w:t>
      </w:r>
      <w:r>
        <w:t xml:space="preserve">obile phone based delivery of </w:t>
      </w:r>
      <w:r w:rsidRPr="00DD0F4E">
        <w:t>migrant workers</w:t>
      </w:r>
      <w:r>
        <w:t>’</w:t>
      </w:r>
      <w:r w:rsidRPr="00DD0F4E">
        <w:t xml:space="preserve"> remittances to </w:t>
      </w:r>
      <w:r>
        <w:t xml:space="preserve">the </w:t>
      </w:r>
      <w:r w:rsidRPr="00DD0F4E">
        <w:t>recipients in remoterural households</w:t>
      </w:r>
      <w:r>
        <w:t xml:space="preserve">. </w:t>
      </w:r>
      <w:r w:rsidR="005054FB">
        <w:t xml:space="preserve">However, </w:t>
      </w:r>
      <w:r w:rsidR="005054FB" w:rsidRPr="00DD0F4E">
        <w:t>25 banks</w:t>
      </w:r>
      <w:r w:rsidR="005054FB">
        <w:t xml:space="preserve"> have recently</w:t>
      </w:r>
      <w:r w:rsidR="005054FB" w:rsidRPr="00DD0F4E">
        <w:t xml:space="preserve"> obtained mobile banking licenses; </w:t>
      </w:r>
      <w:r w:rsidR="005054FB">
        <w:t xml:space="preserve">06 </w:t>
      </w:r>
      <w:r w:rsidR="005054FB" w:rsidRPr="00DD0F4E">
        <w:t xml:space="preserve">among them have started operation. They areoffering basic banking and financial services such as </w:t>
      </w:r>
      <w:r w:rsidR="005054FB" w:rsidRPr="00DD0F4E">
        <w:lastRenderedPageBreak/>
        <w:t xml:space="preserve">payment of local remittances,withdrawal and deposit of cash </w:t>
      </w:r>
      <w:r w:rsidR="005054FB">
        <w:t xml:space="preserve">with </w:t>
      </w:r>
      <w:r w:rsidR="005054FB" w:rsidRPr="00DD0F4E">
        <w:t xml:space="preserve">branches, payments of utility bills, </w:t>
      </w:r>
      <w:r w:rsidR="005054FB">
        <w:t xml:space="preserve">and </w:t>
      </w:r>
      <w:r w:rsidR="005054FB" w:rsidRPr="00DD0F4E">
        <w:t>purchasing goods and services, payments of salaries</w:t>
      </w:r>
      <w:r w:rsidR="005054FB">
        <w:t>,</w:t>
      </w:r>
      <w:r w:rsidR="005054FB" w:rsidRPr="00DD0F4E">
        <w:t xml:space="preserve"> allowances and pensions of officials </w:t>
      </w:r>
      <w:r w:rsidR="000C73F6">
        <w:t xml:space="preserve">in </w:t>
      </w:r>
      <w:r w:rsidR="005054FB" w:rsidRPr="00DD0F4E">
        <w:t>corporate</w:t>
      </w:r>
      <w:r w:rsidR="000C73F6">
        <w:t>s</w:t>
      </w:r>
      <w:r w:rsidR="005054FB" w:rsidRPr="00DD0F4E">
        <w:t xml:space="preserve">, industries andfactories and other offices, </w:t>
      </w:r>
      <w:r w:rsidR="000C73F6">
        <w:t xml:space="preserve"> interbank fund transfer</w:t>
      </w:r>
      <w:r w:rsidR="005054FB" w:rsidRPr="00DD0F4E">
        <w:t>, immediatemobile balance recharging and so forth.</w:t>
      </w:r>
      <w:r w:rsidR="00394412">
        <w:t xml:space="preserve"> All of the commercial banks in the country have involvement with </w:t>
      </w:r>
      <w:r w:rsidR="00394412" w:rsidRPr="00DD0F4E">
        <w:t>agricultural credit programs</w:t>
      </w:r>
      <w:r w:rsidR="00394412">
        <w:t xml:space="preserve"> where the </w:t>
      </w:r>
      <w:r w:rsidR="00394412" w:rsidRPr="00DD0F4E">
        <w:t xml:space="preserve">FCBs </w:t>
      </w:r>
      <w:r w:rsidR="00724D43">
        <w:t xml:space="preserve">provide </w:t>
      </w:r>
      <w:r w:rsidR="00724D43" w:rsidRPr="00DD0F4E">
        <w:t>agricultural credit</w:t>
      </w:r>
      <w:r w:rsidR="00724D43">
        <w:t>s</w:t>
      </w:r>
      <w:r w:rsidR="00394412" w:rsidRPr="00DD0F4E">
        <w:t xml:space="preserve"> mostly through locally</w:t>
      </w:r>
      <w:r w:rsidR="00394412">
        <w:t xml:space="preserve"> active MFIs</w:t>
      </w:r>
      <w:r w:rsidR="00724D43">
        <w:t xml:space="preserve">. However, the PCBs (08), as compared to SCBs (01) and FCBs (01) have substantial engagement in promoting special crops agricultural loans to the </w:t>
      </w:r>
      <w:r w:rsidR="00694385" w:rsidRPr="00DD0F4E">
        <w:t xml:space="preserve">landless </w:t>
      </w:r>
      <w:r w:rsidR="00724D43" w:rsidRPr="00DD0F4E">
        <w:t xml:space="preserve">sharecroppers who </w:t>
      </w:r>
      <w:r w:rsidR="00724D43">
        <w:t>are unable to access in</w:t>
      </w:r>
      <w:r w:rsidR="00724D43" w:rsidRPr="00DD0F4E">
        <w:t xml:space="preserve"> institutional credit</w:t>
      </w:r>
      <w:r w:rsidR="00724D43">
        <w:t>.</w:t>
      </w:r>
    </w:p>
    <w:p w:rsidR="00736425" w:rsidRPr="00405AE1" w:rsidRDefault="00736425" w:rsidP="00BD0B83">
      <w:pPr>
        <w:spacing w:line="276" w:lineRule="auto"/>
      </w:pPr>
    </w:p>
    <w:p w:rsidR="00744F26" w:rsidRDefault="00BD0B83" w:rsidP="00BD0B83">
      <w:pPr>
        <w:autoSpaceDE w:val="0"/>
        <w:autoSpaceDN w:val="0"/>
        <w:adjustRightInd w:val="0"/>
        <w:spacing w:line="360" w:lineRule="auto"/>
        <w:jc w:val="center"/>
        <w:rPr>
          <w:rFonts w:eastAsiaTheme="minorHAnsi"/>
          <w:bCs/>
          <w:iCs/>
        </w:rPr>
      </w:pPr>
      <w:r>
        <w:rPr>
          <w:rFonts w:eastAsiaTheme="minorHAnsi"/>
          <w:bCs/>
          <w:iCs/>
        </w:rPr>
        <w:t>Table 2</w:t>
      </w:r>
      <w:r w:rsidR="00744F26" w:rsidRPr="00744F26">
        <w:rPr>
          <w:rFonts w:eastAsiaTheme="minorHAnsi"/>
          <w:bCs/>
          <w:iCs/>
        </w:rPr>
        <w:t>:</w:t>
      </w:r>
      <w:r w:rsidR="00AE362D" w:rsidRPr="00BD1899">
        <w:rPr>
          <w:rFonts w:eastAsiaTheme="minorHAnsi"/>
          <w:bCs/>
        </w:rPr>
        <w:t xml:space="preserve">Major </w:t>
      </w:r>
      <w:r w:rsidR="00AE362D">
        <w:rPr>
          <w:rFonts w:eastAsiaTheme="minorHAnsi"/>
          <w:bCs/>
        </w:rPr>
        <w:t>f</w:t>
      </w:r>
      <w:r w:rsidR="00AE362D" w:rsidRPr="00BD1899">
        <w:rPr>
          <w:rFonts w:eastAsiaTheme="minorHAnsi"/>
          <w:bCs/>
        </w:rPr>
        <w:t xml:space="preserve">inancial </w:t>
      </w:r>
      <w:r w:rsidR="00AE362D">
        <w:rPr>
          <w:rFonts w:eastAsiaTheme="minorHAnsi"/>
          <w:bCs/>
        </w:rPr>
        <w:t>inclusion programs u</w:t>
      </w:r>
      <w:r w:rsidR="00AE362D" w:rsidRPr="00BD1899">
        <w:rPr>
          <w:rFonts w:eastAsiaTheme="minorHAnsi"/>
          <w:bCs/>
        </w:rPr>
        <w:t>ndertaken by CBBs</w:t>
      </w:r>
    </w:p>
    <w:tbl>
      <w:tblPr>
        <w:tblStyle w:val="TableGrid"/>
        <w:tblW w:w="0" w:type="auto"/>
        <w:jc w:val="center"/>
        <w:tblLook w:val="04A0"/>
      </w:tblPr>
      <w:tblGrid>
        <w:gridCol w:w="7238"/>
        <w:gridCol w:w="809"/>
        <w:gridCol w:w="809"/>
        <w:gridCol w:w="764"/>
      </w:tblGrid>
      <w:tr w:rsidR="00BD0B83" w:rsidTr="00BD0B83">
        <w:trPr>
          <w:jc w:val="center"/>
        </w:trPr>
        <w:tc>
          <w:tcPr>
            <w:tcW w:w="7308" w:type="dxa"/>
          </w:tcPr>
          <w:p w:rsidR="00BD0B83" w:rsidRPr="00005043" w:rsidRDefault="00440F1C" w:rsidP="00540834">
            <w:pPr>
              <w:autoSpaceDE w:val="0"/>
              <w:autoSpaceDN w:val="0"/>
              <w:adjustRightInd w:val="0"/>
              <w:spacing w:line="360" w:lineRule="auto"/>
              <w:jc w:val="both"/>
              <w:rPr>
                <w:rFonts w:ascii="Times New Roman" w:eastAsiaTheme="minorHAnsi" w:hAnsi="Times New Roman"/>
                <w:bCs/>
                <w:iCs/>
                <w:sz w:val="24"/>
              </w:rPr>
            </w:pPr>
            <w:r w:rsidRPr="00440F1C">
              <w:rPr>
                <w:rFonts w:eastAsiaTheme="minorHAnsi"/>
                <w:bCs/>
                <w:noProof/>
                <w:lang w:val="ms-MY" w:eastAsia="ms-MY"/>
              </w:rPr>
              <w:pict>
                <v:shapetype id="_x0000_t32" coordsize="21600,21600" o:spt="32" o:oned="t" path="m,l21600,21600e" filled="f">
                  <v:path arrowok="t" fillok="f" o:connecttype="none"/>
                  <o:lock v:ext="edit" shapetype="t"/>
                </v:shapetype>
                <v:shape id="AutoShape 2" o:spid="_x0000_s1029" type="#_x0000_t32" style="position:absolute;left:0;text-align:left;margin-left:89.6pt;margin-top:0;width:108pt;height:20.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"/>
              </w:pict>
            </w:r>
            <w:r w:rsidR="00BD0B83" w:rsidRPr="00005043">
              <w:rPr>
                <w:rFonts w:ascii="Times New Roman" w:eastAsiaTheme="minorHAnsi" w:hAnsi="Times New Roman"/>
                <w:bCs/>
                <w:sz w:val="24"/>
              </w:rPr>
              <w:t>Programs                                                                     Bank</w:t>
            </w:r>
          </w:p>
        </w:tc>
        <w:tc>
          <w:tcPr>
            <w:tcW w:w="810" w:type="dxa"/>
          </w:tcPr>
          <w:p w:rsidR="00BD0B83" w:rsidRPr="00005043" w:rsidRDefault="00BD0B83" w:rsidP="00540834">
            <w:pPr>
              <w:autoSpaceDE w:val="0"/>
              <w:autoSpaceDN w:val="0"/>
              <w:adjustRightInd w:val="0"/>
              <w:spacing w:line="360" w:lineRule="auto"/>
              <w:jc w:val="both"/>
              <w:rPr>
                <w:rFonts w:ascii="Times New Roman" w:eastAsiaTheme="minorHAnsi" w:hAnsi="Times New Roman"/>
                <w:bCs/>
                <w:iCs/>
                <w:sz w:val="24"/>
              </w:rPr>
            </w:pPr>
            <w:r w:rsidRPr="00005043">
              <w:rPr>
                <w:rFonts w:ascii="Times New Roman" w:eastAsiaTheme="minorHAnsi" w:hAnsi="Times New Roman"/>
                <w:bCs/>
                <w:iCs/>
                <w:sz w:val="24"/>
              </w:rPr>
              <w:t>SCB</w:t>
            </w:r>
            <w:r>
              <w:rPr>
                <w:rFonts w:ascii="Times New Roman" w:eastAsiaTheme="minorHAnsi" w:hAnsi="Times New Roman"/>
                <w:bCs/>
                <w:iCs/>
                <w:sz w:val="24"/>
              </w:rPr>
              <w:t>s</w:t>
            </w:r>
          </w:p>
        </w:tc>
        <w:tc>
          <w:tcPr>
            <w:tcW w:w="810" w:type="dxa"/>
          </w:tcPr>
          <w:p w:rsidR="00BD0B83" w:rsidRPr="00005043" w:rsidRDefault="00BD0B83" w:rsidP="00540834">
            <w:pPr>
              <w:autoSpaceDE w:val="0"/>
              <w:autoSpaceDN w:val="0"/>
              <w:adjustRightInd w:val="0"/>
              <w:spacing w:line="360" w:lineRule="auto"/>
              <w:jc w:val="both"/>
              <w:rPr>
                <w:rFonts w:ascii="Times New Roman" w:eastAsiaTheme="minorHAnsi" w:hAnsi="Times New Roman"/>
                <w:bCs/>
                <w:iCs/>
                <w:sz w:val="24"/>
              </w:rPr>
            </w:pPr>
            <w:r w:rsidRPr="00005043">
              <w:rPr>
                <w:rFonts w:ascii="Times New Roman" w:eastAsiaTheme="minorHAnsi" w:hAnsi="Times New Roman"/>
                <w:bCs/>
                <w:iCs/>
                <w:sz w:val="24"/>
              </w:rPr>
              <w:t>PCBs</w:t>
            </w:r>
          </w:p>
        </w:tc>
        <w:tc>
          <w:tcPr>
            <w:tcW w:w="648" w:type="dxa"/>
          </w:tcPr>
          <w:p w:rsidR="00BD0B83" w:rsidRPr="00005043" w:rsidRDefault="00BD0B83" w:rsidP="00540834">
            <w:pPr>
              <w:autoSpaceDE w:val="0"/>
              <w:autoSpaceDN w:val="0"/>
              <w:adjustRightInd w:val="0"/>
              <w:spacing w:line="360" w:lineRule="auto"/>
              <w:jc w:val="both"/>
              <w:rPr>
                <w:rFonts w:ascii="Times New Roman" w:eastAsiaTheme="minorHAnsi" w:hAnsi="Times New Roman"/>
                <w:bCs/>
                <w:iCs/>
                <w:sz w:val="24"/>
              </w:rPr>
            </w:pPr>
            <w:r w:rsidRPr="00005043">
              <w:rPr>
                <w:rFonts w:ascii="Times New Roman" w:eastAsiaTheme="minorHAnsi" w:hAnsi="Times New Roman"/>
                <w:bCs/>
                <w:iCs/>
                <w:sz w:val="24"/>
              </w:rPr>
              <w:t>FCBs</w:t>
            </w:r>
          </w:p>
        </w:tc>
      </w:tr>
      <w:tr w:rsidR="00BD0B83" w:rsidTr="00BD0B83">
        <w:trPr>
          <w:jc w:val="center"/>
        </w:trPr>
        <w:tc>
          <w:tcPr>
            <w:tcW w:w="7308" w:type="dxa"/>
          </w:tcPr>
          <w:p w:rsidR="00BD0B83" w:rsidRPr="00005043" w:rsidRDefault="00BD0B83" w:rsidP="00540834">
            <w:pPr>
              <w:autoSpaceDE w:val="0"/>
              <w:autoSpaceDN w:val="0"/>
              <w:adjustRightInd w:val="0"/>
              <w:rPr>
                <w:rFonts w:ascii="Times New Roman" w:eastAsiaTheme="minorHAnsi" w:hAnsi="Times New Roman"/>
                <w:bCs/>
                <w:sz w:val="24"/>
              </w:rPr>
            </w:pPr>
            <w:r w:rsidRPr="00005043">
              <w:rPr>
                <w:rFonts w:ascii="Times New Roman" w:eastAsiaTheme="minorHAnsi" w:hAnsi="Times New Roman"/>
                <w:bCs/>
                <w:sz w:val="24"/>
              </w:rPr>
              <w:t>Self-employment credit and SME lending programs</w:t>
            </w:r>
          </w:p>
        </w:tc>
        <w:tc>
          <w:tcPr>
            <w:tcW w:w="810" w:type="dxa"/>
          </w:tcPr>
          <w:p w:rsidR="00BD0B83" w:rsidRPr="00005043" w:rsidRDefault="00BD0B83" w:rsidP="00540834">
            <w:pPr>
              <w:autoSpaceDE w:val="0"/>
              <w:autoSpaceDN w:val="0"/>
              <w:adjustRightInd w:val="0"/>
              <w:spacing w:line="360" w:lineRule="auto"/>
              <w:jc w:val="both"/>
              <w:rPr>
                <w:rFonts w:ascii="Times New Roman" w:eastAsiaTheme="minorHAnsi" w:hAnsi="Times New Roman"/>
                <w:bCs/>
                <w:iCs/>
                <w:sz w:val="24"/>
              </w:rPr>
            </w:pPr>
            <w:r>
              <w:rPr>
                <w:rFonts w:ascii="Times New Roman" w:eastAsiaTheme="minorHAnsi" w:hAnsi="Times New Roman"/>
                <w:bCs/>
                <w:iCs/>
                <w:sz w:val="24"/>
              </w:rPr>
              <w:t>01</w:t>
            </w:r>
          </w:p>
        </w:tc>
        <w:tc>
          <w:tcPr>
            <w:tcW w:w="810" w:type="dxa"/>
          </w:tcPr>
          <w:p w:rsidR="00BD0B83" w:rsidRPr="00005043" w:rsidRDefault="00BD0B83" w:rsidP="00540834">
            <w:pPr>
              <w:autoSpaceDE w:val="0"/>
              <w:autoSpaceDN w:val="0"/>
              <w:adjustRightInd w:val="0"/>
              <w:spacing w:line="360" w:lineRule="auto"/>
              <w:jc w:val="both"/>
              <w:rPr>
                <w:rFonts w:ascii="Times New Roman" w:eastAsiaTheme="minorHAnsi" w:hAnsi="Times New Roman"/>
                <w:bCs/>
                <w:iCs/>
                <w:sz w:val="24"/>
              </w:rPr>
            </w:pPr>
            <w:r>
              <w:rPr>
                <w:rFonts w:ascii="Times New Roman" w:eastAsiaTheme="minorHAnsi" w:hAnsi="Times New Roman"/>
                <w:bCs/>
                <w:iCs/>
                <w:sz w:val="24"/>
              </w:rPr>
              <w:t>08</w:t>
            </w:r>
          </w:p>
        </w:tc>
        <w:tc>
          <w:tcPr>
            <w:tcW w:w="648" w:type="dxa"/>
          </w:tcPr>
          <w:p w:rsidR="00BD0B83" w:rsidRPr="00005043" w:rsidRDefault="00BD0B83" w:rsidP="00540834">
            <w:pPr>
              <w:autoSpaceDE w:val="0"/>
              <w:autoSpaceDN w:val="0"/>
              <w:adjustRightInd w:val="0"/>
              <w:spacing w:line="360" w:lineRule="auto"/>
              <w:jc w:val="both"/>
              <w:rPr>
                <w:rFonts w:ascii="Times New Roman" w:eastAsiaTheme="minorHAnsi" w:hAnsi="Times New Roman"/>
                <w:bCs/>
                <w:iCs/>
                <w:sz w:val="24"/>
              </w:rPr>
            </w:pPr>
            <w:r>
              <w:rPr>
                <w:rFonts w:ascii="Times New Roman" w:eastAsiaTheme="minorHAnsi" w:hAnsi="Times New Roman"/>
                <w:bCs/>
                <w:iCs/>
                <w:sz w:val="24"/>
              </w:rPr>
              <w:t>01</w:t>
            </w:r>
          </w:p>
        </w:tc>
      </w:tr>
      <w:tr w:rsidR="00BD0B83" w:rsidTr="00BD0B83">
        <w:trPr>
          <w:jc w:val="center"/>
        </w:trPr>
        <w:tc>
          <w:tcPr>
            <w:tcW w:w="7308" w:type="dxa"/>
          </w:tcPr>
          <w:p w:rsidR="00BD0B83" w:rsidRPr="00005043" w:rsidRDefault="00BD0B83" w:rsidP="00540834">
            <w:pPr>
              <w:autoSpaceDE w:val="0"/>
              <w:autoSpaceDN w:val="0"/>
              <w:adjustRightInd w:val="0"/>
              <w:rPr>
                <w:rFonts w:ascii="Times New Roman" w:eastAsiaTheme="minorHAnsi" w:hAnsi="Times New Roman"/>
                <w:bCs/>
                <w:sz w:val="24"/>
              </w:rPr>
            </w:pPr>
            <w:r w:rsidRPr="00005043">
              <w:rPr>
                <w:rFonts w:ascii="Times New Roman" w:eastAsiaTheme="minorHAnsi" w:hAnsi="Times New Roman"/>
                <w:bCs/>
                <w:sz w:val="24"/>
              </w:rPr>
              <w:t>Financing programs for installation of biomass processing plants, solar panels in rural households</w:t>
            </w:r>
          </w:p>
        </w:tc>
        <w:tc>
          <w:tcPr>
            <w:tcW w:w="810" w:type="dxa"/>
          </w:tcPr>
          <w:p w:rsidR="00BD0B83" w:rsidRPr="00005043" w:rsidRDefault="00BD0B83" w:rsidP="00540834">
            <w:pPr>
              <w:autoSpaceDE w:val="0"/>
              <w:autoSpaceDN w:val="0"/>
              <w:adjustRightInd w:val="0"/>
              <w:spacing w:line="360" w:lineRule="auto"/>
              <w:jc w:val="both"/>
              <w:rPr>
                <w:rFonts w:ascii="Times New Roman" w:eastAsiaTheme="minorHAnsi" w:hAnsi="Times New Roman"/>
                <w:bCs/>
                <w:iCs/>
                <w:sz w:val="24"/>
              </w:rPr>
            </w:pPr>
            <w:r>
              <w:rPr>
                <w:rFonts w:ascii="Times New Roman" w:eastAsiaTheme="minorHAnsi" w:hAnsi="Times New Roman"/>
                <w:bCs/>
                <w:iCs/>
                <w:sz w:val="24"/>
              </w:rPr>
              <w:t>01</w:t>
            </w:r>
          </w:p>
        </w:tc>
        <w:tc>
          <w:tcPr>
            <w:tcW w:w="810" w:type="dxa"/>
          </w:tcPr>
          <w:p w:rsidR="00BD0B83" w:rsidRPr="00005043" w:rsidRDefault="00BD0B83" w:rsidP="00540834">
            <w:pPr>
              <w:autoSpaceDE w:val="0"/>
              <w:autoSpaceDN w:val="0"/>
              <w:adjustRightInd w:val="0"/>
              <w:spacing w:line="360" w:lineRule="auto"/>
              <w:jc w:val="both"/>
              <w:rPr>
                <w:rFonts w:ascii="Times New Roman" w:eastAsiaTheme="minorHAnsi" w:hAnsi="Times New Roman"/>
                <w:bCs/>
                <w:iCs/>
                <w:sz w:val="24"/>
              </w:rPr>
            </w:pPr>
            <w:r>
              <w:rPr>
                <w:rFonts w:ascii="Times New Roman" w:eastAsiaTheme="minorHAnsi" w:hAnsi="Times New Roman"/>
                <w:bCs/>
                <w:iCs/>
                <w:sz w:val="24"/>
              </w:rPr>
              <w:t>07</w:t>
            </w:r>
          </w:p>
        </w:tc>
        <w:tc>
          <w:tcPr>
            <w:tcW w:w="648" w:type="dxa"/>
          </w:tcPr>
          <w:p w:rsidR="00BD0B83" w:rsidRPr="00005043" w:rsidRDefault="00BD0B83" w:rsidP="00540834">
            <w:pPr>
              <w:autoSpaceDE w:val="0"/>
              <w:autoSpaceDN w:val="0"/>
              <w:adjustRightInd w:val="0"/>
              <w:spacing w:line="360" w:lineRule="auto"/>
              <w:jc w:val="both"/>
              <w:rPr>
                <w:rFonts w:ascii="Times New Roman" w:eastAsiaTheme="minorHAnsi" w:hAnsi="Times New Roman"/>
                <w:bCs/>
                <w:iCs/>
                <w:sz w:val="24"/>
              </w:rPr>
            </w:pPr>
            <w:r>
              <w:rPr>
                <w:rFonts w:ascii="Times New Roman" w:eastAsiaTheme="minorHAnsi" w:hAnsi="Times New Roman"/>
                <w:bCs/>
                <w:iCs/>
                <w:sz w:val="24"/>
              </w:rPr>
              <w:t>01</w:t>
            </w:r>
          </w:p>
        </w:tc>
      </w:tr>
      <w:tr w:rsidR="00BD0B83" w:rsidTr="00BD0B83">
        <w:trPr>
          <w:jc w:val="center"/>
        </w:trPr>
        <w:tc>
          <w:tcPr>
            <w:tcW w:w="7308" w:type="dxa"/>
          </w:tcPr>
          <w:p w:rsidR="00BD0B83" w:rsidRPr="00005043" w:rsidRDefault="00BD0B83" w:rsidP="00540834">
            <w:pPr>
              <w:autoSpaceDE w:val="0"/>
              <w:autoSpaceDN w:val="0"/>
              <w:adjustRightInd w:val="0"/>
              <w:rPr>
                <w:rFonts w:ascii="Times New Roman" w:eastAsiaTheme="minorHAnsi" w:hAnsi="Times New Roman"/>
                <w:bCs/>
                <w:sz w:val="24"/>
              </w:rPr>
            </w:pPr>
            <w:r w:rsidRPr="00005043">
              <w:rPr>
                <w:rFonts w:ascii="Times New Roman" w:eastAsiaTheme="minorHAnsi" w:hAnsi="Times New Roman"/>
                <w:bCs/>
                <w:sz w:val="24"/>
              </w:rPr>
              <w:t>Mobile phone based/ local MFI outlet supported programs</w:t>
            </w:r>
          </w:p>
        </w:tc>
        <w:tc>
          <w:tcPr>
            <w:tcW w:w="810" w:type="dxa"/>
          </w:tcPr>
          <w:p w:rsidR="00BD0B83" w:rsidRPr="00005043" w:rsidRDefault="00BD0B83" w:rsidP="00540834">
            <w:pPr>
              <w:autoSpaceDE w:val="0"/>
              <w:autoSpaceDN w:val="0"/>
              <w:adjustRightInd w:val="0"/>
              <w:spacing w:line="360" w:lineRule="auto"/>
              <w:jc w:val="both"/>
              <w:rPr>
                <w:rFonts w:ascii="Times New Roman" w:eastAsiaTheme="minorHAnsi" w:hAnsi="Times New Roman"/>
                <w:bCs/>
                <w:iCs/>
                <w:sz w:val="24"/>
              </w:rPr>
            </w:pPr>
            <w:r>
              <w:rPr>
                <w:rFonts w:ascii="Times New Roman" w:eastAsiaTheme="minorHAnsi" w:hAnsi="Times New Roman"/>
                <w:bCs/>
                <w:iCs/>
                <w:sz w:val="24"/>
              </w:rPr>
              <w:t>00</w:t>
            </w:r>
          </w:p>
        </w:tc>
        <w:tc>
          <w:tcPr>
            <w:tcW w:w="810" w:type="dxa"/>
          </w:tcPr>
          <w:p w:rsidR="00BD0B83" w:rsidRPr="00005043" w:rsidRDefault="00BD0B83" w:rsidP="00540834">
            <w:pPr>
              <w:autoSpaceDE w:val="0"/>
              <w:autoSpaceDN w:val="0"/>
              <w:adjustRightInd w:val="0"/>
              <w:spacing w:line="360" w:lineRule="auto"/>
              <w:jc w:val="both"/>
              <w:rPr>
                <w:rFonts w:ascii="Times New Roman" w:eastAsiaTheme="minorHAnsi" w:hAnsi="Times New Roman"/>
                <w:bCs/>
                <w:iCs/>
                <w:sz w:val="24"/>
              </w:rPr>
            </w:pPr>
            <w:r>
              <w:rPr>
                <w:rFonts w:ascii="Times New Roman" w:eastAsiaTheme="minorHAnsi" w:hAnsi="Times New Roman"/>
                <w:bCs/>
                <w:iCs/>
                <w:sz w:val="24"/>
              </w:rPr>
              <w:t>08</w:t>
            </w:r>
          </w:p>
        </w:tc>
        <w:tc>
          <w:tcPr>
            <w:tcW w:w="648" w:type="dxa"/>
          </w:tcPr>
          <w:p w:rsidR="00BD0B83" w:rsidRPr="00005043" w:rsidRDefault="00BD0B83" w:rsidP="00540834">
            <w:pPr>
              <w:autoSpaceDE w:val="0"/>
              <w:autoSpaceDN w:val="0"/>
              <w:adjustRightInd w:val="0"/>
              <w:spacing w:line="360" w:lineRule="auto"/>
              <w:jc w:val="both"/>
              <w:rPr>
                <w:rFonts w:ascii="Times New Roman" w:eastAsiaTheme="minorHAnsi" w:hAnsi="Times New Roman"/>
                <w:bCs/>
                <w:iCs/>
                <w:sz w:val="24"/>
              </w:rPr>
            </w:pPr>
            <w:r>
              <w:rPr>
                <w:rFonts w:ascii="Times New Roman" w:eastAsiaTheme="minorHAnsi" w:hAnsi="Times New Roman"/>
                <w:bCs/>
                <w:iCs/>
                <w:sz w:val="24"/>
              </w:rPr>
              <w:t>00</w:t>
            </w:r>
          </w:p>
        </w:tc>
      </w:tr>
      <w:tr w:rsidR="00BD0B83" w:rsidTr="00BD0B83">
        <w:trPr>
          <w:jc w:val="center"/>
        </w:trPr>
        <w:tc>
          <w:tcPr>
            <w:tcW w:w="7308" w:type="dxa"/>
          </w:tcPr>
          <w:p w:rsidR="00BD0B83" w:rsidRPr="00005043" w:rsidRDefault="00BD0B83" w:rsidP="00540834">
            <w:pPr>
              <w:autoSpaceDE w:val="0"/>
              <w:autoSpaceDN w:val="0"/>
              <w:adjustRightInd w:val="0"/>
              <w:rPr>
                <w:rFonts w:ascii="Times New Roman" w:eastAsiaTheme="minorHAnsi" w:hAnsi="Times New Roman"/>
                <w:bCs/>
                <w:sz w:val="24"/>
              </w:rPr>
            </w:pPr>
            <w:r w:rsidRPr="00005043">
              <w:rPr>
                <w:rFonts w:ascii="Times New Roman" w:eastAsiaTheme="minorHAnsi" w:hAnsi="Times New Roman"/>
                <w:bCs/>
                <w:sz w:val="24"/>
              </w:rPr>
              <w:t>Financing programs supporting folk crafts, folk musical and performing arts</w:t>
            </w:r>
          </w:p>
        </w:tc>
        <w:tc>
          <w:tcPr>
            <w:tcW w:w="810" w:type="dxa"/>
          </w:tcPr>
          <w:p w:rsidR="00BD0B83" w:rsidRPr="00005043" w:rsidRDefault="00BD0B83" w:rsidP="00540834">
            <w:pPr>
              <w:autoSpaceDE w:val="0"/>
              <w:autoSpaceDN w:val="0"/>
              <w:adjustRightInd w:val="0"/>
              <w:spacing w:line="360" w:lineRule="auto"/>
              <w:jc w:val="both"/>
              <w:rPr>
                <w:rFonts w:ascii="Times New Roman" w:eastAsiaTheme="minorHAnsi" w:hAnsi="Times New Roman"/>
                <w:bCs/>
                <w:iCs/>
                <w:sz w:val="24"/>
              </w:rPr>
            </w:pPr>
            <w:r>
              <w:rPr>
                <w:rFonts w:ascii="Times New Roman" w:eastAsiaTheme="minorHAnsi" w:hAnsi="Times New Roman"/>
                <w:bCs/>
                <w:iCs/>
                <w:sz w:val="24"/>
              </w:rPr>
              <w:t>01</w:t>
            </w:r>
          </w:p>
        </w:tc>
        <w:tc>
          <w:tcPr>
            <w:tcW w:w="810" w:type="dxa"/>
          </w:tcPr>
          <w:p w:rsidR="00BD0B83" w:rsidRPr="00005043" w:rsidRDefault="00BD0B83" w:rsidP="00540834">
            <w:pPr>
              <w:autoSpaceDE w:val="0"/>
              <w:autoSpaceDN w:val="0"/>
              <w:adjustRightInd w:val="0"/>
              <w:spacing w:line="360" w:lineRule="auto"/>
              <w:jc w:val="both"/>
              <w:rPr>
                <w:rFonts w:ascii="Times New Roman" w:eastAsiaTheme="minorHAnsi" w:hAnsi="Times New Roman"/>
                <w:bCs/>
                <w:iCs/>
                <w:sz w:val="24"/>
              </w:rPr>
            </w:pPr>
            <w:r>
              <w:rPr>
                <w:rFonts w:ascii="Times New Roman" w:eastAsiaTheme="minorHAnsi" w:hAnsi="Times New Roman"/>
                <w:bCs/>
                <w:iCs/>
                <w:sz w:val="24"/>
              </w:rPr>
              <w:t>08</w:t>
            </w:r>
          </w:p>
        </w:tc>
        <w:tc>
          <w:tcPr>
            <w:tcW w:w="648" w:type="dxa"/>
          </w:tcPr>
          <w:p w:rsidR="00BD0B83" w:rsidRPr="00005043" w:rsidRDefault="00BD0B83" w:rsidP="00540834">
            <w:pPr>
              <w:autoSpaceDE w:val="0"/>
              <w:autoSpaceDN w:val="0"/>
              <w:adjustRightInd w:val="0"/>
              <w:spacing w:line="360" w:lineRule="auto"/>
              <w:jc w:val="both"/>
              <w:rPr>
                <w:rFonts w:ascii="Times New Roman" w:eastAsiaTheme="minorHAnsi" w:hAnsi="Times New Roman"/>
                <w:bCs/>
                <w:iCs/>
                <w:sz w:val="24"/>
              </w:rPr>
            </w:pPr>
            <w:r>
              <w:rPr>
                <w:rFonts w:ascii="Times New Roman" w:eastAsiaTheme="minorHAnsi" w:hAnsi="Times New Roman"/>
                <w:bCs/>
                <w:iCs/>
                <w:sz w:val="24"/>
              </w:rPr>
              <w:t>01</w:t>
            </w:r>
          </w:p>
        </w:tc>
      </w:tr>
      <w:tr w:rsidR="00BD0B83" w:rsidTr="00BD0B83">
        <w:trPr>
          <w:jc w:val="center"/>
        </w:trPr>
        <w:tc>
          <w:tcPr>
            <w:tcW w:w="7308" w:type="dxa"/>
          </w:tcPr>
          <w:p w:rsidR="00BD0B83" w:rsidRPr="004E50C1" w:rsidRDefault="00BD0B83" w:rsidP="00540834">
            <w:pPr>
              <w:autoSpaceDE w:val="0"/>
              <w:autoSpaceDN w:val="0"/>
              <w:adjustRightInd w:val="0"/>
              <w:rPr>
                <w:rFonts w:ascii="Times New Roman" w:eastAsiaTheme="minorHAnsi" w:hAnsi="Times New Roman"/>
                <w:bCs/>
                <w:sz w:val="24"/>
              </w:rPr>
            </w:pPr>
            <w:r w:rsidRPr="004E50C1">
              <w:rPr>
                <w:rFonts w:ascii="Times New Roman" w:eastAsiaTheme="minorHAnsi" w:hAnsi="Times New Roman"/>
                <w:bCs/>
                <w:sz w:val="24"/>
              </w:rPr>
              <w:t>Special Crops Agriculture Loan</w:t>
            </w:r>
          </w:p>
        </w:tc>
        <w:tc>
          <w:tcPr>
            <w:tcW w:w="810" w:type="dxa"/>
          </w:tcPr>
          <w:p w:rsidR="00BD0B83" w:rsidRPr="004E50C1" w:rsidRDefault="00BD0B83" w:rsidP="00540834">
            <w:pPr>
              <w:autoSpaceDE w:val="0"/>
              <w:autoSpaceDN w:val="0"/>
              <w:adjustRightInd w:val="0"/>
              <w:spacing w:line="360" w:lineRule="auto"/>
              <w:jc w:val="both"/>
              <w:rPr>
                <w:rFonts w:ascii="Times New Roman" w:eastAsiaTheme="minorHAnsi" w:hAnsi="Times New Roman"/>
                <w:bCs/>
                <w:iCs/>
                <w:sz w:val="24"/>
              </w:rPr>
            </w:pPr>
            <w:r w:rsidRPr="004E50C1">
              <w:rPr>
                <w:rFonts w:ascii="Times New Roman" w:eastAsiaTheme="minorHAnsi" w:hAnsi="Times New Roman"/>
                <w:bCs/>
                <w:iCs/>
                <w:sz w:val="24"/>
              </w:rPr>
              <w:t>01</w:t>
            </w:r>
          </w:p>
        </w:tc>
        <w:tc>
          <w:tcPr>
            <w:tcW w:w="810" w:type="dxa"/>
          </w:tcPr>
          <w:p w:rsidR="00BD0B83" w:rsidRPr="004E50C1" w:rsidRDefault="00BD0B83" w:rsidP="00540834">
            <w:pPr>
              <w:autoSpaceDE w:val="0"/>
              <w:autoSpaceDN w:val="0"/>
              <w:adjustRightInd w:val="0"/>
              <w:spacing w:line="360" w:lineRule="auto"/>
              <w:jc w:val="both"/>
              <w:rPr>
                <w:rFonts w:ascii="Times New Roman" w:eastAsiaTheme="minorHAnsi" w:hAnsi="Times New Roman"/>
                <w:bCs/>
                <w:iCs/>
                <w:sz w:val="24"/>
              </w:rPr>
            </w:pPr>
            <w:r>
              <w:rPr>
                <w:rFonts w:ascii="Times New Roman" w:eastAsiaTheme="minorHAnsi" w:hAnsi="Times New Roman"/>
                <w:bCs/>
                <w:iCs/>
                <w:sz w:val="24"/>
              </w:rPr>
              <w:t>08</w:t>
            </w:r>
          </w:p>
        </w:tc>
        <w:tc>
          <w:tcPr>
            <w:tcW w:w="648" w:type="dxa"/>
          </w:tcPr>
          <w:p w:rsidR="00BD0B83" w:rsidRPr="004E50C1" w:rsidRDefault="00BD0B83" w:rsidP="00540834">
            <w:pPr>
              <w:autoSpaceDE w:val="0"/>
              <w:autoSpaceDN w:val="0"/>
              <w:adjustRightInd w:val="0"/>
              <w:spacing w:line="360" w:lineRule="auto"/>
              <w:jc w:val="both"/>
              <w:rPr>
                <w:rFonts w:ascii="Times New Roman" w:eastAsiaTheme="minorHAnsi" w:hAnsi="Times New Roman"/>
                <w:bCs/>
                <w:iCs/>
                <w:sz w:val="24"/>
              </w:rPr>
            </w:pPr>
            <w:r w:rsidRPr="004E50C1">
              <w:rPr>
                <w:rFonts w:ascii="Times New Roman" w:eastAsiaTheme="minorHAnsi" w:hAnsi="Times New Roman"/>
                <w:bCs/>
                <w:iCs/>
                <w:sz w:val="24"/>
              </w:rPr>
              <w:t>0</w:t>
            </w:r>
            <w:r>
              <w:rPr>
                <w:rFonts w:ascii="Times New Roman" w:eastAsiaTheme="minorHAnsi" w:hAnsi="Times New Roman"/>
                <w:bCs/>
                <w:iCs/>
                <w:sz w:val="24"/>
              </w:rPr>
              <w:t>1</w:t>
            </w:r>
          </w:p>
        </w:tc>
      </w:tr>
    </w:tbl>
    <w:p w:rsidR="00736425" w:rsidRDefault="00736425" w:rsidP="00405AE1">
      <w:pPr>
        <w:autoSpaceDE w:val="0"/>
        <w:autoSpaceDN w:val="0"/>
        <w:adjustRightInd w:val="0"/>
        <w:spacing w:line="360" w:lineRule="auto"/>
        <w:jc w:val="both"/>
        <w:rPr>
          <w:rFonts w:eastAsiaTheme="minorHAnsi"/>
          <w:bCs/>
          <w:iCs/>
        </w:rPr>
      </w:pPr>
      <w:r w:rsidRPr="00744F26">
        <w:rPr>
          <w:rFonts w:eastAsiaTheme="minorHAnsi"/>
          <w:bCs/>
          <w:iCs/>
        </w:rPr>
        <w:t>Source: Review of CSR Initiatives</w:t>
      </w:r>
    </w:p>
    <w:p w:rsidR="00405AE1" w:rsidRPr="00405AE1" w:rsidRDefault="00405AE1" w:rsidP="00405AE1">
      <w:pPr>
        <w:autoSpaceDE w:val="0"/>
        <w:autoSpaceDN w:val="0"/>
        <w:adjustRightInd w:val="0"/>
        <w:spacing w:line="360" w:lineRule="auto"/>
        <w:jc w:val="both"/>
        <w:rPr>
          <w:rFonts w:eastAsiaTheme="minorHAnsi"/>
          <w:bCs/>
          <w:iCs/>
        </w:rPr>
      </w:pPr>
    </w:p>
    <w:p w:rsidR="00736425" w:rsidRPr="00925250" w:rsidRDefault="00925250" w:rsidP="00736425">
      <w:pPr>
        <w:autoSpaceDE w:val="0"/>
        <w:autoSpaceDN w:val="0"/>
        <w:adjustRightInd w:val="0"/>
        <w:spacing w:line="360" w:lineRule="auto"/>
        <w:rPr>
          <w:b/>
          <w:i/>
        </w:rPr>
      </w:pPr>
      <w:r w:rsidRPr="00925250">
        <w:rPr>
          <w:b/>
          <w:i/>
        </w:rPr>
        <w:t>Financial Inclusion in g</w:t>
      </w:r>
      <w:r w:rsidR="00736425" w:rsidRPr="00925250">
        <w:rPr>
          <w:b/>
          <w:i/>
        </w:rPr>
        <w:t xml:space="preserve">eographic and </w:t>
      </w:r>
      <w:r w:rsidRPr="00925250">
        <w:rPr>
          <w:b/>
          <w:i/>
        </w:rPr>
        <w:t>d</w:t>
      </w:r>
      <w:r w:rsidR="00736425" w:rsidRPr="00925250">
        <w:rPr>
          <w:b/>
          <w:i/>
        </w:rPr>
        <w:t>emographic penetration of banking service</w:t>
      </w:r>
      <w:r w:rsidRPr="00925250">
        <w:rPr>
          <w:b/>
          <w:i/>
        </w:rPr>
        <w:t>s:</w:t>
      </w:r>
    </w:p>
    <w:p w:rsidR="00B34AD0" w:rsidRDefault="00765CBA" w:rsidP="00B34AD0">
      <w:pPr>
        <w:autoSpaceDE w:val="0"/>
        <w:autoSpaceDN w:val="0"/>
        <w:adjustRightInd w:val="0"/>
        <w:spacing w:line="276" w:lineRule="auto"/>
        <w:jc w:val="both"/>
      </w:pPr>
      <w:r>
        <w:rPr>
          <w:rFonts w:eastAsiaTheme="minorHAnsi"/>
          <w:color w:val="231F20"/>
        </w:rPr>
        <w:t>The commercial banks in Bangladesh have take initiatives to enhance financial inclusion in geographic and demographic penetration of banking services all over the country. Figure 1 depicts financial inclusion in geographic penetration of banking services</w:t>
      </w:r>
      <w:r w:rsidR="00B34AD0">
        <w:rPr>
          <w:rFonts w:eastAsiaTheme="minorHAnsi"/>
          <w:color w:val="231F20"/>
        </w:rPr>
        <w:t xml:space="preserve"> of CBBs between 2008 and 2012.</w:t>
      </w:r>
      <w:r w:rsidR="001F486B">
        <w:rPr>
          <w:rFonts w:eastAsiaTheme="minorHAnsi"/>
          <w:color w:val="231F20"/>
        </w:rPr>
        <w:t>It can be seen</w:t>
      </w:r>
      <w:r w:rsidR="00B34AD0" w:rsidRPr="00F00B6E">
        <w:t xml:space="preserve">that </w:t>
      </w:r>
      <w:r w:rsidR="001F486B">
        <w:t xml:space="preserve">the </w:t>
      </w:r>
      <w:r w:rsidR="00B34AD0" w:rsidRPr="00F00B6E">
        <w:t>number</w:t>
      </w:r>
      <w:r w:rsidR="001F486B">
        <w:t>s</w:t>
      </w:r>
      <w:r w:rsidR="00B34AD0" w:rsidRPr="00F00B6E">
        <w:t xml:space="preserve"> of bank branch per 1000 square kilometer </w:t>
      </w:r>
      <w:r w:rsidR="001F486B">
        <w:t xml:space="preserve">have </w:t>
      </w:r>
      <w:r w:rsidR="00B34AD0" w:rsidRPr="00F00B6E">
        <w:t xml:space="preserve">increased </w:t>
      </w:r>
      <w:r w:rsidR="001F486B" w:rsidRPr="00F00B6E">
        <w:t xml:space="preserve">tremendously </w:t>
      </w:r>
      <w:r w:rsidR="00B34AD0" w:rsidRPr="00F00B6E">
        <w:t xml:space="preserve">from 16 in 2008 to 53 in 2012. </w:t>
      </w:r>
      <w:r w:rsidR="001F486B">
        <w:t>Similarly, the n</w:t>
      </w:r>
      <w:r w:rsidR="001F486B" w:rsidRPr="00F00B6E">
        <w:t>umbers of ATM booth per 1000 square kilometer have</w:t>
      </w:r>
      <w:r w:rsidR="00B34AD0" w:rsidRPr="00F00B6E">
        <w:t>increased</w:t>
      </w:r>
      <w:r w:rsidR="001F486B">
        <w:t xml:space="preserve"> 4 fold during the last five years</w:t>
      </w:r>
      <w:r w:rsidR="00B34AD0" w:rsidRPr="00F00B6E">
        <w:t>.</w:t>
      </w:r>
      <w:r w:rsidR="001F486B">
        <w:t xml:space="preserve"> The findings indicate</w:t>
      </w:r>
      <w:r w:rsidR="00B34AD0" w:rsidRPr="00F00B6E">
        <w:t xml:space="preserve"> that</w:t>
      </w:r>
      <w:r w:rsidR="00203CCD">
        <w:t xml:space="preserve"> financial inclusion of the CBBs in terms of </w:t>
      </w:r>
      <w:r w:rsidR="00203CCD">
        <w:rPr>
          <w:rFonts w:eastAsiaTheme="minorHAnsi"/>
          <w:color w:val="231F20"/>
        </w:rPr>
        <w:t>geographic penetration of banking services</w:t>
      </w:r>
      <w:r w:rsidR="008968DA">
        <w:t>has increased overtime in the country</w:t>
      </w:r>
      <w:r w:rsidR="00B34AD0" w:rsidRPr="00F00B6E">
        <w:t xml:space="preserve">. </w:t>
      </w:r>
    </w:p>
    <w:p w:rsidR="00BE1AE7" w:rsidRDefault="00BE1AE7" w:rsidP="00B34AD0">
      <w:pPr>
        <w:autoSpaceDE w:val="0"/>
        <w:autoSpaceDN w:val="0"/>
        <w:adjustRightInd w:val="0"/>
        <w:spacing w:line="276" w:lineRule="auto"/>
        <w:jc w:val="both"/>
      </w:pPr>
    </w:p>
    <w:p w:rsidR="00BE1AE7" w:rsidRDefault="00BE1AE7" w:rsidP="00B34AD0">
      <w:pPr>
        <w:autoSpaceDE w:val="0"/>
        <w:autoSpaceDN w:val="0"/>
        <w:adjustRightInd w:val="0"/>
        <w:spacing w:line="276" w:lineRule="auto"/>
        <w:jc w:val="both"/>
      </w:pPr>
    </w:p>
    <w:p w:rsidR="00BE1AE7" w:rsidRDefault="00BE1AE7" w:rsidP="00B34AD0">
      <w:pPr>
        <w:autoSpaceDE w:val="0"/>
        <w:autoSpaceDN w:val="0"/>
        <w:adjustRightInd w:val="0"/>
        <w:spacing w:line="276" w:lineRule="auto"/>
        <w:jc w:val="both"/>
      </w:pPr>
    </w:p>
    <w:p w:rsidR="00BE1AE7" w:rsidRDefault="00BE1AE7" w:rsidP="00B34AD0">
      <w:pPr>
        <w:autoSpaceDE w:val="0"/>
        <w:autoSpaceDN w:val="0"/>
        <w:adjustRightInd w:val="0"/>
        <w:spacing w:line="276" w:lineRule="auto"/>
        <w:jc w:val="both"/>
      </w:pPr>
    </w:p>
    <w:p w:rsidR="00BE1AE7" w:rsidRDefault="00BE1AE7" w:rsidP="00B34AD0">
      <w:pPr>
        <w:autoSpaceDE w:val="0"/>
        <w:autoSpaceDN w:val="0"/>
        <w:adjustRightInd w:val="0"/>
        <w:spacing w:line="276" w:lineRule="auto"/>
        <w:jc w:val="both"/>
      </w:pPr>
    </w:p>
    <w:p w:rsidR="00BE1AE7" w:rsidRDefault="00BE1AE7" w:rsidP="00B34AD0">
      <w:pPr>
        <w:autoSpaceDE w:val="0"/>
        <w:autoSpaceDN w:val="0"/>
        <w:adjustRightInd w:val="0"/>
        <w:spacing w:line="276" w:lineRule="auto"/>
        <w:jc w:val="both"/>
      </w:pPr>
    </w:p>
    <w:p w:rsidR="00BE1AE7" w:rsidRDefault="00BE1AE7" w:rsidP="00B34AD0">
      <w:pPr>
        <w:autoSpaceDE w:val="0"/>
        <w:autoSpaceDN w:val="0"/>
        <w:adjustRightInd w:val="0"/>
        <w:spacing w:line="276" w:lineRule="auto"/>
        <w:jc w:val="both"/>
      </w:pPr>
    </w:p>
    <w:p w:rsidR="00BE1AE7" w:rsidRPr="001F486B" w:rsidRDefault="00BE1AE7" w:rsidP="00B34AD0">
      <w:pPr>
        <w:autoSpaceDE w:val="0"/>
        <w:autoSpaceDN w:val="0"/>
        <w:adjustRightInd w:val="0"/>
        <w:spacing w:line="276" w:lineRule="auto"/>
        <w:jc w:val="both"/>
      </w:pPr>
    </w:p>
    <w:p w:rsidR="00B34AD0" w:rsidRDefault="00B34AD0" w:rsidP="0099116D">
      <w:pPr>
        <w:autoSpaceDE w:val="0"/>
        <w:autoSpaceDN w:val="0"/>
        <w:adjustRightInd w:val="0"/>
        <w:spacing w:line="360" w:lineRule="auto"/>
      </w:pPr>
    </w:p>
    <w:p w:rsidR="00736425" w:rsidRPr="0099116D" w:rsidRDefault="002209A8" w:rsidP="0099116D">
      <w:pPr>
        <w:autoSpaceDE w:val="0"/>
        <w:autoSpaceDN w:val="0"/>
        <w:adjustRightInd w:val="0"/>
        <w:spacing w:line="360" w:lineRule="auto"/>
      </w:pPr>
      <w:r w:rsidRPr="0099116D">
        <w:lastRenderedPageBreak/>
        <w:t xml:space="preserve">Figure </w:t>
      </w:r>
      <w:r w:rsidR="00925250" w:rsidRPr="0099116D">
        <w:t>1</w:t>
      </w:r>
      <w:r w:rsidR="00620DEF" w:rsidRPr="0099116D">
        <w:t>:</w:t>
      </w:r>
      <w:r w:rsidR="0099116D" w:rsidRPr="0099116D">
        <w:t xml:space="preserve"> Financial i</w:t>
      </w:r>
      <w:r w:rsidR="0099116D">
        <w:t>nclusion in g</w:t>
      </w:r>
      <w:r w:rsidR="00736425" w:rsidRPr="0099116D">
        <w:t>eographic penetration of banking service</w:t>
      </w:r>
      <w:r w:rsidR="0099116D" w:rsidRPr="0099116D">
        <w:t>s of CBBs</w:t>
      </w:r>
      <w:r w:rsidR="0099116D">
        <w:t xml:space="preserve"> (2008-2012)</w:t>
      </w:r>
    </w:p>
    <w:p w:rsidR="00736425" w:rsidRPr="00F00B6E" w:rsidRDefault="00736425" w:rsidP="00736425">
      <w:pPr>
        <w:spacing w:line="360" w:lineRule="auto"/>
        <w:jc w:val="center"/>
        <w:rPr>
          <w:b/>
        </w:rPr>
      </w:pPr>
      <w:r w:rsidRPr="00F00B6E">
        <w:rPr>
          <w:b/>
          <w:noProof/>
        </w:rPr>
        <w:drawing>
          <wp:inline distT="0" distB="0" distL="0" distR="0">
            <wp:extent cx="4972050" cy="2371725"/>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05AE1" w:rsidRPr="009F534D" w:rsidRDefault="00405AE1" w:rsidP="00405AE1">
      <w:pPr>
        <w:spacing w:line="360" w:lineRule="auto"/>
      </w:pPr>
      <w:r w:rsidRPr="009F534D">
        <w:t xml:space="preserve">Source: </w:t>
      </w:r>
      <w:r>
        <w:t xml:space="preserve">Bangladesh Bank, </w:t>
      </w:r>
      <w:r w:rsidRPr="009F534D">
        <w:t>2013</w:t>
      </w:r>
      <w:r w:rsidR="00D33E24">
        <w:t>b</w:t>
      </w:r>
    </w:p>
    <w:p w:rsidR="00203CCD" w:rsidRPr="001F486B" w:rsidRDefault="00CC1429" w:rsidP="00203CCD">
      <w:pPr>
        <w:autoSpaceDE w:val="0"/>
        <w:autoSpaceDN w:val="0"/>
        <w:adjustRightInd w:val="0"/>
        <w:spacing w:line="276" w:lineRule="auto"/>
        <w:jc w:val="both"/>
      </w:pPr>
      <w:r w:rsidRPr="002209A8">
        <w:t>Figure</w:t>
      </w:r>
      <w:r w:rsidR="00E363D9">
        <w:t xml:space="preserve"> 2</w:t>
      </w:r>
      <w:r>
        <w:t xml:space="preserve"> shows</w:t>
      </w:r>
      <w:r w:rsidR="00E363D9">
        <w:rPr>
          <w:rFonts w:eastAsiaTheme="minorHAnsi"/>
          <w:color w:val="231F20"/>
        </w:rPr>
        <w:t>financial inclusion in demographic penetration of banking services of CBBs during 2008 and 2012.</w:t>
      </w:r>
      <w:r w:rsidR="00E363D9">
        <w:t xml:space="preserve">The data </w:t>
      </w:r>
      <w:r w:rsidR="00725B80">
        <w:t xml:space="preserve">show that the </w:t>
      </w:r>
      <w:r w:rsidRPr="00F00B6E">
        <w:t>number</w:t>
      </w:r>
      <w:r w:rsidR="00725B80">
        <w:t>s</w:t>
      </w:r>
      <w:r w:rsidRPr="00F00B6E">
        <w:t xml:space="preserve"> of branches per 100,000 populations </w:t>
      </w:r>
      <w:r w:rsidR="00725B80">
        <w:t xml:space="preserve">have </w:t>
      </w:r>
      <w:r w:rsidRPr="00F00B6E">
        <w:t xml:space="preserve">increased from 2 in 2008 to 6 in 2012. </w:t>
      </w:r>
      <w:r w:rsidR="00725B80">
        <w:t>However, the n</w:t>
      </w:r>
      <w:r w:rsidRPr="00F00B6E">
        <w:t>umber</w:t>
      </w:r>
      <w:r w:rsidR="00725B80">
        <w:t>s</w:t>
      </w:r>
      <w:r w:rsidRPr="00F00B6E">
        <w:t xml:space="preserve"> of ATM per 100,000 populations </w:t>
      </w:r>
      <w:r w:rsidR="00725B80">
        <w:t xml:space="preserve">have </w:t>
      </w:r>
      <w:r w:rsidRPr="00F00B6E">
        <w:t>increased</w:t>
      </w:r>
      <w:r w:rsidR="00725B80">
        <w:t xml:space="preserve"> slightly</w:t>
      </w:r>
      <w:r w:rsidRPr="00F00B6E">
        <w:t xml:space="preserve"> from 1 in 2008 to 3 in 2012. Trend in geographical penetration indicates that access</w:t>
      </w:r>
      <w:r w:rsidR="00725B80">
        <w:t xml:space="preserve"> of common people</w:t>
      </w:r>
      <w:r w:rsidR="00725B80" w:rsidRPr="00F00B6E">
        <w:t xml:space="preserve"> to banking</w:t>
      </w:r>
      <w:r w:rsidR="00725B80">
        <w:t xml:space="preserve"> services has increased steadily in the countryduring the last five years. </w:t>
      </w:r>
    </w:p>
    <w:p w:rsidR="00CC1429" w:rsidRDefault="00CC1429" w:rsidP="00CC1429">
      <w:pPr>
        <w:autoSpaceDE w:val="0"/>
        <w:autoSpaceDN w:val="0"/>
        <w:adjustRightInd w:val="0"/>
        <w:spacing w:line="360" w:lineRule="auto"/>
        <w:rPr>
          <w:sz w:val="23"/>
          <w:szCs w:val="23"/>
        </w:rPr>
      </w:pPr>
    </w:p>
    <w:p w:rsidR="00CC1429" w:rsidRPr="00CC1429" w:rsidRDefault="00CC1429" w:rsidP="00CC1429">
      <w:pPr>
        <w:autoSpaceDE w:val="0"/>
        <w:autoSpaceDN w:val="0"/>
        <w:adjustRightInd w:val="0"/>
        <w:spacing w:line="360" w:lineRule="auto"/>
        <w:rPr>
          <w:sz w:val="23"/>
          <w:szCs w:val="23"/>
        </w:rPr>
      </w:pPr>
      <w:r w:rsidRPr="00CC1429">
        <w:rPr>
          <w:sz w:val="23"/>
          <w:szCs w:val="23"/>
        </w:rPr>
        <w:t xml:space="preserve">Figure 2: Financial inclusion in demographic penetration of banking services of CBBs (2008-2012) </w:t>
      </w:r>
    </w:p>
    <w:p w:rsidR="00736425" w:rsidRPr="00F00B6E" w:rsidRDefault="00736425" w:rsidP="00736425">
      <w:pPr>
        <w:spacing w:line="360" w:lineRule="auto"/>
        <w:jc w:val="center"/>
        <w:rPr>
          <w:b/>
        </w:rPr>
      </w:pPr>
      <w:r w:rsidRPr="00F00B6E">
        <w:rPr>
          <w:b/>
          <w:noProof/>
        </w:rPr>
        <w:drawing>
          <wp:inline distT="0" distB="0" distL="0" distR="0">
            <wp:extent cx="5229225" cy="2647950"/>
            <wp:effectExtent l="19050" t="0" r="9525"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36425" w:rsidRPr="00F00B6E" w:rsidRDefault="00405AE1" w:rsidP="00273690">
      <w:pPr>
        <w:spacing w:line="360" w:lineRule="auto"/>
      </w:pPr>
      <w:r w:rsidRPr="009F534D">
        <w:t xml:space="preserve">Source: </w:t>
      </w:r>
      <w:r>
        <w:t xml:space="preserve">Bangladesh Bank, </w:t>
      </w:r>
      <w:r w:rsidRPr="009F534D">
        <w:t>2013</w:t>
      </w:r>
      <w:r w:rsidR="00D33E24">
        <w:t>b</w:t>
      </w:r>
    </w:p>
    <w:p w:rsidR="006B7DB4" w:rsidRDefault="006B7DB4" w:rsidP="0095408B">
      <w:pPr>
        <w:spacing w:line="360" w:lineRule="auto"/>
        <w:rPr>
          <w:b/>
        </w:rPr>
      </w:pPr>
    </w:p>
    <w:p w:rsidR="002B3B62" w:rsidRDefault="002B3B62" w:rsidP="00736425">
      <w:pPr>
        <w:spacing w:line="360" w:lineRule="auto"/>
        <w:jc w:val="center"/>
      </w:pPr>
    </w:p>
    <w:p w:rsidR="00736425" w:rsidRPr="00AB57FF" w:rsidRDefault="002209A8" w:rsidP="00736425">
      <w:pPr>
        <w:spacing w:line="360" w:lineRule="auto"/>
        <w:jc w:val="center"/>
      </w:pPr>
      <w:r w:rsidRPr="00AB57FF">
        <w:lastRenderedPageBreak/>
        <w:t>Figure</w:t>
      </w:r>
      <w:r w:rsidR="00925250" w:rsidRPr="00AB57FF">
        <w:t xml:space="preserve"> 3</w:t>
      </w:r>
      <w:proofErr w:type="gramStart"/>
      <w:r w:rsidR="00620DEF" w:rsidRPr="00AB57FF">
        <w:t>:</w:t>
      </w:r>
      <w:r w:rsidR="00AB57FF">
        <w:t>Financial</w:t>
      </w:r>
      <w:proofErr w:type="gramEnd"/>
      <w:r w:rsidR="00AB57FF">
        <w:t xml:space="preserve"> i</w:t>
      </w:r>
      <w:r w:rsidR="00736425" w:rsidRPr="00AB57FF">
        <w:t xml:space="preserve">nclusion </w:t>
      </w:r>
      <w:r w:rsidR="00AB57FF">
        <w:t>through deposit a</w:t>
      </w:r>
      <w:r w:rsidR="00AB57FF" w:rsidRPr="00AB57FF">
        <w:t>ccount</w:t>
      </w:r>
      <w:r w:rsidR="00AB57FF">
        <w:t>s</w:t>
      </w:r>
      <w:r w:rsidR="00736425" w:rsidRPr="00AB57FF">
        <w:t xml:space="preserve">in </w:t>
      </w:r>
      <w:r w:rsidR="00AB57FF">
        <w:t>u</w:t>
      </w:r>
      <w:r w:rsidR="00736425" w:rsidRPr="00AB57FF">
        <w:t xml:space="preserve">rban </w:t>
      </w:r>
      <w:r w:rsidR="00AB57FF">
        <w:t>and rural areas (</w:t>
      </w:r>
      <w:r w:rsidR="00AB57FF" w:rsidRPr="00CC1429">
        <w:rPr>
          <w:sz w:val="23"/>
          <w:szCs w:val="23"/>
        </w:rPr>
        <w:t>2008-2012</w:t>
      </w:r>
      <w:r w:rsidR="00AB57FF">
        <w:t>)</w:t>
      </w:r>
    </w:p>
    <w:p w:rsidR="00736425" w:rsidRPr="00F00B6E" w:rsidRDefault="00736425" w:rsidP="00736425">
      <w:pPr>
        <w:spacing w:line="360" w:lineRule="auto"/>
        <w:jc w:val="center"/>
        <w:rPr>
          <w:b/>
        </w:rPr>
      </w:pPr>
      <w:r w:rsidRPr="00F00B6E">
        <w:rPr>
          <w:b/>
          <w:noProof/>
        </w:rPr>
        <w:drawing>
          <wp:inline distT="0" distB="0" distL="0" distR="0">
            <wp:extent cx="4991100" cy="2743200"/>
            <wp:effectExtent l="0" t="0" r="0" b="0"/>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36425" w:rsidRPr="00F00B6E" w:rsidRDefault="00BD0B83" w:rsidP="00B97DCF">
      <w:pPr>
        <w:spacing w:line="360" w:lineRule="auto"/>
      </w:pPr>
      <w:r w:rsidRPr="009F534D">
        <w:t xml:space="preserve">Source: </w:t>
      </w:r>
      <w:r>
        <w:t xml:space="preserve">Bangladesh Bank, </w:t>
      </w:r>
      <w:r w:rsidRPr="009F534D">
        <w:t>2013</w:t>
      </w:r>
      <w:r w:rsidR="00D33E24">
        <w:t>b</w:t>
      </w:r>
    </w:p>
    <w:p w:rsidR="002810AE" w:rsidRDefault="002209A8" w:rsidP="0095408B">
      <w:pPr>
        <w:spacing w:line="276" w:lineRule="auto"/>
        <w:jc w:val="both"/>
      </w:pPr>
      <w:r w:rsidRPr="002209A8">
        <w:t>Figure</w:t>
      </w:r>
      <w:r w:rsidR="002F77AD">
        <w:t xml:space="preserve"> 3</w:t>
      </w:r>
      <w:r w:rsidR="00736425">
        <w:t xml:space="preserve"> shows </w:t>
      </w:r>
      <w:r w:rsidR="002810AE">
        <w:t>financial inclusion of urb</w:t>
      </w:r>
      <w:r w:rsidR="00736425">
        <w:t>a</w:t>
      </w:r>
      <w:r w:rsidR="002810AE">
        <w:t xml:space="preserve">n and rural people to banking services through deposit accounts during 2008 and </w:t>
      </w:r>
      <w:r w:rsidR="002810AE" w:rsidRPr="00F00B6E">
        <w:t>2012</w:t>
      </w:r>
      <w:r w:rsidR="002810AE">
        <w:t xml:space="preserve">. It can be seen that the number of deposit accounts per 1000 people in urban areas was 250 in the </w:t>
      </w:r>
      <w:r w:rsidR="002D2263">
        <w:t>year of 2008. It has increased to 350 by the year 2012.</w:t>
      </w:r>
      <w:r w:rsidR="00CD2803">
        <w:t xml:space="preserve"> The number of deposit accounts in rural areas was low as compared to urban areas in each year from 2008 to 2012. However, the number of deposit account holders in rural areas has become almost two fold </w:t>
      </w:r>
      <w:r w:rsidR="00D15E9D">
        <w:t xml:space="preserve">during the last five years (105 accounts in 2008 and 200 accounts in 2012). The findings suggest that people’s access to </w:t>
      </w:r>
      <w:r w:rsidR="00D15E9D" w:rsidRPr="00F00B6E">
        <w:t>banking</w:t>
      </w:r>
      <w:r w:rsidR="00D15E9D">
        <w:t xml:space="preserve"> services</w:t>
      </w:r>
      <w:r w:rsidR="00D15E9D" w:rsidRPr="00F00B6E">
        <w:t xml:space="preserve"> in rural and urban areas</w:t>
      </w:r>
      <w:r w:rsidR="00D15E9D">
        <w:t xml:space="preserve"> of the country is </w:t>
      </w:r>
      <w:r w:rsidR="00D15E9D" w:rsidRPr="00F00B6E">
        <w:t>quite impressive</w:t>
      </w:r>
      <w:r w:rsidR="00D15E9D">
        <w:t xml:space="preserve">. The reason is that each and every commercial bank is </w:t>
      </w:r>
      <w:r w:rsidR="00D15E9D" w:rsidRPr="00F00B6E">
        <w:t>operating</w:t>
      </w:r>
      <w:r w:rsidR="00D15E9D">
        <w:t xml:space="preserve"> online banking system under which people can easily deposit</w:t>
      </w:r>
      <w:r w:rsidR="00D15E9D" w:rsidRPr="00F00B6E">
        <w:t xml:space="preserve"> and withdraw money from any part of</w:t>
      </w:r>
      <w:r w:rsidR="00AE7F66">
        <w:t xml:space="preserve"> the country.</w:t>
      </w:r>
    </w:p>
    <w:p w:rsidR="00910C01" w:rsidRDefault="00910C01" w:rsidP="00910C01">
      <w:pPr>
        <w:spacing w:line="360" w:lineRule="auto"/>
      </w:pPr>
    </w:p>
    <w:p w:rsidR="00736425" w:rsidRPr="00FC3536" w:rsidRDefault="00910C01" w:rsidP="00910C01">
      <w:pPr>
        <w:spacing w:line="360" w:lineRule="auto"/>
      </w:pPr>
      <w:r>
        <w:t xml:space="preserve">      </w:t>
      </w:r>
      <w:r w:rsidR="00FC3536" w:rsidRPr="00AB57FF">
        <w:t xml:space="preserve">Figure </w:t>
      </w:r>
      <w:r w:rsidR="00FC3536">
        <w:t>4</w:t>
      </w:r>
      <w:r w:rsidR="00FC3536" w:rsidRPr="00AB57FF">
        <w:t xml:space="preserve">: </w:t>
      </w:r>
      <w:r w:rsidR="00FC3536">
        <w:t>Financial i</w:t>
      </w:r>
      <w:r w:rsidR="00FC3536" w:rsidRPr="00AB57FF">
        <w:t xml:space="preserve">nclusion </w:t>
      </w:r>
      <w:r w:rsidR="00FC3536">
        <w:t>through loan a</w:t>
      </w:r>
      <w:r w:rsidR="00FC3536" w:rsidRPr="00AB57FF">
        <w:t>ccount</w:t>
      </w:r>
      <w:r w:rsidR="00FC3536">
        <w:t>s</w:t>
      </w:r>
      <w:r w:rsidR="00FC3536" w:rsidRPr="00AB57FF">
        <w:t xml:space="preserve"> in </w:t>
      </w:r>
      <w:r w:rsidR="00FC3536">
        <w:t>u</w:t>
      </w:r>
      <w:r w:rsidR="00FC3536" w:rsidRPr="00AB57FF">
        <w:t xml:space="preserve">rban </w:t>
      </w:r>
      <w:r w:rsidR="00FC3536">
        <w:t>and rural areas (</w:t>
      </w:r>
      <w:r w:rsidR="00FC3536" w:rsidRPr="00CC1429">
        <w:rPr>
          <w:sz w:val="23"/>
          <w:szCs w:val="23"/>
        </w:rPr>
        <w:t>2008-2012</w:t>
      </w:r>
      <w:r w:rsidR="00FC3536">
        <w:t>)</w:t>
      </w:r>
    </w:p>
    <w:p w:rsidR="00736425" w:rsidRPr="00F00B6E" w:rsidRDefault="00736425" w:rsidP="00736425">
      <w:pPr>
        <w:spacing w:line="360" w:lineRule="auto"/>
        <w:jc w:val="center"/>
        <w:rPr>
          <w:b/>
        </w:rPr>
      </w:pPr>
      <w:r w:rsidRPr="00F00B6E">
        <w:rPr>
          <w:b/>
          <w:noProof/>
        </w:rPr>
        <w:drawing>
          <wp:inline distT="0" distB="0" distL="0" distR="0">
            <wp:extent cx="5000625" cy="2247900"/>
            <wp:effectExtent l="19050" t="0" r="9525" b="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36425" w:rsidRDefault="00910C01" w:rsidP="00273690">
      <w:pPr>
        <w:spacing w:line="360" w:lineRule="auto"/>
      </w:pPr>
      <w:r>
        <w:t xml:space="preserve">           </w:t>
      </w:r>
      <w:r w:rsidR="00BD0B83" w:rsidRPr="009F534D">
        <w:t xml:space="preserve">Source: </w:t>
      </w:r>
      <w:r w:rsidR="00BD0B83">
        <w:t xml:space="preserve">Bangladesh Bank, </w:t>
      </w:r>
      <w:r w:rsidR="00BD0B83" w:rsidRPr="009F534D">
        <w:t>2013</w:t>
      </w:r>
      <w:r w:rsidR="00D33E24">
        <w:t>b</w:t>
      </w:r>
    </w:p>
    <w:p w:rsidR="00273690" w:rsidRPr="00F00B6E" w:rsidRDefault="00273690" w:rsidP="00273690">
      <w:pPr>
        <w:spacing w:line="360" w:lineRule="auto"/>
      </w:pPr>
    </w:p>
    <w:p w:rsidR="001C06E1" w:rsidRDefault="003B5EC9" w:rsidP="0095408B">
      <w:pPr>
        <w:spacing w:line="276" w:lineRule="auto"/>
        <w:jc w:val="both"/>
      </w:pPr>
      <w:r>
        <w:t xml:space="preserve">Figure </w:t>
      </w:r>
      <w:r w:rsidR="009F67DB">
        <w:t>4</w:t>
      </w:r>
      <w:r w:rsidR="001A7108">
        <w:t xml:space="preserve"> </w:t>
      </w:r>
      <w:r w:rsidR="001C06E1">
        <w:t>depict</w:t>
      </w:r>
      <w:r w:rsidR="00736425">
        <w:t>s</w:t>
      </w:r>
      <w:r w:rsidR="001C06E1">
        <w:t xml:space="preserve"> a comparative scenario of providing loan services by the commercial banks </w:t>
      </w:r>
      <w:r w:rsidR="00736425" w:rsidRPr="00F00B6E">
        <w:t>in rural and urban areas</w:t>
      </w:r>
      <w:r w:rsidR="001C06E1">
        <w:t xml:space="preserve"> of the country.</w:t>
      </w:r>
      <w:r w:rsidR="004C2159">
        <w:t>The data shows that, on average, 50 people per 1000 population in urban areas received bank loans in the year of 2008.</w:t>
      </w:r>
      <w:r w:rsidR="00D87FD9">
        <w:t xml:space="preserve"> It has increased by, on average, </w:t>
      </w:r>
      <w:r w:rsidR="00D87FD9" w:rsidRPr="00F00B6E">
        <w:t>22.37 percent</w:t>
      </w:r>
      <w:r w:rsidR="00D87FD9">
        <w:t xml:space="preserve"> during the last five years. The number of loan accounts in rural areas is also impressive. In 2008, on average 35 people per 1000 rural population </w:t>
      </w:r>
      <w:r w:rsidR="006F1881">
        <w:t xml:space="preserve">gained access to loan facilities of the commercial banks. The number of loan account holders in rural areas has increased by, on average, </w:t>
      </w:r>
      <w:r w:rsidR="006F1881" w:rsidRPr="00F00B6E">
        <w:t>20 percent</w:t>
      </w:r>
      <w:r w:rsidR="006F1881">
        <w:t xml:space="preserve"> during </w:t>
      </w:r>
      <w:r w:rsidR="006F1881" w:rsidRPr="00F00B6E">
        <w:t>2008-2012</w:t>
      </w:r>
      <w:r w:rsidR="006F1881">
        <w:t xml:space="preserve">. It is worth to mention that </w:t>
      </w:r>
      <w:r w:rsidR="006F1881" w:rsidRPr="00F00B6E">
        <w:t xml:space="preserve">most of the </w:t>
      </w:r>
      <w:r w:rsidR="006F1881">
        <w:t xml:space="preserve">commercial </w:t>
      </w:r>
      <w:r w:rsidR="006F1881" w:rsidRPr="00F00B6E">
        <w:t>bank</w:t>
      </w:r>
      <w:r w:rsidR="006F1881">
        <w:t>s</w:t>
      </w:r>
      <w:r w:rsidR="006F1881" w:rsidRPr="00F00B6E">
        <w:t xml:space="preserve"> has </w:t>
      </w:r>
      <w:r w:rsidR="006F1881">
        <w:t xml:space="preserve">initiated </w:t>
      </w:r>
      <w:r w:rsidR="006F1881" w:rsidRPr="00F00B6E">
        <w:t>agent banking</w:t>
      </w:r>
      <w:r w:rsidR="006F1881">
        <w:t xml:space="preserve"> system in rural areas of the county to enhance financial inclusion. Moreover, the banks are providing </w:t>
      </w:r>
      <w:r w:rsidR="0005590D" w:rsidRPr="00F00B6E">
        <w:t xml:space="preserve">low interest </w:t>
      </w:r>
      <w:r w:rsidR="0005590D">
        <w:t xml:space="preserve">loans </w:t>
      </w:r>
      <w:r w:rsidR="0005590D" w:rsidRPr="00F00B6E">
        <w:t xml:space="preserve">to </w:t>
      </w:r>
      <w:r w:rsidR="0005590D">
        <w:t xml:space="preserve">the </w:t>
      </w:r>
      <w:r w:rsidR="0005590D" w:rsidRPr="00F00B6E">
        <w:t>farmers for produc</w:t>
      </w:r>
      <w:r w:rsidR="0005590D">
        <w:t>ing</w:t>
      </w:r>
      <w:r w:rsidR="0005590D" w:rsidRPr="00F00B6E">
        <w:t xml:space="preserve"> special crops</w:t>
      </w:r>
      <w:r w:rsidR="0005590D">
        <w:t>.</w:t>
      </w:r>
    </w:p>
    <w:p w:rsidR="00736425" w:rsidRDefault="00736425" w:rsidP="00736425">
      <w:pPr>
        <w:spacing w:line="360" w:lineRule="auto"/>
        <w:jc w:val="both"/>
        <w:rPr>
          <w:b/>
        </w:rPr>
      </w:pPr>
    </w:p>
    <w:p w:rsidR="00B97DCF" w:rsidRDefault="00B97DCF">
      <w:pPr>
        <w:rPr>
          <w:b/>
          <w:i/>
        </w:rPr>
      </w:pPr>
    </w:p>
    <w:p w:rsidR="00B97DCF" w:rsidRDefault="00B97DCF">
      <w:pPr>
        <w:rPr>
          <w:b/>
          <w:i/>
        </w:rPr>
      </w:pPr>
    </w:p>
    <w:p w:rsidR="00A075D8" w:rsidRPr="002F335A" w:rsidRDefault="002F335A">
      <w:pPr>
        <w:rPr>
          <w:b/>
          <w:i/>
        </w:rPr>
      </w:pPr>
      <w:r w:rsidRPr="002F335A">
        <w:rPr>
          <w:b/>
          <w:i/>
        </w:rPr>
        <w:t xml:space="preserve">Summary of the </w:t>
      </w:r>
      <w:r w:rsidR="00494000" w:rsidRPr="002F335A">
        <w:rPr>
          <w:b/>
          <w:i/>
        </w:rPr>
        <w:t>Findings</w:t>
      </w:r>
      <w:r>
        <w:rPr>
          <w:b/>
          <w:i/>
        </w:rPr>
        <w:t>:</w:t>
      </w:r>
    </w:p>
    <w:p w:rsidR="002F335A" w:rsidRDefault="002F335A">
      <w:pPr>
        <w:rPr>
          <w:b/>
        </w:rPr>
      </w:pPr>
    </w:p>
    <w:p w:rsidR="00EC266F" w:rsidRDefault="002F335A">
      <w:r w:rsidRPr="002F335A">
        <w:t>The findings of this study can be summarized as follows</w:t>
      </w:r>
      <w:r>
        <w:t>:</w:t>
      </w:r>
    </w:p>
    <w:p w:rsidR="0005590D" w:rsidRPr="002F335A" w:rsidRDefault="0005590D"/>
    <w:p w:rsidR="00876773" w:rsidRDefault="002F335A" w:rsidP="00EC266F">
      <w:pPr>
        <w:pStyle w:val="ListParagraph"/>
        <w:numPr>
          <w:ilvl w:val="0"/>
          <w:numId w:val="3"/>
        </w:numPr>
        <w:spacing w:line="360" w:lineRule="auto"/>
        <w:jc w:val="both"/>
      </w:pPr>
      <w:r>
        <w:t>L</w:t>
      </w:r>
      <w:r w:rsidR="00AB1ED8">
        <w:t xml:space="preserve">ow income people can easily access </w:t>
      </w:r>
      <w:r>
        <w:t xml:space="preserve">to banking </w:t>
      </w:r>
      <w:r w:rsidR="00AB1ED8">
        <w:t>service</w:t>
      </w:r>
      <w:r>
        <w:t>s</w:t>
      </w:r>
      <w:r w:rsidR="00B97A3F">
        <w:t xml:space="preserve"> and take small amount </w:t>
      </w:r>
      <w:r>
        <w:t xml:space="preserve">of </w:t>
      </w:r>
      <w:r w:rsidR="000479E7">
        <w:t xml:space="preserve">loan </w:t>
      </w:r>
      <w:r>
        <w:t xml:space="preserve">at </w:t>
      </w:r>
      <w:r w:rsidR="000479E7">
        <w:t>low interest rate.</w:t>
      </w:r>
    </w:p>
    <w:p w:rsidR="000479E7" w:rsidRDefault="002F335A" w:rsidP="00EC266F">
      <w:pPr>
        <w:pStyle w:val="ListParagraph"/>
        <w:numPr>
          <w:ilvl w:val="0"/>
          <w:numId w:val="3"/>
        </w:numPr>
        <w:spacing w:line="360" w:lineRule="auto"/>
        <w:jc w:val="both"/>
      </w:pPr>
      <w:r>
        <w:t>T</w:t>
      </w:r>
      <w:r w:rsidR="005103C9" w:rsidRPr="00F00B6E">
        <w:t>he rate of overall financial inclusion</w:t>
      </w:r>
      <w:r w:rsidR="006E38A9">
        <w:t xml:space="preserve"> through</w:t>
      </w:r>
      <w:r>
        <w:t xml:space="preserve"> banking services is increasing at</w:t>
      </w:r>
      <w:r w:rsidR="005103C9" w:rsidRPr="00F00B6E">
        <w:t xml:space="preserve"> modest pace. </w:t>
      </w:r>
      <w:r>
        <w:t>F</w:t>
      </w:r>
      <w:r w:rsidR="005103C9" w:rsidRPr="00F00B6E">
        <w:t xml:space="preserve">inancial inclusion </w:t>
      </w:r>
      <w:r>
        <w:t xml:space="preserve">in terms of </w:t>
      </w:r>
      <w:r w:rsidR="005103C9" w:rsidRPr="00F00B6E">
        <w:t xml:space="preserve">total population </w:t>
      </w:r>
      <w:r>
        <w:t xml:space="preserve">has </w:t>
      </w:r>
      <w:r w:rsidR="005103C9" w:rsidRPr="00F00B6E">
        <w:t>increased from 48.86 percent in 2008 to 63.46 percent in 2012.</w:t>
      </w:r>
    </w:p>
    <w:p w:rsidR="00724B7F" w:rsidRDefault="006070F1" w:rsidP="00EC266F">
      <w:pPr>
        <w:pStyle w:val="ListParagraph"/>
        <w:numPr>
          <w:ilvl w:val="0"/>
          <w:numId w:val="3"/>
        </w:numPr>
        <w:spacing w:line="360" w:lineRule="auto"/>
        <w:jc w:val="both"/>
      </w:pPr>
      <w:r>
        <w:t>Private commercial banks</w:t>
      </w:r>
      <w:r w:rsidR="002F335A">
        <w:t xml:space="preserve"> (PCBs)</w:t>
      </w:r>
      <w:r>
        <w:t xml:space="preserve"> are more advance</w:t>
      </w:r>
      <w:r w:rsidR="003E1766">
        <w:t xml:space="preserve"> in </w:t>
      </w:r>
      <w:r w:rsidR="002F335A">
        <w:t>enhancing financial i</w:t>
      </w:r>
      <w:r w:rsidR="003E1766">
        <w:t xml:space="preserve">nclusion than </w:t>
      </w:r>
      <w:r w:rsidR="00186470">
        <w:t>s</w:t>
      </w:r>
      <w:r w:rsidR="003E1766">
        <w:t>t</w:t>
      </w:r>
      <w:r w:rsidR="0041624B">
        <w:t>ate own</w:t>
      </w:r>
      <w:r w:rsidR="002F335A">
        <w:t>ed</w:t>
      </w:r>
      <w:r w:rsidR="00186470">
        <w:t xml:space="preserve"> c</w:t>
      </w:r>
      <w:r w:rsidR="0041624B">
        <w:t xml:space="preserve">ommercial </w:t>
      </w:r>
      <w:r w:rsidR="00B120A8">
        <w:t>bank</w:t>
      </w:r>
      <w:r w:rsidR="002F335A">
        <w:t>s (SCBs)</w:t>
      </w:r>
      <w:r w:rsidR="0041624B">
        <w:t xml:space="preserve">and </w:t>
      </w:r>
      <w:r w:rsidR="002F335A">
        <w:t>foreign</w:t>
      </w:r>
      <w:r w:rsidR="0041624B">
        <w:t xml:space="preserve"> c</w:t>
      </w:r>
      <w:r w:rsidR="003E1766">
        <w:t>ommercial</w:t>
      </w:r>
      <w:r w:rsidR="00B120A8">
        <w:t xml:space="preserve"> bank</w:t>
      </w:r>
      <w:r w:rsidR="002F335A">
        <w:t>s</w:t>
      </w:r>
      <w:r w:rsidR="00186470">
        <w:t xml:space="preserve"> (FCBs)</w:t>
      </w:r>
      <w:r w:rsidR="0041624B">
        <w:t>.</w:t>
      </w:r>
    </w:p>
    <w:p w:rsidR="0041624B" w:rsidRDefault="00186470" w:rsidP="00EC266F">
      <w:pPr>
        <w:pStyle w:val="ListParagraph"/>
        <w:numPr>
          <w:ilvl w:val="0"/>
          <w:numId w:val="3"/>
        </w:numPr>
        <w:spacing w:line="360" w:lineRule="auto"/>
        <w:jc w:val="both"/>
      </w:pPr>
      <w:r>
        <w:t xml:space="preserve">Financial inclusion </w:t>
      </w:r>
      <w:r w:rsidR="006C17DA" w:rsidRPr="00F00B6E">
        <w:t xml:space="preserve">in </w:t>
      </w:r>
      <w:r>
        <w:t>terms of geographic and</w:t>
      </w:r>
      <w:r w:rsidRPr="00F00B6E">
        <w:t xml:space="preserve">demographic </w:t>
      </w:r>
      <w:r w:rsidR="006C17DA" w:rsidRPr="00F00B6E">
        <w:t>penetration</w:t>
      </w:r>
      <w:r>
        <w:t xml:space="preserve"> of banking services</w:t>
      </w:r>
      <w:r w:rsidR="00485E4D">
        <w:t xml:space="preserve"> has increased tremendously during the last five years. </w:t>
      </w:r>
    </w:p>
    <w:p w:rsidR="00B254F0" w:rsidRPr="00186470" w:rsidRDefault="00186470" w:rsidP="00186470">
      <w:pPr>
        <w:pStyle w:val="ListParagraph"/>
        <w:numPr>
          <w:ilvl w:val="0"/>
          <w:numId w:val="3"/>
        </w:numPr>
        <w:spacing w:line="360" w:lineRule="auto"/>
        <w:jc w:val="both"/>
        <w:rPr>
          <w:b/>
        </w:rPr>
      </w:pPr>
      <w:r>
        <w:t>A</w:t>
      </w:r>
      <w:r w:rsidR="00432AF6" w:rsidRPr="00F00B6E">
        <w:t>ccess</w:t>
      </w:r>
      <w:r>
        <w:t xml:space="preserve"> of the common people</w:t>
      </w:r>
      <w:r w:rsidR="00432AF6" w:rsidRPr="00F00B6E">
        <w:t xml:space="preserve"> to banking</w:t>
      </w:r>
      <w:r>
        <w:t xml:space="preserve"> services</w:t>
      </w:r>
      <w:r w:rsidR="00432AF6" w:rsidRPr="00F00B6E">
        <w:t xml:space="preserve"> in </w:t>
      </w:r>
      <w:r>
        <w:t xml:space="preserve">both </w:t>
      </w:r>
      <w:r w:rsidR="00432AF6" w:rsidRPr="00F00B6E">
        <w:t>rural and urban areas</w:t>
      </w:r>
      <w:r>
        <w:t xml:space="preserve"> of the country has increased overtime.</w:t>
      </w:r>
    </w:p>
    <w:p w:rsidR="00186470" w:rsidRDefault="00186470" w:rsidP="00186470">
      <w:pPr>
        <w:pStyle w:val="ListParagraph"/>
        <w:spacing w:line="360" w:lineRule="auto"/>
        <w:jc w:val="both"/>
        <w:rPr>
          <w:b/>
        </w:rPr>
      </w:pPr>
    </w:p>
    <w:p w:rsidR="00494000" w:rsidRDefault="00494000">
      <w:pPr>
        <w:rPr>
          <w:b/>
        </w:rPr>
      </w:pPr>
      <w:r>
        <w:rPr>
          <w:b/>
        </w:rPr>
        <w:t xml:space="preserve"> Conclusion </w:t>
      </w:r>
    </w:p>
    <w:p w:rsidR="005F2FBF" w:rsidRDefault="005F2FBF">
      <w:pPr>
        <w:rPr>
          <w:b/>
        </w:rPr>
      </w:pPr>
    </w:p>
    <w:p w:rsidR="000A6CFF" w:rsidRPr="001C11ED" w:rsidRDefault="00A45ABE" w:rsidP="001C11ED">
      <w:pPr>
        <w:autoSpaceDE w:val="0"/>
        <w:autoSpaceDN w:val="0"/>
        <w:adjustRightInd w:val="0"/>
        <w:spacing w:line="276" w:lineRule="auto"/>
        <w:jc w:val="both"/>
        <w:rPr>
          <w:rFonts w:eastAsiaTheme="minorHAnsi"/>
          <w:lang w:val="ms-MY"/>
        </w:rPr>
      </w:pPr>
      <w:r>
        <w:rPr>
          <w:rFonts w:eastAsiaTheme="minorHAnsi"/>
          <w:szCs w:val="23"/>
        </w:rPr>
        <w:t xml:space="preserve">The study examines the role of CSR practices of banking sector in enhancing financial inclusion in Bangladesh. </w:t>
      </w:r>
      <w:r w:rsidR="0094486C">
        <w:rPr>
          <w:rFonts w:eastAsiaTheme="minorHAnsi"/>
          <w:szCs w:val="23"/>
        </w:rPr>
        <w:t xml:space="preserve">The findings of the study show that </w:t>
      </w:r>
      <w:r w:rsidR="0094486C">
        <w:t xml:space="preserve">geographic as well as </w:t>
      </w:r>
      <w:r w:rsidR="0094486C" w:rsidRPr="00F00B6E">
        <w:t>demographic penetration</w:t>
      </w:r>
      <w:r w:rsidR="0094486C">
        <w:t xml:space="preserve"> of banking services in the country has increased significantly during the last five years. F</w:t>
      </w:r>
      <w:r w:rsidR="0094486C" w:rsidRPr="00F00B6E">
        <w:t xml:space="preserve">inancial inclusion </w:t>
      </w:r>
      <w:r w:rsidR="0094486C">
        <w:t xml:space="preserve">in terms of </w:t>
      </w:r>
      <w:r w:rsidR="0094486C" w:rsidRPr="00F00B6E">
        <w:t xml:space="preserve">total population </w:t>
      </w:r>
      <w:r w:rsidR="0094486C">
        <w:t xml:space="preserve">has </w:t>
      </w:r>
      <w:r w:rsidR="0094486C" w:rsidRPr="00F00B6E">
        <w:t>increased from 48.86 percent in 2008 to 63.46 percent in 2012.</w:t>
      </w:r>
      <w:r w:rsidR="0094486C">
        <w:t xml:space="preserve"> Now the common people, particularly the lowincome people </w:t>
      </w:r>
      <w:r w:rsidR="00FB4243" w:rsidRPr="00F00B6E">
        <w:t xml:space="preserve">in </w:t>
      </w:r>
      <w:r w:rsidR="00FB4243">
        <w:t xml:space="preserve">both </w:t>
      </w:r>
      <w:r w:rsidR="00FB4243" w:rsidRPr="00F00B6E">
        <w:lastRenderedPageBreak/>
        <w:t>rural and urban areas</w:t>
      </w:r>
      <w:r w:rsidR="00FB4243">
        <w:t xml:space="preserve"> of the country </w:t>
      </w:r>
      <w:r w:rsidR="0094486C">
        <w:t xml:space="preserve">can easily access to </w:t>
      </w:r>
      <w:r w:rsidR="00FB4243">
        <w:t xml:space="preserve">and enjoy various types of </w:t>
      </w:r>
      <w:r w:rsidR="0094486C">
        <w:t>banking services</w:t>
      </w:r>
      <w:r w:rsidR="00FB4243">
        <w:t>.</w:t>
      </w:r>
      <w:r w:rsidR="00EB7C0F">
        <w:t xml:space="preserve"> However,the private commercial banks (PCBs) have higher contribution in CSR practices to enhance financial inclusion than state owned commercial banks (SCBs) and foreign commercial banks (FCBs).</w:t>
      </w:r>
      <w:r w:rsidR="00EB7930">
        <w:t xml:space="preserve"> Therefore, SCBs andFCBs should provide more efforts in this regard. </w:t>
      </w:r>
      <w:r w:rsidR="00EB7930" w:rsidRPr="00FB5CDE">
        <w:rPr>
          <w:rFonts w:eastAsiaTheme="minorHAnsi"/>
        </w:rPr>
        <w:t>The expansion of financial inclusion</w:t>
      </w:r>
      <w:r w:rsidR="00EB7930">
        <w:rPr>
          <w:rFonts w:eastAsiaTheme="minorHAnsi"/>
        </w:rPr>
        <w:t xml:space="preserve"> through banking services</w:t>
      </w:r>
      <w:r w:rsidR="00EB7930" w:rsidRPr="00FB5CDE">
        <w:rPr>
          <w:rFonts w:eastAsiaTheme="minorHAnsi"/>
        </w:rPr>
        <w:t xml:space="preserve"> can be made possible by introducing innovative product</w:t>
      </w:r>
      <w:r w:rsidR="00EB7930">
        <w:rPr>
          <w:rFonts w:eastAsiaTheme="minorHAnsi"/>
        </w:rPr>
        <w:t>s</w:t>
      </w:r>
      <w:r w:rsidR="00EB7930" w:rsidRPr="00FB5CDE">
        <w:rPr>
          <w:rFonts w:eastAsiaTheme="minorHAnsi"/>
        </w:rPr>
        <w:t xml:space="preserve">, developing the efficient and effective service delivery mechanism, increasing the financial literacy of the potential users of </w:t>
      </w:r>
      <w:r w:rsidR="00EB7930">
        <w:rPr>
          <w:rFonts w:eastAsiaTheme="minorHAnsi"/>
        </w:rPr>
        <w:t xml:space="preserve">banking </w:t>
      </w:r>
      <w:r w:rsidR="00EB7930" w:rsidRPr="00FB5CDE">
        <w:rPr>
          <w:rFonts w:eastAsiaTheme="minorHAnsi"/>
        </w:rPr>
        <w:t xml:space="preserve">services, and so on. </w:t>
      </w:r>
      <w:r w:rsidR="00EB7930">
        <w:rPr>
          <w:rFonts w:eastAsiaTheme="minorHAnsi"/>
        </w:rPr>
        <w:t xml:space="preserve">Moreover, </w:t>
      </w:r>
      <w:r w:rsidR="00EB7930" w:rsidRPr="00FB5CDE">
        <w:t xml:space="preserve">the banking for women can be a new window </w:t>
      </w:r>
      <w:r w:rsidR="002942F8">
        <w:t xml:space="preserve">in enhancing </w:t>
      </w:r>
      <w:r w:rsidR="00EB7930" w:rsidRPr="00FB5CDE">
        <w:t>financial inclusion</w:t>
      </w:r>
      <w:r w:rsidR="002942F8">
        <w:t xml:space="preserve"> in the country. The reason is that majority </w:t>
      </w:r>
      <w:r w:rsidR="00EB7930" w:rsidRPr="00FB5CDE">
        <w:t xml:space="preserve">of the Bangladeshi women does not have ability or intension </w:t>
      </w:r>
      <w:r w:rsidR="002942F8">
        <w:t xml:space="preserve">to deal with a bankdue to </w:t>
      </w:r>
      <w:r w:rsidR="00EB7930" w:rsidRPr="00FB5CDE">
        <w:t>their lack of financial knowledge or insufficient money in hand.</w:t>
      </w:r>
      <w:r w:rsidR="001C11ED">
        <w:t xml:space="preserve">The findings of the study </w:t>
      </w:r>
      <w:r w:rsidR="001C11ED">
        <w:rPr>
          <w:rFonts w:eastAsiaTheme="minorHAnsi"/>
          <w:lang w:val="ms-MY"/>
        </w:rPr>
        <w:t>might be valuable for the commercial banks to judge their performance in terms of CSR practices among the overall banking sector in the country. The study might also be useful for policymakers to promote more effective policies and guidelines to ensure</w:t>
      </w:r>
      <w:r w:rsidR="001C11ED">
        <w:rPr>
          <w:szCs w:val="20"/>
        </w:rPr>
        <w:t xml:space="preserve">an </w:t>
      </w:r>
      <w:r w:rsidR="001C11ED" w:rsidRPr="00386291">
        <w:rPr>
          <w:szCs w:val="20"/>
        </w:rPr>
        <w:t>equitable f</w:t>
      </w:r>
      <w:r w:rsidR="001C11ED">
        <w:rPr>
          <w:szCs w:val="20"/>
        </w:rPr>
        <w:t>inancial inclusion</w:t>
      </w:r>
      <w:r w:rsidR="001C11ED" w:rsidRPr="00386291">
        <w:rPr>
          <w:szCs w:val="20"/>
        </w:rPr>
        <w:t xml:space="preserve"> for all the people including poor, underserved and underprivileged group</w:t>
      </w:r>
      <w:r w:rsidR="001C11ED">
        <w:rPr>
          <w:rFonts w:eastAsiaTheme="minorHAnsi"/>
          <w:lang w:val="ms-MY"/>
        </w:rPr>
        <w:t xml:space="preserve"> of the society. </w:t>
      </w:r>
    </w:p>
    <w:p w:rsidR="0038090D" w:rsidRDefault="0038090D" w:rsidP="00FB5CDE">
      <w:pPr>
        <w:spacing w:line="360" w:lineRule="auto"/>
        <w:rPr>
          <w:b/>
        </w:rPr>
      </w:pPr>
    </w:p>
    <w:p w:rsidR="00813E5A" w:rsidRPr="0095408B" w:rsidRDefault="00494000" w:rsidP="00FB5CDE">
      <w:pPr>
        <w:spacing w:line="360" w:lineRule="auto"/>
        <w:rPr>
          <w:b/>
        </w:rPr>
      </w:pPr>
      <w:r>
        <w:rPr>
          <w:b/>
        </w:rPr>
        <w:t>References</w:t>
      </w:r>
    </w:p>
    <w:bookmarkStart w:id="0" w:name="_GoBack"/>
    <w:bookmarkEnd w:id="0"/>
    <w:p w:rsidR="00813E5A" w:rsidRPr="008611DD" w:rsidRDefault="00440F1C" w:rsidP="0095408B">
      <w:pPr>
        <w:pStyle w:val="Bibliography"/>
        <w:spacing w:line="276" w:lineRule="auto"/>
        <w:ind w:left="720" w:hanging="720"/>
        <w:rPr>
          <w:noProof/>
        </w:rPr>
      </w:pPr>
      <w:r w:rsidRPr="008611DD">
        <w:fldChar w:fldCharType="begin"/>
      </w:r>
      <w:r w:rsidR="00813E5A" w:rsidRPr="008611DD">
        <w:instrText xml:space="preserve"> BIBLIOGRAPHY  \l 1033 </w:instrText>
      </w:r>
      <w:r w:rsidRPr="008611DD">
        <w:fldChar w:fldCharType="separate"/>
      </w:r>
      <w:r w:rsidR="00813E5A" w:rsidRPr="008611DD">
        <w:rPr>
          <w:noProof/>
        </w:rPr>
        <w:t>Ahmed, M. (2012). P</w:t>
      </w:r>
      <w:r w:rsidR="00994AFE" w:rsidRPr="008611DD">
        <w:rPr>
          <w:noProof/>
        </w:rPr>
        <w:t>roblems and prospects of mobile banking in bangladesh</w:t>
      </w:r>
      <w:r w:rsidR="00813E5A" w:rsidRPr="008611DD">
        <w:rPr>
          <w:noProof/>
        </w:rPr>
        <w:t xml:space="preserve">. </w:t>
      </w:r>
      <w:r w:rsidR="00813E5A" w:rsidRPr="008611DD">
        <w:rPr>
          <w:iCs/>
          <w:noProof/>
        </w:rPr>
        <w:t>Journal of Economic Literature</w:t>
      </w:r>
      <w:r w:rsidR="00710207" w:rsidRPr="008611DD">
        <w:rPr>
          <w:noProof/>
        </w:rPr>
        <w:t>, 5:</w:t>
      </w:r>
      <w:r w:rsidR="00813E5A" w:rsidRPr="008611DD">
        <w:rPr>
          <w:noProof/>
        </w:rPr>
        <w:t xml:space="preserve"> 60-78.</w:t>
      </w:r>
    </w:p>
    <w:p w:rsidR="005056A7" w:rsidRPr="008611DD" w:rsidRDefault="005056A7" w:rsidP="005056A7"/>
    <w:p w:rsidR="003E46BC" w:rsidRPr="008611DD" w:rsidRDefault="003E46BC" w:rsidP="0095408B">
      <w:pPr>
        <w:pStyle w:val="Bibliography"/>
        <w:spacing w:line="276" w:lineRule="auto"/>
        <w:ind w:left="720" w:hanging="720"/>
        <w:rPr>
          <w:noProof/>
        </w:rPr>
      </w:pPr>
      <w:r w:rsidRPr="008611DD">
        <w:t xml:space="preserve">Ahmed, M.K. (2013). </w:t>
      </w:r>
      <w:r w:rsidRPr="008611DD">
        <w:rPr>
          <w:bCs/>
        </w:rPr>
        <w:t>Corporate Social Responsibility Practices of</w:t>
      </w:r>
      <w:r w:rsidRPr="008611DD">
        <w:t xml:space="preserve"> Commercial Banks in Bangladesh: </w:t>
      </w:r>
      <w:r w:rsidRPr="008611DD">
        <w:rPr>
          <w:bCs/>
        </w:rPr>
        <w:t xml:space="preserve">A Case Study on Southeast Bank Ltd. IOSR Journal of Business and Management, </w:t>
      </w:r>
      <w:r w:rsidRPr="008611DD">
        <w:rPr>
          <w:noProof/>
        </w:rPr>
        <w:t xml:space="preserve">12 </w:t>
      </w:r>
      <w:r w:rsidR="00586E81" w:rsidRPr="008611DD">
        <w:rPr>
          <w:noProof/>
        </w:rPr>
        <w:t>(</w:t>
      </w:r>
      <w:r w:rsidRPr="008611DD">
        <w:rPr>
          <w:noProof/>
        </w:rPr>
        <w:t>1</w:t>
      </w:r>
      <w:r w:rsidR="00586E81" w:rsidRPr="008611DD">
        <w:rPr>
          <w:noProof/>
        </w:rPr>
        <w:t>):</w:t>
      </w:r>
      <w:r w:rsidRPr="008611DD">
        <w:rPr>
          <w:noProof/>
        </w:rPr>
        <w:t xml:space="preserve"> 13-18.</w:t>
      </w:r>
    </w:p>
    <w:p w:rsidR="005056A7" w:rsidRPr="008611DD" w:rsidRDefault="005056A7" w:rsidP="005056A7"/>
    <w:p w:rsidR="000A6CFF" w:rsidRPr="008611DD" w:rsidRDefault="000A6CFF" w:rsidP="0095408B">
      <w:pPr>
        <w:pStyle w:val="Bibliography"/>
        <w:spacing w:line="276" w:lineRule="auto"/>
        <w:ind w:left="720" w:hanging="720"/>
        <w:rPr>
          <w:noProof/>
        </w:rPr>
      </w:pPr>
      <w:r w:rsidRPr="008611DD">
        <w:rPr>
          <w:bCs/>
        </w:rPr>
        <w:t xml:space="preserve">Alam,S.M.S., Hoque, S.M.S., and Hosen, M.Z. (2010). Corporate Social Responsibility of </w:t>
      </w:r>
      <w:r w:rsidR="00D97D47" w:rsidRPr="008611DD">
        <w:rPr>
          <w:bCs/>
        </w:rPr>
        <w:t>Multinational Corporation in Bangladesh: A Case Study on Grameen Phone. Journal of Pathuakhali Sci</w:t>
      </w:r>
      <w:r w:rsidR="003B2EE0" w:rsidRPr="008611DD">
        <w:rPr>
          <w:bCs/>
        </w:rPr>
        <w:t xml:space="preserve">ence and Technology University, </w:t>
      </w:r>
      <w:r w:rsidR="00D97D47" w:rsidRPr="008611DD">
        <w:rPr>
          <w:noProof/>
        </w:rPr>
        <w:t>2</w:t>
      </w:r>
      <w:r w:rsidR="003B2EE0" w:rsidRPr="008611DD">
        <w:rPr>
          <w:noProof/>
        </w:rPr>
        <w:t xml:space="preserve"> (</w:t>
      </w:r>
      <w:r w:rsidR="00D97D47" w:rsidRPr="008611DD">
        <w:rPr>
          <w:noProof/>
        </w:rPr>
        <w:t>1</w:t>
      </w:r>
      <w:r w:rsidR="003B2EE0" w:rsidRPr="008611DD">
        <w:rPr>
          <w:noProof/>
        </w:rPr>
        <w:t>):</w:t>
      </w:r>
      <w:r w:rsidR="00D97D47" w:rsidRPr="008611DD">
        <w:rPr>
          <w:noProof/>
        </w:rPr>
        <w:t xml:space="preserve"> 51-61.</w:t>
      </w:r>
    </w:p>
    <w:p w:rsidR="005056A7" w:rsidRPr="008611DD" w:rsidRDefault="005056A7" w:rsidP="005056A7"/>
    <w:p w:rsidR="00813E5A" w:rsidRPr="008611DD" w:rsidRDefault="00813E5A" w:rsidP="0095408B">
      <w:pPr>
        <w:pStyle w:val="Bibliography"/>
        <w:spacing w:line="276" w:lineRule="auto"/>
        <w:ind w:left="720" w:hanging="720"/>
        <w:rPr>
          <w:noProof/>
        </w:rPr>
      </w:pPr>
      <w:r w:rsidRPr="008611DD">
        <w:rPr>
          <w:noProof/>
        </w:rPr>
        <w:t xml:space="preserve">Alonso, J. (2013). </w:t>
      </w:r>
      <w:r w:rsidRPr="008611DD">
        <w:rPr>
          <w:iCs/>
          <w:noProof/>
        </w:rPr>
        <w:t>Mobile banking in Mexico as a mechanism forfinancial inclusion: recent developments and a closerlook into the potential market.</w:t>
      </w:r>
      <w:r w:rsidRPr="008611DD">
        <w:rPr>
          <w:noProof/>
        </w:rPr>
        <w:t xml:space="preserve"> Mexico: BBVA.</w:t>
      </w:r>
    </w:p>
    <w:p w:rsidR="005056A7" w:rsidRPr="008611DD" w:rsidRDefault="005056A7" w:rsidP="005056A7"/>
    <w:p w:rsidR="00005E1F" w:rsidRPr="008611DD" w:rsidRDefault="00005E1F" w:rsidP="00005E1F">
      <w:pPr>
        <w:autoSpaceDE w:val="0"/>
        <w:autoSpaceDN w:val="0"/>
        <w:adjustRightInd w:val="0"/>
        <w:rPr>
          <w:rFonts w:eastAsiaTheme="minorHAnsi"/>
          <w:bCs/>
          <w:lang w:val="ms-MY"/>
        </w:rPr>
      </w:pPr>
      <w:r w:rsidRPr="008611DD">
        <w:rPr>
          <w:rFonts w:eastAsiaTheme="minorHAnsi"/>
          <w:lang w:val="ms-MY"/>
        </w:rPr>
        <w:t xml:space="preserve">Al-Tamimi, H.A.H. (2014). </w:t>
      </w:r>
      <w:r w:rsidRPr="008611DD">
        <w:rPr>
          <w:rFonts w:eastAsiaTheme="minorHAnsi"/>
          <w:bCs/>
          <w:lang w:val="ms-MY"/>
        </w:rPr>
        <w:t xml:space="preserve">Corporate Social Responsibility Practices of UAE Banks. Global Journal of Business Research, </w:t>
      </w:r>
      <w:r w:rsidRPr="008611DD">
        <w:rPr>
          <w:rFonts w:eastAsiaTheme="minorHAnsi"/>
          <w:lang w:val="ms-MY"/>
        </w:rPr>
        <w:t xml:space="preserve">8 </w:t>
      </w:r>
      <w:r w:rsidR="00710207" w:rsidRPr="008611DD">
        <w:rPr>
          <w:rFonts w:eastAsiaTheme="minorHAnsi"/>
          <w:lang w:val="ms-MY"/>
        </w:rPr>
        <w:t>(</w:t>
      </w:r>
      <w:r w:rsidRPr="008611DD">
        <w:rPr>
          <w:rFonts w:eastAsiaTheme="minorHAnsi"/>
          <w:lang w:val="ms-MY"/>
        </w:rPr>
        <w:t>3</w:t>
      </w:r>
      <w:r w:rsidR="00710207" w:rsidRPr="008611DD">
        <w:rPr>
          <w:rFonts w:eastAsiaTheme="minorHAnsi"/>
          <w:lang w:val="ms-MY"/>
        </w:rPr>
        <w:t>):</w:t>
      </w:r>
      <w:r w:rsidRPr="008611DD">
        <w:rPr>
          <w:noProof/>
        </w:rPr>
        <w:t xml:space="preserve"> 91-108.</w:t>
      </w:r>
    </w:p>
    <w:p w:rsidR="00005E1F" w:rsidRPr="008611DD" w:rsidRDefault="00005E1F" w:rsidP="00005E1F">
      <w:pPr>
        <w:rPr>
          <w:lang w:val="ms-MY"/>
        </w:rPr>
      </w:pPr>
    </w:p>
    <w:p w:rsidR="00E735C7" w:rsidRPr="008611DD" w:rsidRDefault="00D33E24" w:rsidP="00E735C7">
      <w:pPr>
        <w:autoSpaceDE w:val="0"/>
        <w:autoSpaceDN w:val="0"/>
        <w:adjustRightInd w:val="0"/>
        <w:rPr>
          <w:rFonts w:eastAsiaTheme="minorHAnsi"/>
          <w:lang w:val="ms-MY"/>
        </w:rPr>
      </w:pPr>
      <w:r w:rsidRPr="008611DD">
        <w:rPr>
          <w:rFonts w:eastAsiaTheme="minorHAnsi"/>
          <w:lang w:val="ms-MY"/>
        </w:rPr>
        <w:t>Bangladesh Bank</w:t>
      </w:r>
      <w:r w:rsidR="00E735C7" w:rsidRPr="008611DD">
        <w:rPr>
          <w:rFonts w:eastAsiaTheme="minorHAnsi"/>
          <w:lang w:val="ms-MY"/>
        </w:rPr>
        <w:t xml:space="preserve">(2013a). </w:t>
      </w:r>
      <w:r w:rsidR="00E735C7" w:rsidRPr="008611DD">
        <w:rPr>
          <w:rFonts w:eastAsiaTheme="minorHAnsi"/>
          <w:iCs/>
          <w:lang w:val="ms-MY"/>
        </w:rPr>
        <w:t>Developmental Central Banking in Bangladesh-Recent Reforms and Achievement 2009-12</w:t>
      </w:r>
      <w:r w:rsidR="00E735C7" w:rsidRPr="008611DD">
        <w:rPr>
          <w:rFonts w:eastAsiaTheme="minorHAnsi"/>
          <w:bCs/>
          <w:lang w:val="ms-MY"/>
        </w:rPr>
        <w:t xml:space="preserve">. </w:t>
      </w:r>
      <w:r w:rsidR="00E735C7" w:rsidRPr="008611DD">
        <w:rPr>
          <w:rFonts w:eastAsiaTheme="minorHAnsi"/>
          <w:lang w:val="ms-MY"/>
        </w:rPr>
        <w:t>Bangladesh Bank, Dhaka.</w:t>
      </w:r>
    </w:p>
    <w:p w:rsidR="00E735C7" w:rsidRPr="008611DD" w:rsidRDefault="00E735C7" w:rsidP="0095408B">
      <w:pPr>
        <w:pStyle w:val="Bibliography"/>
        <w:spacing w:line="276" w:lineRule="auto"/>
        <w:ind w:left="720" w:hanging="720"/>
        <w:rPr>
          <w:noProof/>
        </w:rPr>
      </w:pPr>
    </w:p>
    <w:p w:rsidR="00D33E24" w:rsidRPr="008611DD" w:rsidRDefault="00D33E24" w:rsidP="00D33E24">
      <w:r w:rsidRPr="008611DD">
        <w:t xml:space="preserve">Bangladesh Bank (2013b).Financial Inclusion Report, 2013. Available at: </w:t>
      </w:r>
      <w:hyperlink r:id="rId10" w:history="1">
        <w:r w:rsidRPr="008611DD">
          <w:rPr>
            <w:rStyle w:val="Hyperlink"/>
            <w:color w:val="auto"/>
          </w:rPr>
          <w:t>www.bb.govt.bd.org/publication/financial</w:t>
        </w:r>
      </w:hyperlink>
      <w:r w:rsidRPr="008611DD">
        <w:t xml:space="preserve"> inclusion report.</w:t>
      </w:r>
    </w:p>
    <w:p w:rsidR="00D33E24" w:rsidRPr="008611DD" w:rsidRDefault="00D33E24" w:rsidP="0095408B">
      <w:pPr>
        <w:pStyle w:val="Bibliography"/>
        <w:spacing w:line="276" w:lineRule="auto"/>
        <w:ind w:left="720" w:hanging="720"/>
        <w:rPr>
          <w:noProof/>
        </w:rPr>
      </w:pPr>
    </w:p>
    <w:p w:rsidR="00813E5A" w:rsidRPr="008611DD" w:rsidRDefault="00813E5A" w:rsidP="0095408B">
      <w:pPr>
        <w:pStyle w:val="Bibliography"/>
        <w:spacing w:line="276" w:lineRule="auto"/>
        <w:ind w:left="720" w:hanging="720"/>
        <w:rPr>
          <w:noProof/>
        </w:rPr>
      </w:pPr>
      <w:r w:rsidRPr="008611DD">
        <w:rPr>
          <w:noProof/>
        </w:rPr>
        <w:lastRenderedPageBreak/>
        <w:t xml:space="preserve">Beck, T. (2008). Access to Finance: An Unfinished Agenda. </w:t>
      </w:r>
      <w:r w:rsidRPr="008611DD">
        <w:rPr>
          <w:iCs/>
          <w:noProof/>
        </w:rPr>
        <w:t>World Bank Economic Review, 4(3): 297-927</w:t>
      </w:r>
      <w:r w:rsidR="00005E1F" w:rsidRPr="008611DD">
        <w:rPr>
          <w:iCs/>
          <w:noProof/>
        </w:rPr>
        <w:t>.</w:t>
      </w:r>
    </w:p>
    <w:p w:rsidR="005056A7" w:rsidRPr="008611DD" w:rsidRDefault="005056A7" w:rsidP="005056A7"/>
    <w:p w:rsidR="00372060" w:rsidRPr="008611DD" w:rsidRDefault="00372060" w:rsidP="0095408B">
      <w:pPr>
        <w:pStyle w:val="Bibliography"/>
        <w:spacing w:line="276" w:lineRule="auto"/>
        <w:ind w:left="720" w:hanging="720"/>
        <w:rPr>
          <w:noProof/>
        </w:rPr>
      </w:pPr>
      <w:r w:rsidRPr="008611DD">
        <w:t xml:space="preserve">Halder, P.K. and Rahman, S.M.M. (2014).An Insight into Corporate Social Responsibility Practices of Commercial Banks in Bangladesh. Bangladesh Research Publications Journal, </w:t>
      </w:r>
      <w:r w:rsidR="00064358" w:rsidRPr="008611DD">
        <w:rPr>
          <w:noProof/>
        </w:rPr>
        <w:t xml:space="preserve">10 </w:t>
      </w:r>
      <w:r w:rsidR="008A535A" w:rsidRPr="008611DD">
        <w:rPr>
          <w:noProof/>
        </w:rPr>
        <w:t>(1):</w:t>
      </w:r>
      <w:r w:rsidR="00A64156" w:rsidRPr="008611DD">
        <w:rPr>
          <w:noProof/>
        </w:rPr>
        <w:t xml:space="preserve"> 25-32.</w:t>
      </w:r>
    </w:p>
    <w:p w:rsidR="009C1477" w:rsidRPr="008611DD" w:rsidRDefault="009C1477" w:rsidP="009C1477"/>
    <w:p w:rsidR="00813E5A" w:rsidRPr="008611DD" w:rsidRDefault="005D1D89" w:rsidP="0095408B">
      <w:pPr>
        <w:pStyle w:val="Bibliography"/>
        <w:spacing w:line="276" w:lineRule="auto"/>
        <w:ind w:left="720" w:hanging="720"/>
        <w:rPr>
          <w:noProof/>
        </w:rPr>
      </w:pPr>
      <w:r w:rsidRPr="008611DD">
        <w:rPr>
          <w:noProof/>
        </w:rPr>
        <w:t>King, R. and</w:t>
      </w:r>
      <w:r w:rsidR="00813E5A" w:rsidRPr="008611DD">
        <w:rPr>
          <w:noProof/>
        </w:rPr>
        <w:t xml:space="preserve"> Levine, R. (1993). Finance, entrepreneurship and growth: Theory and evidence. </w:t>
      </w:r>
      <w:r w:rsidR="00813E5A" w:rsidRPr="008611DD">
        <w:rPr>
          <w:iCs/>
          <w:noProof/>
        </w:rPr>
        <w:t>Journal of Monetary Economic</w:t>
      </w:r>
      <w:r w:rsidR="00813E5A" w:rsidRPr="008611DD">
        <w:rPr>
          <w:i/>
          <w:iCs/>
          <w:noProof/>
        </w:rPr>
        <w:t>s</w:t>
      </w:r>
      <w:r w:rsidR="00813E5A" w:rsidRPr="008611DD">
        <w:rPr>
          <w:noProof/>
        </w:rPr>
        <w:t>, 32:513-42.</w:t>
      </w:r>
    </w:p>
    <w:p w:rsidR="009C1477" w:rsidRPr="008611DD" w:rsidRDefault="009C1477" w:rsidP="009C1477"/>
    <w:p w:rsidR="00813E5A" w:rsidRPr="008611DD" w:rsidRDefault="00813E5A" w:rsidP="0095408B">
      <w:pPr>
        <w:pStyle w:val="Bibliography"/>
        <w:spacing w:line="276" w:lineRule="auto"/>
        <w:ind w:left="720" w:hanging="720"/>
        <w:rPr>
          <w:noProof/>
        </w:rPr>
      </w:pPr>
      <w:r w:rsidRPr="008611DD">
        <w:rPr>
          <w:noProof/>
        </w:rPr>
        <w:t xml:space="preserve">Levine, R. (2005). Finance and growth. </w:t>
      </w:r>
      <w:r w:rsidRPr="008611DD">
        <w:rPr>
          <w:iCs/>
          <w:noProof/>
        </w:rPr>
        <w:t>Handbook of Economic Growth</w:t>
      </w:r>
      <w:r w:rsidRPr="008611DD">
        <w:rPr>
          <w:noProof/>
        </w:rPr>
        <w:t>, Vol</w:t>
      </w:r>
      <w:r w:rsidR="00335045" w:rsidRPr="008611DD">
        <w:rPr>
          <w:noProof/>
        </w:rPr>
        <w:t>.</w:t>
      </w:r>
      <w:r w:rsidRPr="008611DD">
        <w:rPr>
          <w:noProof/>
        </w:rPr>
        <w:t xml:space="preserve"> 1A, </w:t>
      </w:r>
      <w:r w:rsidR="009C1477" w:rsidRPr="008611DD">
        <w:rPr>
          <w:noProof/>
        </w:rPr>
        <w:t>P</w:t>
      </w:r>
      <w:r w:rsidRPr="008611DD">
        <w:rPr>
          <w:noProof/>
        </w:rPr>
        <w:t>p.865-934.</w:t>
      </w:r>
    </w:p>
    <w:p w:rsidR="009C1477" w:rsidRPr="008611DD" w:rsidRDefault="009C1477" w:rsidP="009C1477"/>
    <w:p w:rsidR="009C1477" w:rsidRPr="008611DD" w:rsidRDefault="009C1477" w:rsidP="0095408B">
      <w:pPr>
        <w:pStyle w:val="Bibliography"/>
        <w:spacing w:line="276" w:lineRule="auto"/>
        <w:ind w:left="720" w:hanging="720"/>
        <w:rPr>
          <w:rFonts w:eastAsiaTheme="minorHAnsi"/>
          <w:lang w:val="ms-MY"/>
        </w:rPr>
      </w:pPr>
      <w:r w:rsidRPr="008611DD">
        <w:rPr>
          <w:rFonts w:eastAsiaTheme="minorHAnsi"/>
          <w:lang w:val="ms-MY"/>
        </w:rPr>
        <w:t>Masud, A.K. (2011). CSR Practices of Private Commercial Bank's in Bangladesh: A Comparative Study. MPRA Paper No. 35496. Available at: http://mpra.ub.uni-muenchen.de/35496/</w:t>
      </w:r>
    </w:p>
    <w:p w:rsidR="009C1477" w:rsidRPr="008611DD" w:rsidRDefault="009C1477" w:rsidP="0095408B">
      <w:pPr>
        <w:pStyle w:val="Bibliography"/>
        <w:spacing w:line="276" w:lineRule="auto"/>
        <w:ind w:left="720" w:hanging="720"/>
        <w:rPr>
          <w:noProof/>
        </w:rPr>
      </w:pPr>
    </w:p>
    <w:p w:rsidR="00813E5A" w:rsidRPr="008611DD" w:rsidRDefault="00813E5A" w:rsidP="0095408B">
      <w:pPr>
        <w:pStyle w:val="Bibliography"/>
        <w:spacing w:line="276" w:lineRule="auto"/>
        <w:ind w:left="720" w:hanging="720"/>
        <w:rPr>
          <w:noProof/>
        </w:rPr>
      </w:pPr>
      <w:r w:rsidRPr="008611DD">
        <w:rPr>
          <w:noProof/>
        </w:rPr>
        <w:t xml:space="preserve">Ndlovu, I. (2013). Mobile Banking the Future to Rural Financial Inclusion: Case Study of Zimbabwe. </w:t>
      </w:r>
      <w:r w:rsidR="003E0250" w:rsidRPr="008611DD">
        <w:rPr>
          <w:iCs/>
          <w:noProof/>
        </w:rPr>
        <w:t>IOSR Journal of Humanities a</w:t>
      </w:r>
      <w:r w:rsidRPr="008611DD">
        <w:rPr>
          <w:iCs/>
          <w:noProof/>
        </w:rPr>
        <w:t>nd Social Science</w:t>
      </w:r>
      <w:r w:rsidR="009C1477" w:rsidRPr="008611DD">
        <w:rPr>
          <w:noProof/>
        </w:rPr>
        <w:t>, 9</w:t>
      </w:r>
      <w:r w:rsidR="000A4E56" w:rsidRPr="008611DD">
        <w:rPr>
          <w:noProof/>
        </w:rPr>
        <w:t>:</w:t>
      </w:r>
      <w:r w:rsidRPr="008611DD">
        <w:rPr>
          <w:noProof/>
        </w:rPr>
        <w:t xml:space="preserve"> 70-75.</w:t>
      </w:r>
    </w:p>
    <w:p w:rsidR="009C1477" w:rsidRPr="008611DD" w:rsidRDefault="009C1477" w:rsidP="009C1477"/>
    <w:p w:rsidR="00813E5A" w:rsidRPr="008611DD" w:rsidRDefault="00813E5A" w:rsidP="0095408B">
      <w:pPr>
        <w:pStyle w:val="Bibliography"/>
        <w:spacing w:line="276" w:lineRule="auto"/>
        <w:ind w:left="720" w:hanging="720"/>
        <w:rPr>
          <w:noProof/>
        </w:rPr>
      </w:pPr>
      <w:r w:rsidRPr="008611DD">
        <w:rPr>
          <w:noProof/>
        </w:rPr>
        <w:t xml:space="preserve">Noman, S. (2013). The Financial Inclusion: A District Wise Study on Bangladesh. </w:t>
      </w:r>
      <w:r w:rsidR="005D1D89" w:rsidRPr="008611DD">
        <w:rPr>
          <w:iCs/>
          <w:noProof/>
        </w:rPr>
        <w:t xml:space="preserve">International </w:t>
      </w:r>
      <w:r w:rsidRPr="008611DD">
        <w:rPr>
          <w:iCs/>
          <w:noProof/>
        </w:rPr>
        <w:t>Journal of Economics, Finance and Management</w:t>
      </w:r>
      <w:r w:rsidR="009C1477" w:rsidRPr="008611DD">
        <w:rPr>
          <w:noProof/>
        </w:rPr>
        <w:t>, 2</w:t>
      </w:r>
      <w:r w:rsidR="008A535A" w:rsidRPr="008611DD">
        <w:rPr>
          <w:noProof/>
        </w:rPr>
        <w:t xml:space="preserve"> (</w:t>
      </w:r>
      <w:r w:rsidRPr="008611DD">
        <w:rPr>
          <w:noProof/>
        </w:rPr>
        <w:t>4</w:t>
      </w:r>
      <w:r w:rsidR="008A535A" w:rsidRPr="008611DD">
        <w:rPr>
          <w:noProof/>
        </w:rPr>
        <w:t>):</w:t>
      </w:r>
      <w:r w:rsidRPr="008611DD">
        <w:rPr>
          <w:noProof/>
        </w:rPr>
        <w:t xml:space="preserve"> Jun-July 2013.</w:t>
      </w:r>
    </w:p>
    <w:p w:rsidR="009C1477" w:rsidRPr="008611DD" w:rsidRDefault="009C1477" w:rsidP="009C1477"/>
    <w:p w:rsidR="005D1D89" w:rsidRPr="008611DD" w:rsidRDefault="005D1D89" w:rsidP="005D1D89">
      <w:pPr>
        <w:autoSpaceDE w:val="0"/>
        <w:autoSpaceDN w:val="0"/>
        <w:adjustRightInd w:val="0"/>
        <w:rPr>
          <w:noProof/>
        </w:rPr>
      </w:pPr>
      <w:r w:rsidRPr="008611DD">
        <w:t>Sharma, E. and Mani, M. (2013).</w:t>
      </w:r>
      <w:r w:rsidRPr="008611DD">
        <w:rPr>
          <w:rFonts w:eastAsiaTheme="minorHAnsi"/>
          <w:bCs/>
          <w:lang w:val="ms-MY"/>
        </w:rPr>
        <w:t xml:space="preserve">Corporate Social Responsibility: An Analysis of Indian  Commercial Banks. </w:t>
      </w:r>
      <w:r w:rsidRPr="008611DD">
        <w:rPr>
          <w:rFonts w:eastAsiaTheme="minorHAnsi"/>
          <w:bCs/>
          <w:iCs/>
          <w:lang w:val="ms-MY"/>
        </w:rPr>
        <w:t xml:space="preserve">AIMA Journal of Management &amp; Research, 7 </w:t>
      </w:r>
      <w:r w:rsidR="00586E81" w:rsidRPr="008611DD">
        <w:rPr>
          <w:rFonts w:eastAsiaTheme="minorHAnsi"/>
          <w:bCs/>
          <w:iCs/>
          <w:lang w:val="ms-MY"/>
        </w:rPr>
        <w:t>(</w:t>
      </w:r>
      <w:r w:rsidRPr="008611DD">
        <w:rPr>
          <w:rFonts w:eastAsiaTheme="minorHAnsi"/>
          <w:bCs/>
          <w:iCs/>
          <w:lang w:val="ms-MY"/>
        </w:rPr>
        <w:t>1/4</w:t>
      </w:r>
      <w:r w:rsidR="00586E81" w:rsidRPr="008611DD">
        <w:rPr>
          <w:rFonts w:eastAsiaTheme="minorHAnsi"/>
          <w:bCs/>
          <w:iCs/>
          <w:lang w:val="ms-MY"/>
        </w:rPr>
        <w:t>):</w:t>
      </w:r>
      <w:r w:rsidRPr="008611DD">
        <w:rPr>
          <w:noProof/>
        </w:rPr>
        <w:t xml:space="preserve"> 1-17.</w:t>
      </w:r>
    </w:p>
    <w:p w:rsidR="009C1477" w:rsidRPr="008611DD" w:rsidRDefault="009C1477" w:rsidP="009F534D"/>
    <w:p w:rsidR="00A773D5" w:rsidRPr="008611DD" w:rsidRDefault="00A773D5" w:rsidP="00B04DE8">
      <w:pPr>
        <w:autoSpaceDE w:val="0"/>
        <w:autoSpaceDN w:val="0"/>
        <w:adjustRightInd w:val="0"/>
        <w:rPr>
          <w:rFonts w:eastAsiaTheme="minorHAnsi"/>
          <w:bCs/>
          <w:iCs/>
          <w:lang w:val="ms-MY"/>
        </w:rPr>
      </w:pPr>
      <w:r w:rsidRPr="008611DD">
        <w:rPr>
          <w:rFonts w:eastAsiaTheme="minorHAnsi"/>
          <w:lang w:val="ms-MY"/>
        </w:rPr>
        <w:t xml:space="preserve">Ullah, </w:t>
      </w:r>
      <w:r w:rsidR="00B04DE8" w:rsidRPr="008611DD">
        <w:rPr>
          <w:rFonts w:eastAsiaTheme="minorHAnsi"/>
          <w:lang w:val="ms-MY"/>
        </w:rPr>
        <w:t>M.S. (</w:t>
      </w:r>
      <w:r w:rsidRPr="008611DD">
        <w:rPr>
          <w:rFonts w:eastAsiaTheme="minorHAnsi"/>
          <w:lang w:val="ms-MY"/>
        </w:rPr>
        <w:t>2013</w:t>
      </w:r>
      <w:r w:rsidR="00B04DE8" w:rsidRPr="008611DD">
        <w:rPr>
          <w:rFonts w:eastAsiaTheme="minorHAnsi"/>
          <w:lang w:val="ms-MY"/>
        </w:rPr>
        <w:t xml:space="preserve">). </w:t>
      </w:r>
      <w:r w:rsidR="00B04DE8" w:rsidRPr="008611DD">
        <w:rPr>
          <w:rFonts w:eastAsiaTheme="minorHAnsi"/>
          <w:bCs/>
          <w:lang w:val="ms-MY"/>
        </w:rPr>
        <w:t xml:space="preserve">Corporate Social Responsibility Practices in the Banking Sector in Bangladesh - An Assessment. </w:t>
      </w:r>
      <w:r w:rsidR="00B04DE8" w:rsidRPr="008611DD">
        <w:rPr>
          <w:rFonts w:eastAsiaTheme="minorHAnsi"/>
          <w:bCs/>
          <w:iCs/>
          <w:lang w:val="ms-MY"/>
        </w:rPr>
        <w:t>Bank Parikrama</w:t>
      </w:r>
      <w:r w:rsidR="00956A57" w:rsidRPr="008611DD">
        <w:rPr>
          <w:rFonts w:eastAsiaTheme="minorHAnsi"/>
          <w:bCs/>
          <w:iCs/>
          <w:lang w:val="ms-MY"/>
        </w:rPr>
        <w:t>,</w:t>
      </w:r>
      <w:r w:rsidR="003B2EE0" w:rsidRPr="008611DD">
        <w:rPr>
          <w:rFonts w:eastAsiaTheme="minorHAnsi"/>
          <w:bCs/>
          <w:iCs/>
          <w:lang w:val="ms-MY"/>
        </w:rPr>
        <w:t xml:space="preserve"> XXXVIII</w:t>
      </w:r>
      <w:r w:rsidR="00956A57" w:rsidRPr="008611DD">
        <w:rPr>
          <w:rFonts w:eastAsiaTheme="minorHAnsi"/>
          <w:bCs/>
          <w:iCs/>
          <w:lang w:val="ms-MY"/>
        </w:rPr>
        <w:t xml:space="preserve">( 3 &amp; 4): </w:t>
      </w:r>
      <w:r w:rsidR="00B04DE8" w:rsidRPr="008611DD">
        <w:rPr>
          <w:rFonts w:eastAsiaTheme="minorHAnsi"/>
          <w:bCs/>
          <w:iCs/>
          <w:lang w:val="ms-MY"/>
        </w:rPr>
        <w:t>129-152.</w:t>
      </w:r>
    </w:p>
    <w:p w:rsidR="00FF2E6B" w:rsidRPr="008611DD" w:rsidRDefault="00440F1C" w:rsidP="0095408B">
      <w:pPr>
        <w:spacing w:line="276" w:lineRule="auto"/>
      </w:pPr>
      <w:r w:rsidRPr="008611DD">
        <w:fldChar w:fldCharType="end"/>
      </w:r>
    </w:p>
    <w:sectPr w:rsidR="00FF2E6B" w:rsidRPr="008611DD" w:rsidSect="00FB3519">
      <w:pgSz w:w="12240" w:h="15840"/>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E-BZ">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5C50"/>
    <w:multiLevelType w:val="hybridMultilevel"/>
    <w:tmpl w:val="6F744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933EA4"/>
    <w:multiLevelType w:val="hybridMultilevel"/>
    <w:tmpl w:val="A198B7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365CE7"/>
    <w:multiLevelType w:val="hybridMultilevel"/>
    <w:tmpl w:val="B87A8F14"/>
    <w:lvl w:ilvl="0" w:tplc="94A60B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E30D37"/>
    <w:multiLevelType w:val="hybridMultilevel"/>
    <w:tmpl w:val="60D2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36425"/>
    <w:rsid w:val="0000017C"/>
    <w:rsid w:val="00001545"/>
    <w:rsid w:val="0000163B"/>
    <w:rsid w:val="00002E2A"/>
    <w:rsid w:val="0000373C"/>
    <w:rsid w:val="00003BC9"/>
    <w:rsid w:val="0000533C"/>
    <w:rsid w:val="00005E1F"/>
    <w:rsid w:val="00006B9A"/>
    <w:rsid w:val="00011688"/>
    <w:rsid w:val="000116B7"/>
    <w:rsid w:val="00011E68"/>
    <w:rsid w:val="000126EB"/>
    <w:rsid w:val="00012C22"/>
    <w:rsid w:val="00013297"/>
    <w:rsid w:val="00013986"/>
    <w:rsid w:val="00015086"/>
    <w:rsid w:val="00015196"/>
    <w:rsid w:val="000152C5"/>
    <w:rsid w:val="000156FF"/>
    <w:rsid w:val="00016853"/>
    <w:rsid w:val="00016D48"/>
    <w:rsid w:val="0001771A"/>
    <w:rsid w:val="00020561"/>
    <w:rsid w:val="00020C2B"/>
    <w:rsid w:val="00020CE2"/>
    <w:rsid w:val="00021223"/>
    <w:rsid w:val="000229DC"/>
    <w:rsid w:val="00022AB4"/>
    <w:rsid w:val="00023204"/>
    <w:rsid w:val="000236E5"/>
    <w:rsid w:val="0002474D"/>
    <w:rsid w:val="00024ADA"/>
    <w:rsid w:val="00024B8D"/>
    <w:rsid w:val="00024DE3"/>
    <w:rsid w:val="00026109"/>
    <w:rsid w:val="000263B8"/>
    <w:rsid w:val="00026B4B"/>
    <w:rsid w:val="00026DBC"/>
    <w:rsid w:val="0002705B"/>
    <w:rsid w:val="000271DD"/>
    <w:rsid w:val="00030721"/>
    <w:rsid w:val="00030884"/>
    <w:rsid w:val="000314D7"/>
    <w:rsid w:val="00031EE5"/>
    <w:rsid w:val="000323F2"/>
    <w:rsid w:val="00032520"/>
    <w:rsid w:val="00034874"/>
    <w:rsid w:val="00034ABC"/>
    <w:rsid w:val="0003519C"/>
    <w:rsid w:val="000353E4"/>
    <w:rsid w:val="0003558D"/>
    <w:rsid w:val="000356A4"/>
    <w:rsid w:val="00035B61"/>
    <w:rsid w:val="00037527"/>
    <w:rsid w:val="0003788A"/>
    <w:rsid w:val="00037D8B"/>
    <w:rsid w:val="0004070E"/>
    <w:rsid w:val="00040CF6"/>
    <w:rsid w:val="00041CED"/>
    <w:rsid w:val="00042298"/>
    <w:rsid w:val="000425AA"/>
    <w:rsid w:val="000426AA"/>
    <w:rsid w:val="00042A6D"/>
    <w:rsid w:val="00044467"/>
    <w:rsid w:val="000445F0"/>
    <w:rsid w:val="00044A60"/>
    <w:rsid w:val="00045639"/>
    <w:rsid w:val="00046221"/>
    <w:rsid w:val="00046EC5"/>
    <w:rsid w:val="000479E7"/>
    <w:rsid w:val="00047E66"/>
    <w:rsid w:val="00047F70"/>
    <w:rsid w:val="0005035E"/>
    <w:rsid w:val="000513ED"/>
    <w:rsid w:val="00051A13"/>
    <w:rsid w:val="0005281E"/>
    <w:rsid w:val="0005334B"/>
    <w:rsid w:val="00053827"/>
    <w:rsid w:val="00053838"/>
    <w:rsid w:val="000541DE"/>
    <w:rsid w:val="000542A9"/>
    <w:rsid w:val="00054433"/>
    <w:rsid w:val="0005538F"/>
    <w:rsid w:val="00055420"/>
    <w:rsid w:val="0005590D"/>
    <w:rsid w:val="000568A3"/>
    <w:rsid w:val="0006039A"/>
    <w:rsid w:val="00060E45"/>
    <w:rsid w:val="000610F7"/>
    <w:rsid w:val="00061BFA"/>
    <w:rsid w:val="00062053"/>
    <w:rsid w:val="00062119"/>
    <w:rsid w:val="000629F8"/>
    <w:rsid w:val="00063629"/>
    <w:rsid w:val="00063D27"/>
    <w:rsid w:val="00063FF8"/>
    <w:rsid w:val="00064358"/>
    <w:rsid w:val="000646C6"/>
    <w:rsid w:val="0006565A"/>
    <w:rsid w:val="00065681"/>
    <w:rsid w:val="000658F3"/>
    <w:rsid w:val="00065B9D"/>
    <w:rsid w:val="0006642C"/>
    <w:rsid w:val="00066600"/>
    <w:rsid w:val="00066D74"/>
    <w:rsid w:val="00067B9A"/>
    <w:rsid w:val="00067C3F"/>
    <w:rsid w:val="00067EF4"/>
    <w:rsid w:val="00067F20"/>
    <w:rsid w:val="0007046C"/>
    <w:rsid w:val="0007068B"/>
    <w:rsid w:val="00071B52"/>
    <w:rsid w:val="00071C18"/>
    <w:rsid w:val="0007286A"/>
    <w:rsid w:val="00072F42"/>
    <w:rsid w:val="00073A88"/>
    <w:rsid w:val="000742BD"/>
    <w:rsid w:val="000751CB"/>
    <w:rsid w:val="00075D00"/>
    <w:rsid w:val="00075F06"/>
    <w:rsid w:val="00076752"/>
    <w:rsid w:val="00076B75"/>
    <w:rsid w:val="00076CE7"/>
    <w:rsid w:val="00077718"/>
    <w:rsid w:val="00077B73"/>
    <w:rsid w:val="00077C7D"/>
    <w:rsid w:val="00077F03"/>
    <w:rsid w:val="000804C3"/>
    <w:rsid w:val="00081205"/>
    <w:rsid w:val="00082687"/>
    <w:rsid w:val="000842DC"/>
    <w:rsid w:val="0008486C"/>
    <w:rsid w:val="00084C5B"/>
    <w:rsid w:val="000860CC"/>
    <w:rsid w:val="00086C0F"/>
    <w:rsid w:val="0008751D"/>
    <w:rsid w:val="00087C64"/>
    <w:rsid w:val="00087E3E"/>
    <w:rsid w:val="00090A72"/>
    <w:rsid w:val="00091206"/>
    <w:rsid w:val="00091FA1"/>
    <w:rsid w:val="0009217E"/>
    <w:rsid w:val="000924AF"/>
    <w:rsid w:val="00092940"/>
    <w:rsid w:val="00092CD1"/>
    <w:rsid w:val="000935A5"/>
    <w:rsid w:val="000936BA"/>
    <w:rsid w:val="00093C0F"/>
    <w:rsid w:val="00094D72"/>
    <w:rsid w:val="00095266"/>
    <w:rsid w:val="00095E12"/>
    <w:rsid w:val="0009621E"/>
    <w:rsid w:val="00096BE7"/>
    <w:rsid w:val="00096C06"/>
    <w:rsid w:val="00096C41"/>
    <w:rsid w:val="00096D5E"/>
    <w:rsid w:val="00096EDC"/>
    <w:rsid w:val="00097487"/>
    <w:rsid w:val="0009785B"/>
    <w:rsid w:val="000978AE"/>
    <w:rsid w:val="000A02C6"/>
    <w:rsid w:val="000A1E5A"/>
    <w:rsid w:val="000A2154"/>
    <w:rsid w:val="000A33AE"/>
    <w:rsid w:val="000A4E56"/>
    <w:rsid w:val="000A52DC"/>
    <w:rsid w:val="000A52E2"/>
    <w:rsid w:val="000A55C5"/>
    <w:rsid w:val="000A6390"/>
    <w:rsid w:val="000A6CFF"/>
    <w:rsid w:val="000A725C"/>
    <w:rsid w:val="000A7392"/>
    <w:rsid w:val="000A7BD5"/>
    <w:rsid w:val="000B00AC"/>
    <w:rsid w:val="000B162C"/>
    <w:rsid w:val="000B23CC"/>
    <w:rsid w:val="000B291A"/>
    <w:rsid w:val="000B29AE"/>
    <w:rsid w:val="000B2CDC"/>
    <w:rsid w:val="000B2F7D"/>
    <w:rsid w:val="000B4469"/>
    <w:rsid w:val="000B47B3"/>
    <w:rsid w:val="000B5559"/>
    <w:rsid w:val="000B586F"/>
    <w:rsid w:val="000B5F5A"/>
    <w:rsid w:val="000B6B55"/>
    <w:rsid w:val="000B6E2A"/>
    <w:rsid w:val="000B6FBB"/>
    <w:rsid w:val="000B70B4"/>
    <w:rsid w:val="000B7B1D"/>
    <w:rsid w:val="000B7B7D"/>
    <w:rsid w:val="000C0BF9"/>
    <w:rsid w:val="000C0F49"/>
    <w:rsid w:val="000C15E6"/>
    <w:rsid w:val="000C1C1D"/>
    <w:rsid w:val="000C1D12"/>
    <w:rsid w:val="000C232C"/>
    <w:rsid w:val="000C2368"/>
    <w:rsid w:val="000C2F6A"/>
    <w:rsid w:val="000C39E0"/>
    <w:rsid w:val="000C4388"/>
    <w:rsid w:val="000C4533"/>
    <w:rsid w:val="000C47C7"/>
    <w:rsid w:val="000C5CAC"/>
    <w:rsid w:val="000C5D77"/>
    <w:rsid w:val="000C5EDB"/>
    <w:rsid w:val="000C6BDB"/>
    <w:rsid w:val="000C73D7"/>
    <w:rsid w:val="000C73F6"/>
    <w:rsid w:val="000C7A92"/>
    <w:rsid w:val="000D032B"/>
    <w:rsid w:val="000D07B0"/>
    <w:rsid w:val="000D0D25"/>
    <w:rsid w:val="000D10DB"/>
    <w:rsid w:val="000D20A1"/>
    <w:rsid w:val="000D3EF6"/>
    <w:rsid w:val="000D4833"/>
    <w:rsid w:val="000D4C00"/>
    <w:rsid w:val="000D506C"/>
    <w:rsid w:val="000D58E5"/>
    <w:rsid w:val="000D5FC4"/>
    <w:rsid w:val="000D63D0"/>
    <w:rsid w:val="000D69C2"/>
    <w:rsid w:val="000D6F87"/>
    <w:rsid w:val="000D7131"/>
    <w:rsid w:val="000D7246"/>
    <w:rsid w:val="000D7658"/>
    <w:rsid w:val="000D7909"/>
    <w:rsid w:val="000E09D8"/>
    <w:rsid w:val="000E0C39"/>
    <w:rsid w:val="000E1EA1"/>
    <w:rsid w:val="000E21C6"/>
    <w:rsid w:val="000E2D74"/>
    <w:rsid w:val="000E3237"/>
    <w:rsid w:val="000E3A4E"/>
    <w:rsid w:val="000E3B64"/>
    <w:rsid w:val="000E4736"/>
    <w:rsid w:val="000E4E50"/>
    <w:rsid w:val="000E50CF"/>
    <w:rsid w:val="000E590D"/>
    <w:rsid w:val="000E5B66"/>
    <w:rsid w:val="000E76FB"/>
    <w:rsid w:val="000E7C5F"/>
    <w:rsid w:val="000F02E9"/>
    <w:rsid w:val="000F06A0"/>
    <w:rsid w:val="000F0B0C"/>
    <w:rsid w:val="000F0D55"/>
    <w:rsid w:val="000F0F6A"/>
    <w:rsid w:val="000F154C"/>
    <w:rsid w:val="000F1ED3"/>
    <w:rsid w:val="000F2111"/>
    <w:rsid w:val="000F22E6"/>
    <w:rsid w:val="000F3082"/>
    <w:rsid w:val="000F319D"/>
    <w:rsid w:val="000F3533"/>
    <w:rsid w:val="000F3811"/>
    <w:rsid w:val="000F4CED"/>
    <w:rsid w:val="000F4D10"/>
    <w:rsid w:val="000F5129"/>
    <w:rsid w:val="000F5A59"/>
    <w:rsid w:val="000F6066"/>
    <w:rsid w:val="000F60C8"/>
    <w:rsid w:val="000F615E"/>
    <w:rsid w:val="000F6D86"/>
    <w:rsid w:val="000F718B"/>
    <w:rsid w:val="00100298"/>
    <w:rsid w:val="0010089D"/>
    <w:rsid w:val="00100A11"/>
    <w:rsid w:val="001011DF"/>
    <w:rsid w:val="001012E6"/>
    <w:rsid w:val="00101AFD"/>
    <w:rsid w:val="00101E28"/>
    <w:rsid w:val="00102814"/>
    <w:rsid w:val="00102846"/>
    <w:rsid w:val="00103697"/>
    <w:rsid w:val="00105122"/>
    <w:rsid w:val="001053B2"/>
    <w:rsid w:val="00105980"/>
    <w:rsid w:val="001066DB"/>
    <w:rsid w:val="00106E51"/>
    <w:rsid w:val="00106F27"/>
    <w:rsid w:val="001070B4"/>
    <w:rsid w:val="001101BF"/>
    <w:rsid w:val="00110528"/>
    <w:rsid w:val="00110643"/>
    <w:rsid w:val="00111527"/>
    <w:rsid w:val="00111937"/>
    <w:rsid w:val="00111A80"/>
    <w:rsid w:val="00112400"/>
    <w:rsid w:val="001126A9"/>
    <w:rsid w:val="00112B80"/>
    <w:rsid w:val="00112FA0"/>
    <w:rsid w:val="00114E86"/>
    <w:rsid w:val="00114F29"/>
    <w:rsid w:val="00115046"/>
    <w:rsid w:val="00115334"/>
    <w:rsid w:val="00115C0A"/>
    <w:rsid w:val="00116445"/>
    <w:rsid w:val="00117787"/>
    <w:rsid w:val="00117C80"/>
    <w:rsid w:val="00117EED"/>
    <w:rsid w:val="001208CC"/>
    <w:rsid w:val="0012094D"/>
    <w:rsid w:val="001217FA"/>
    <w:rsid w:val="00121F08"/>
    <w:rsid w:val="001221FA"/>
    <w:rsid w:val="001224C2"/>
    <w:rsid w:val="00126035"/>
    <w:rsid w:val="001275A4"/>
    <w:rsid w:val="001301E3"/>
    <w:rsid w:val="00130684"/>
    <w:rsid w:val="00130E0C"/>
    <w:rsid w:val="00131046"/>
    <w:rsid w:val="0013138E"/>
    <w:rsid w:val="00131398"/>
    <w:rsid w:val="0013144D"/>
    <w:rsid w:val="00131846"/>
    <w:rsid w:val="001321F0"/>
    <w:rsid w:val="00132207"/>
    <w:rsid w:val="0013260E"/>
    <w:rsid w:val="001330A9"/>
    <w:rsid w:val="0013322E"/>
    <w:rsid w:val="00133449"/>
    <w:rsid w:val="0013355D"/>
    <w:rsid w:val="00133FAB"/>
    <w:rsid w:val="0013428C"/>
    <w:rsid w:val="001344A2"/>
    <w:rsid w:val="001346D0"/>
    <w:rsid w:val="00134D9D"/>
    <w:rsid w:val="00134E01"/>
    <w:rsid w:val="00134F65"/>
    <w:rsid w:val="00135BC6"/>
    <w:rsid w:val="00136C7B"/>
    <w:rsid w:val="00136F07"/>
    <w:rsid w:val="00137ADE"/>
    <w:rsid w:val="00137B11"/>
    <w:rsid w:val="00140154"/>
    <w:rsid w:val="0014089B"/>
    <w:rsid w:val="00140F2F"/>
    <w:rsid w:val="001411DD"/>
    <w:rsid w:val="00141EF8"/>
    <w:rsid w:val="001423DC"/>
    <w:rsid w:val="00142432"/>
    <w:rsid w:val="00142AE7"/>
    <w:rsid w:val="00142BB4"/>
    <w:rsid w:val="0014352E"/>
    <w:rsid w:val="00143B9D"/>
    <w:rsid w:val="00144125"/>
    <w:rsid w:val="00144AD8"/>
    <w:rsid w:val="00144E76"/>
    <w:rsid w:val="00145C36"/>
    <w:rsid w:val="00146258"/>
    <w:rsid w:val="00146CF5"/>
    <w:rsid w:val="00146FA6"/>
    <w:rsid w:val="00147029"/>
    <w:rsid w:val="001478A7"/>
    <w:rsid w:val="00147C8D"/>
    <w:rsid w:val="00150535"/>
    <w:rsid w:val="001507D1"/>
    <w:rsid w:val="00151542"/>
    <w:rsid w:val="00151814"/>
    <w:rsid w:val="001532FE"/>
    <w:rsid w:val="001534F7"/>
    <w:rsid w:val="001536DB"/>
    <w:rsid w:val="00153B88"/>
    <w:rsid w:val="00153F92"/>
    <w:rsid w:val="00155256"/>
    <w:rsid w:val="00155299"/>
    <w:rsid w:val="00155435"/>
    <w:rsid w:val="001555F1"/>
    <w:rsid w:val="001558BB"/>
    <w:rsid w:val="00156DC6"/>
    <w:rsid w:val="00156DCE"/>
    <w:rsid w:val="0015727D"/>
    <w:rsid w:val="00157EBE"/>
    <w:rsid w:val="001600FE"/>
    <w:rsid w:val="00160213"/>
    <w:rsid w:val="001603AD"/>
    <w:rsid w:val="00160C30"/>
    <w:rsid w:val="00161413"/>
    <w:rsid w:val="001616F8"/>
    <w:rsid w:val="00161D1B"/>
    <w:rsid w:val="00162E81"/>
    <w:rsid w:val="0016323D"/>
    <w:rsid w:val="0016445A"/>
    <w:rsid w:val="00164F21"/>
    <w:rsid w:val="001659A2"/>
    <w:rsid w:val="00166ECB"/>
    <w:rsid w:val="00167660"/>
    <w:rsid w:val="00167704"/>
    <w:rsid w:val="00167808"/>
    <w:rsid w:val="00167A59"/>
    <w:rsid w:val="00167ADF"/>
    <w:rsid w:val="001703E0"/>
    <w:rsid w:val="001703EC"/>
    <w:rsid w:val="00170C7C"/>
    <w:rsid w:val="00170D63"/>
    <w:rsid w:val="00170EE3"/>
    <w:rsid w:val="00171CF8"/>
    <w:rsid w:val="00172D11"/>
    <w:rsid w:val="001730AD"/>
    <w:rsid w:val="0017542D"/>
    <w:rsid w:val="00175BA4"/>
    <w:rsid w:val="001760DA"/>
    <w:rsid w:val="0017640B"/>
    <w:rsid w:val="00176DAD"/>
    <w:rsid w:val="001777C4"/>
    <w:rsid w:val="00180B2A"/>
    <w:rsid w:val="00181E34"/>
    <w:rsid w:val="00182497"/>
    <w:rsid w:val="00182987"/>
    <w:rsid w:val="00183049"/>
    <w:rsid w:val="001837ED"/>
    <w:rsid w:val="0018382F"/>
    <w:rsid w:val="00184124"/>
    <w:rsid w:val="00185387"/>
    <w:rsid w:val="00185493"/>
    <w:rsid w:val="00185832"/>
    <w:rsid w:val="00185AA9"/>
    <w:rsid w:val="00186470"/>
    <w:rsid w:val="001871D0"/>
    <w:rsid w:val="001878A4"/>
    <w:rsid w:val="00187E5F"/>
    <w:rsid w:val="00191C68"/>
    <w:rsid w:val="0019206E"/>
    <w:rsid w:val="00193519"/>
    <w:rsid w:val="00193DE1"/>
    <w:rsid w:val="00194D9F"/>
    <w:rsid w:val="00195103"/>
    <w:rsid w:val="00195AE1"/>
    <w:rsid w:val="0019657F"/>
    <w:rsid w:val="00196FA0"/>
    <w:rsid w:val="00197070"/>
    <w:rsid w:val="001A00C6"/>
    <w:rsid w:val="001A0141"/>
    <w:rsid w:val="001A0C3F"/>
    <w:rsid w:val="001A0D64"/>
    <w:rsid w:val="001A18D6"/>
    <w:rsid w:val="001A34A7"/>
    <w:rsid w:val="001A36C0"/>
    <w:rsid w:val="001A37E0"/>
    <w:rsid w:val="001A3AF6"/>
    <w:rsid w:val="001A4DF0"/>
    <w:rsid w:val="001A4F1B"/>
    <w:rsid w:val="001A5482"/>
    <w:rsid w:val="001A5AC0"/>
    <w:rsid w:val="001A7108"/>
    <w:rsid w:val="001A7500"/>
    <w:rsid w:val="001A750A"/>
    <w:rsid w:val="001A7EE3"/>
    <w:rsid w:val="001B036B"/>
    <w:rsid w:val="001B03FE"/>
    <w:rsid w:val="001B0DF8"/>
    <w:rsid w:val="001B1354"/>
    <w:rsid w:val="001B14AE"/>
    <w:rsid w:val="001B18A4"/>
    <w:rsid w:val="001B1AA3"/>
    <w:rsid w:val="001B21AF"/>
    <w:rsid w:val="001B2AC3"/>
    <w:rsid w:val="001B3402"/>
    <w:rsid w:val="001B47AC"/>
    <w:rsid w:val="001B5273"/>
    <w:rsid w:val="001B5798"/>
    <w:rsid w:val="001B5810"/>
    <w:rsid w:val="001C05A6"/>
    <w:rsid w:val="001C06E1"/>
    <w:rsid w:val="001C08DD"/>
    <w:rsid w:val="001C0D64"/>
    <w:rsid w:val="001C11ED"/>
    <w:rsid w:val="001C1852"/>
    <w:rsid w:val="001C1DE9"/>
    <w:rsid w:val="001C2143"/>
    <w:rsid w:val="001C263E"/>
    <w:rsid w:val="001C26E6"/>
    <w:rsid w:val="001C35B8"/>
    <w:rsid w:val="001C4AF0"/>
    <w:rsid w:val="001C4EE6"/>
    <w:rsid w:val="001C4F40"/>
    <w:rsid w:val="001C5540"/>
    <w:rsid w:val="001C5616"/>
    <w:rsid w:val="001C5AA4"/>
    <w:rsid w:val="001C5DE6"/>
    <w:rsid w:val="001C5E17"/>
    <w:rsid w:val="001C6DC3"/>
    <w:rsid w:val="001D077F"/>
    <w:rsid w:val="001D0B75"/>
    <w:rsid w:val="001D1D51"/>
    <w:rsid w:val="001D20DC"/>
    <w:rsid w:val="001D2600"/>
    <w:rsid w:val="001D3A21"/>
    <w:rsid w:val="001D3BC6"/>
    <w:rsid w:val="001D3EAF"/>
    <w:rsid w:val="001D42D0"/>
    <w:rsid w:val="001D4D8F"/>
    <w:rsid w:val="001D4E78"/>
    <w:rsid w:val="001D5BB1"/>
    <w:rsid w:val="001D6599"/>
    <w:rsid w:val="001D699A"/>
    <w:rsid w:val="001D6CCF"/>
    <w:rsid w:val="001D6E8B"/>
    <w:rsid w:val="001D6EA8"/>
    <w:rsid w:val="001D6F51"/>
    <w:rsid w:val="001E07C0"/>
    <w:rsid w:val="001E243E"/>
    <w:rsid w:val="001E244B"/>
    <w:rsid w:val="001E2904"/>
    <w:rsid w:val="001E2940"/>
    <w:rsid w:val="001E3531"/>
    <w:rsid w:val="001E3742"/>
    <w:rsid w:val="001E41F9"/>
    <w:rsid w:val="001E4340"/>
    <w:rsid w:val="001E50B3"/>
    <w:rsid w:val="001E5230"/>
    <w:rsid w:val="001E5684"/>
    <w:rsid w:val="001E5C36"/>
    <w:rsid w:val="001E63E6"/>
    <w:rsid w:val="001E6677"/>
    <w:rsid w:val="001E68BE"/>
    <w:rsid w:val="001E6B8A"/>
    <w:rsid w:val="001E6D43"/>
    <w:rsid w:val="001E775D"/>
    <w:rsid w:val="001E7CC8"/>
    <w:rsid w:val="001E7D1B"/>
    <w:rsid w:val="001F0F85"/>
    <w:rsid w:val="001F1567"/>
    <w:rsid w:val="001F1BD3"/>
    <w:rsid w:val="001F1DD4"/>
    <w:rsid w:val="001F21C7"/>
    <w:rsid w:val="001F4854"/>
    <w:rsid w:val="001F486B"/>
    <w:rsid w:val="001F4F49"/>
    <w:rsid w:val="001F5844"/>
    <w:rsid w:val="001F66E7"/>
    <w:rsid w:val="001F6A6D"/>
    <w:rsid w:val="001F6CFA"/>
    <w:rsid w:val="001F780D"/>
    <w:rsid w:val="001F7884"/>
    <w:rsid w:val="00200460"/>
    <w:rsid w:val="002031B9"/>
    <w:rsid w:val="00203845"/>
    <w:rsid w:val="00203A58"/>
    <w:rsid w:val="00203CCD"/>
    <w:rsid w:val="00203FCE"/>
    <w:rsid w:val="00204131"/>
    <w:rsid w:val="002042B3"/>
    <w:rsid w:val="00204C82"/>
    <w:rsid w:val="00204D3F"/>
    <w:rsid w:val="00205EAF"/>
    <w:rsid w:val="00206AB2"/>
    <w:rsid w:val="00206B3B"/>
    <w:rsid w:val="00206C09"/>
    <w:rsid w:val="00207070"/>
    <w:rsid w:val="002101D6"/>
    <w:rsid w:val="00210860"/>
    <w:rsid w:val="00210B83"/>
    <w:rsid w:val="00210F41"/>
    <w:rsid w:val="002117AE"/>
    <w:rsid w:val="00211C38"/>
    <w:rsid w:val="00212C14"/>
    <w:rsid w:val="00213ACD"/>
    <w:rsid w:val="00213AFF"/>
    <w:rsid w:val="00213ECA"/>
    <w:rsid w:val="00214FC6"/>
    <w:rsid w:val="00215206"/>
    <w:rsid w:val="00215601"/>
    <w:rsid w:val="002167DF"/>
    <w:rsid w:val="002175B1"/>
    <w:rsid w:val="00220426"/>
    <w:rsid w:val="0022054A"/>
    <w:rsid w:val="002207E3"/>
    <w:rsid w:val="002209A8"/>
    <w:rsid w:val="00220B86"/>
    <w:rsid w:val="002212D0"/>
    <w:rsid w:val="00221663"/>
    <w:rsid w:val="0022215B"/>
    <w:rsid w:val="002221B2"/>
    <w:rsid w:val="00222A4C"/>
    <w:rsid w:val="00222B8B"/>
    <w:rsid w:val="00222FF2"/>
    <w:rsid w:val="002237FC"/>
    <w:rsid w:val="00223A47"/>
    <w:rsid w:val="00223B9E"/>
    <w:rsid w:val="00223BF4"/>
    <w:rsid w:val="0022509D"/>
    <w:rsid w:val="00225A85"/>
    <w:rsid w:val="002261D3"/>
    <w:rsid w:val="002264FF"/>
    <w:rsid w:val="002266AF"/>
    <w:rsid w:val="00226A19"/>
    <w:rsid w:val="002276B1"/>
    <w:rsid w:val="002309C8"/>
    <w:rsid w:val="00230DF3"/>
    <w:rsid w:val="002314E9"/>
    <w:rsid w:val="00231909"/>
    <w:rsid w:val="002319CA"/>
    <w:rsid w:val="00231D91"/>
    <w:rsid w:val="0023200F"/>
    <w:rsid w:val="00232839"/>
    <w:rsid w:val="00233006"/>
    <w:rsid w:val="00233ABF"/>
    <w:rsid w:val="0023400B"/>
    <w:rsid w:val="002348EA"/>
    <w:rsid w:val="0023520D"/>
    <w:rsid w:val="00235591"/>
    <w:rsid w:val="00236060"/>
    <w:rsid w:val="00236A74"/>
    <w:rsid w:val="00236B98"/>
    <w:rsid w:val="00240062"/>
    <w:rsid w:val="0024035F"/>
    <w:rsid w:val="002407F9"/>
    <w:rsid w:val="0024095A"/>
    <w:rsid w:val="00241DBB"/>
    <w:rsid w:val="00242125"/>
    <w:rsid w:val="00242A08"/>
    <w:rsid w:val="002434D3"/>
    <w:rsid w:val="0024390B"/>
    <w:rsid w:val="00243F8F"/>
    <w:rsid w:val="00243FA5"/>
    <w:rsid w:val="002443E7"/>
    <w:rsid w:val="00244920"/>
    <w:rsid w:val="00245704"/>
    <w:rsid w:val="0024731D"/>
    <w:rsid w:val="00247FC5"/>
    <w:rsid w:val="0025056F"/>
    <w:rsid w:val="002515FD"/>
    <w:rsid w:val="00251DA0"/>
    <w:rsid w:val="0025207E"/>
    <w:rsid w:val="002520F2"/>
    <w:rsid w:val="002529B5"/>
    <w:rsid w:val="00252E86"/>
    <w:rsid w:val="00252FF9"/>
    <w:rsid w:val="002534DF"/>
    <w:rsid w:val="00253561"/>
    <w:rsid w:val="00253A88"/>
    <w:rsid w:val="00254C84"/>
    <w:rsid w:val="00254F31"/>
    <w:rsid w:val="00255533"/>
    <w:rsid w:val="0025584D"/>
    <w:rsid w:val="002558DF"/>
    <w:rsid w:val="00255D1C"/>
    <w:rsid w:val="002567A9"/>
    <w:rsid w:val="00256F2B"/>
    <w:rsid w:val="002571C2"/>
    <w:rsid w:val="00257B60"/>
    <w:rsid w:val="00257EF5"/>
    <w:rsid w:val="00257FFD"/>
    <w:rsid w:val="00260332"/>
    <w:rsid w:val="00260610"/>
    <w:rsid w:val="00260AB3"/>
    <w:rsid w:val="002614FB"/>
    <w:rsid w:val="00261B90"/>
    <w:rsid w:val="00263B88"/>
    <w:rsid w:val="002641AD"/>
    <w:rsid w:val="00264571"/>
    <w:rsid w:val="00264D24"/>
    <w:rsid w:val="00265365"/>
    <w:rsid w:val="002656C0"/>
    <w:rsid w:val="00266102"/>
    <w:rsid w:val="00266D7F"/>
    <w:rsid w:val="00266E69"/>
    <w:rsid w:val="0026719E"/>
    <w:rsid w:val="0026742D"/>
    <w:rsid w:val="002709D3"/>
    <w:rsid w:val="00270F2D"/>
    <w:rsid w:val="0027103F"/>
    <w:rsid w:val="00271CAC"/>
    <w:rsid w:val="00271ED7"/>
    <w:rsid w:val="0027204B"/>
    <w:rsid w:val="00272D64"/>
    <w:rsid w:val="00273570"/>
    <w:rsid w:val="00273690"/>
    <w:rsid w:val="00273843"/>
    <w:rsid w:val="0027443D"/>
    <w:rsid w:val="0027482C"/>
    <w:rsid w:val="00274EB2"/>
    <w:rsid w:val="0027546A"/>
    <w:rsid w:val="0027594F"/>
    <w:rsid w:val="0027595D"/>
    <w:rsid w:val="00275F7B"/>
    <w:rsid w:val="002810AE"/>
    <w:rsid w:val="002823FE"/>
    <w:rsid w:val="00282B9E"/>
    <w:rsid w:val="00282BF7"/>
    <w:rsid w:val="0028351D"/>
    <w:rsid w:val="0028357F"/>
    <w:rsid w:val="002845E6"/>
    <w:rsid w:val="00284AC2"/>
    <w:rsid w:val="00284BE2"/>
    <w:rsid w:val="00284CB4"/>
    <w:rsid w:val="00286CBE"/>
    <w:rsid w:val="00287125"/>
    <w:rsid w:val="0028736B"/>
    <w:rsid w:val="002879AB"/>
    <w:rsid w:val="00287EB1"/>
    <w:rsid w:val="0029013B"/>
    <w:rsid w:val="00290652"/>
    <w:rsid w:val="00290DFA"/>
    <w:rsid w:val="00291501"/>
    <w:rsid w:val="00291E60"/>
    <w:rsid w:val="00292407"/>
    <w:rsid w:val="0029241D"/>
    <w:rsid w:val="00292601"/>
    <w:rsid w:val="00292DC5"/>
    <w:rsid w:val="00293545"/>
    <w:rsid w:val="0029373A"/>
    <w:rsid w:val="0029375A"/>
    <w:rsid w:val="00293ABF"/>
    <w:rsid w:val="002942EC"/>
    <w:rsid w:val="002942F8"/>
    <w:rsid w:val="00294E7E"/>
    <w:rsid w:val="0029522E"/>
    <w:rsid w:val="00296E3B"/>
    <w:rsid w:val="002A0288"/>
    <w:rsid w:val="002A032B"/>
    <w:rsid w:val="002A096A"/>
    <w:rsid w:val="002A18B4"/>
    <w:rsid w:val="002A1AFF"/>
    <w:rsid w:val="002A1B82"/>
    <w:rsid w:val="002A2C74"/>
    <w:rsid w:val="002A307F"/>
    <w:rsid w:val="002A3164"/>
    <w:rsid w:val="002A31BF"/>
    <w:rsid w:val="002A41AD"/>
    <w:rsid w:val="002A4E8D"/>
    <w:rsid w:val="002A5665"/>
    <w:rsid w:val="002A5EC9"/>
    <w:rsid w:val="002A75FF"/>
    <w:rsid w:val="002A7723"/>
    <w:rsid w:val="002B0FAA"/>
    <w:rsid w:val="002B0FC5"/>
    <w:rsid w:val="002B1100"/>
    <w:rsid w:val="002B12EE"/>
    <w:rsid w:val="002B1673"/>
    <w:rsid w:val="002B16F5"/>
    <w:rsid w:val="002B20DC"/>
    <w:rsid w:val="002B2297"/>
    <w:rsid w:val="002B2A23"/>
    <w:rsid w:val="002B2AA4"/>
    <w:rsid w:val="002B2EAE"/>
    <w:rsid w:val="002B2F93"/>
    <w:rsid w:val="002B3121"/>
    <w:rsid w:val="002B32A4"/>
    <w:rsid w:val="002B3A34"/>
    <w:rsid w:val="002B3AC1"/>
    <w:rsid w:val="002B3B62"/>
    <w:rsid w:val="002B5FF7"/>
    <w:rsid w:val="002B744B"/>
    <w:rsid w:val="002B78DE"/>
    <w:rsid w:val="002B7952"/>
    <w:rsid w:val="002B7AA1"/>
    <w:rsid w:val="002B7C33"/>
    <w:rsid w:val="002C0A0A"/>
    <w:rsid w:val="002C0C17"/>
    <w:rsid w:val="002C0E80"/>
    <w:rsid w:val="002C1309"/>
    <w:rsid w:val="002C21CD"/>
    <w:rsid w:val="002C3112"/>
    <w:rsid w:val="002C39B0"/>
    <w:rsid w:val="002C3ECA"/>
    <w:rsid w:val="002C4F3C"/>
    <w:rsid w:val="002C5F84"/>
    <w:rsid w:val="002C6249"/>
    <w:rsid w:val="002D05B6"/>
    <w:rsid w:val="002D166F"/>
    <w:rsid w:val="002D1B20"/>
    <w:rsid w:val="002D2263"/>
    <w:rsid w:val="002D26A3"/>
    <w:rsid w:val="002D2C8F"/>
    <w:rsid w:val="002D2F8C"/>
    <w:rsid w:val="002D2FDA"/>
    <w:rsid w:val="002D30B0"/>
    <w:rsid w:val="002D3627"/>
    <w:rsid w:val="002D3DDD"/>
    <w:rsid w:val="002D44E0"/>
    <w:rsid w:val="002D4B65"/>
    <w:rsid w:val="002D4C18"/>
    <w:rsid w:val="002D4E6A"/>
    <w:rsid w:val="002D4F23"/>
    <w:rsid w:val="002D55D7"/>
    <w:rsid w:val="002D575C"/>
    <w:rsid w:val="002D6FF8"/>
    <w:rsid w:val="002D7176"/>
    <w:rsid w:val="002D74F0"/>
    <w:rsid w:val="002E01F6"/>
    <w:rsid w:val="002E0A42"/>
    <w:rsid w:val="002E0D1D"/>
    <w:rsid w:val="002E1BB7"/>
    <w:rsid w:val="002E271B"/>
    <w:rsid w:val="002E282B"/>
    <w:rsid w:val="002E30DD"/>
    <w:rsid w:val="002E3BE0"/>
    <w:rsid w:val="002E4545"/>
    <w:rsid w:val="002E4A93"/>
    <w:rsid w:val="002E4B36"/>
    <w:rsid w:val="002E4CAA"/>
    <w:rsid w:val="002E4E07"/>
    <w:rsid w:val="002E60C1"/>
    <w:rsid w:val="002E683F"/>
    <w:rsid w:val="002E68D0"/>
    <w:rsid w:val="002E740E"/>
    <w:rsid w:val="002F02FD"/>
    <w:rsid w:val="002F0575"/>
    <w:rsid w:val="002F0751"/>
    <w:rsid w:val="002F0C92"/>
    <w:rsid w:val="002F1851"/>
    <w:rsid w:val="002F2831"/>
    <w:rsid w:val="002F2A41"/>
    <w:rsid w:val="002F335A"/>
    <w:rsid w:val="002F3546"/>
    <w:rsid w:val="002F402D"/>
    <w:rsid w:val="002F499B"/>
    <w:rsid w:val="002F50CE"/>
    <w:rsid w:val="002F51E7"/>
    <w:rsid w:val="002F595D"/>
    <w:rsid w:val="002F7025"/>
    <w:rsid w:val="002F7201"/>
    <w:rsid w:val="002F77AD"/>
    <w:rsid w:val="00300759"/>
    <w:rsid w:val="00300D85"/>
    <w:rsid w:val="00300E85"/>
    <w:rsid w:val="0030103E"/>
    <w:rsid w:val="0030151D"/>
    <w:rsid w:val="0030193C"/>
    <w:rsid w:val="00301D1F"/>
    <w:rsid w:val="0030246C"/>
    <w:rsid w:val="00302E6B"/>
    <w:rsid w:val="00303642"/>
    <w:rsid w:val="00304516"/>
    <w:rsid w:val="003045A3"/>
    <w:rsid w:val="00304B50"/>
    <w:rsid w:val="00304C30"/>
    <w:rsid w:val="003052DF"/>
    <w:rsid w:val="00305453"/>
    <w:rsid w:val="003056E0"/>
    <w:rsid w:val="0030638D"/>
    <w:rsid w:val="00307A5A"/>
    <w:rsid w:val="00307FF6"/>
    <w:rsid w:val="00310498"/>
    <w:rsid w:val="00310EAB"/>
    <w:rsid w:val="00310FB1"/>
    <w:rsid w:val="0031137E"/>
    <w:rsid w:val="00311EF5"/>
    <w:rsid w:val="00312054"/>
    <w:rsid w:val="0031226E"/>
    <w:rsid w:val="003122D0"/>
    <w:rsid w:val="00313D2D"/>
    <w:rsid w:val="0031467B"/>
    <w:rsid w:val="00314A5E"/>
    <w:rsid w:val="00316F01"/>
    <w:rsid w:val="00317124"/>
    <w:rsid w:val="0032026E"/>
    <w:rsid w:val="00320B2A"/>
    <w:rsid w:val="0032162C"/>
    <w:rsid w:val="003220D6"/>
    <w:rsid w:val="003225C2"/>
    <w:rsid w:val="00322EA0"/>
    <w:rsid w:val="0032330A"/>
    <w:rsid w:val="003236CA"/>
    <w:rsid w:val="003239AA"/>
    <w:rsid w:val="00323ACB"/>
    <w:rsid w:val="00323AD9"/>
    <w:rsid w:val="00323B2D"/>
    <w:rsid w:val="00323E01"/>
    <w:rsid w:val="00324056"/>
    <w:rsid w:val="0032462D"/>
    <w:rsid w:val="00325334"/>
    <w:rsid w:val="00325D54"/>
    <w:rsid w:val="00326DF7"/>
    <w:rsid w:val="00326FA3"/>
    <w:rsid w:val="003270BB"/>
    <w:rsid w:val="00327397"/>
    <w:rsid w:val="00327889"/>
    <w:rsid w:val="0033096B"/>
    <w:rsid w:val="00331896"/>
    <w:rsid w:val="00331C28"/>
    <w:rsid w:val="00331FE7"/>
    <w:rsid w:val="0033271E"/>
    <w:rsid w:val="00332775"/>
    <w:rsid w:val="003331AE"/>
    <w:rsid w:val="003331ED"/>
    <w:rsid w:val="0033349B"/>
    <w:rsid w:val="00335045"/>
    <w:rsid w:val="0033592A"/>
    <w:rsid w:val="003364AC"/>
    <w:rsid w:val="00336E77"/>
    <w:rsid w:val="00337286"/>
    <w:rsid w:val="00337760"/>
    <w:rsid w:val="0034028C"/>
    <w:rsid w:val="00340CF8"/>
    <w:rsid w:val="00340F30"/>
    <w:rsid w:val="003415B9"/>
    <w:rsid w:val="0034186A"/>
    <w:rsid w:val="003418B6"/>
    <w:rsid w:val="00341BE9"/>
    <w:rsid w:val="00342482"/>
    <w:rsid w:val="003424EA"/>
    <w:rsid w:val="00343DAE"/>
    <w:rsid w:val="00343F66"/>
    <w:rsid w:val="003440E9"/>
    <w:rsid w:val="003445DD"/>
    <w:rsid w:val="0034490B"/>
    <w:rsid w:val="00344A8F"/>
    <w:rsid w:val="00345605"/>
    <w:rsid w:val="00346312"/>
    <w:rsid w:val="00346483"/>
    <w:rsid w:val="00346E96"/>
    <w:rsid w:val="003473B3"/>
    <w:rsid w:val="00351323"/>
    <w:rsid w:val="003532B0"/>
    <w:rsid w:val="00353BA1"/>
    <w:rsid w:val="00354863"/>
    <w:rsid w:val="00354E4B"/>
    <w:rsid w:val="00354F43"/>
    <w:rsid w:val="00356B4F"/>
    <w:rsid w:val="00357424"/>
    <w:rsid w:val="0035772C"/>
    <w:rsid w:val="003604DD"/>
    <w:rsid w:val="00360CC2"/>
    <w:rsid w:val="00361062"/>
    <w:rsid w:val="003614D8"/>
    <w:rsid w:val="0036161A"/>
    <w:rsid w:val="00361785"/>
    <w:rsid w:val="00361788"/>
    <w:rsid w:val="00361C5D"/>
    <w:rsid w:val="00362806"/>
    <w:rsid w:val="00362999"/>
    <w:rsid w:val="00362B2B"/>
    <w:rsid w:val="00362D5F"/>
    <w:rsid w:val="003633F2"/>
    <w:rsid w:val="00363C38"/>
    <w:rsid w:val="003651C8"/>
    <w:rsid w:val="003671DC"/>
    <w:rsid w:val="003672B5"/>
    <w:rsid w:val="00370723"/>
    <w:rsid w:val="0037074A"/>
    <w:rsid w:val="0037099F"/>
    <w:rsid w:val="00371235"/>
    <w:rsid w:val="00371530"/>
    <w:rsid w:val="00371D54"/>
    <w:rsid w:val="00372027"/>
    <w:rsid w:val="00372060"/>
    <w:rsid w:val="003727A8"/>
    <w:rsid w:val="00372B4E"/>
    <w:rsid w:val="00372D31"/>
    <w:rsid w:val="00374166"/>
    <w:rsid w:val="0037593F"/>
    <w:rsid w:val="00375C18"/>
    <w:rsid w:val="003763A6"/>
    <w:rsid w:val="00376B76"/>
    <w:rsid w:val="00377B0C"/>
    <w:rsid w:val="00377FD0"/>
    <w:rsid w:val="00380315"/>
    <w:rsid w:val="0038090D"/>
    <w:rsid w:val="00380958"/>
    <w:rsid w:val="00380B61"/>
    <w:rsid w:val="00381A3F"/>
    <w:rsid w:val="00381EDB"/>
    <w:rsid w:val="003821C6"/>
    <w:rsid w:val="003836F4"/>
    <w:rsid w:val="00383E6E"/>
    <w:rsid w:val="003847E4"/>
    <w:rsid w:val="0038492E"/>
    <w:rsid w:val="003849A2"/>
    <w:rsid w:val="00384AE4"/>
    <w:rsid w:val="00384FDB"/>
    <w:rsid w:val="003854EF"/>
    <w:rsid w:val="00385993"/>
    <w:rsid w:val="00386012"/>
    <w:rsid w:val="003861A1"/>
    <w:rsid w:val="00386291"/>
    <w:rsid w:val="0038707E"/>
    <w:rsid w:val="00387A58"/>
    <w:rsid w:val="00387B36"/>
    <w:rsid w:val="00390086"/>
    <w:rsid w:val="003906A0"/>
    <w:rsid w:val="00391D14"/>
    <w:rsid w:val="00392513"/>
    <w:rsid w:val="00392E3D"/>
    <w:rsid w:val="00393651"/>
    <w:rsid w:val="00394412"/>
    <w:rsid w:val="00394FB3"/>
    <w:rsid w:val="0039535C"/>
    <w:rsid w:val="00395640"/>
    <w:rsid w:val="003956F5"/>
    <w:rsid w:val="00395BEF"/>
    <w:rsid w:val="00396467"/>
    <w:rsid w:val="0039665A"/>
    <w:rsid w:val="00396879"/>
    <w:rsid w:val="00397F12"/>
    <w:rsid w:val="003A1E66"/>
    <w:rsid w:val="003A27DA"/>
    <w:rsid w:val="003A2875"/>
    <w:rsid w:val="003A2BF2"/>
    <w:rsid w:val="003A2DF4"/>
    <w:rsid w:val="003A2EC4"/>
    <w:rsid w:val="003A33C7"/>
    <w:rsid w:val="003A3E49"/>
    <w:rsid w:val="003A4157"/>
    <w:rsid w:val="003A54CE"/>
    <w:rsid w:val="003A5910"/>
    <w:rsid w:val="003A6ED1"/>
    <w:rsid w:val="003B003D"/>
    <w:rsid w:val="003B00AF"/>
    <w:rsid w:val="003B0722"/>
    <w:rsid w:val="003B1923"/>
    <w:rsid w:val="003B1C78"/>
    <w:rsid w:val="003B2EE0"/>
    <w:rsid w:val="003B2FAD"/>
    <w:rsid w:val="003B3CA9"/>
    <w:rsid w:val="003B3EF3"/>
    <w:rsid w:val="003B4188"/>
    <w:rsid w:val="003B4421"/>
    <w:rsid w:val="003B499A"/>
    <w:rsid w:val="003B5924"/>
    <w:rsid w:val="003B5CA6"/>
    <w:rsid w:val="003B5CEC"/>
    <w:rsid w:val="003B5EC9"/>
    <w:rsid w:val="003B5ED4"/>
    <w:rsid w:val="003B67C6"/>
    <w:rsid w:val="003B6E14"/>
    <w:rsid w:val="003B6F93"/>
    <w:rsid w:val="003C0DE2"/>
    <w:rsid w:val="003C0F7F"/>
    <w:rsid w:val="003C1937"/>
    <w:rsid w:val="003C1A65"/>
    <w:rsid w:val="003C20C5"/>
    <w:rsid w:val="003C249C"/>
    <w:rsid w:val="003C270C"/>
    <w:rsid w:val="003C29C0"/>
    <w:rsid w:val="003C3E0E"/>
    <w:rsid w:val="003C463D"/>
    <w:rsid w:val="003C4783"/>
    <w:rsid w:val="003C4945"/>
    <w:rsid w:val="003C4AE6"/>
    <w:rsid w:val="003C4F17"/>
    <w:rsid w:val="003C61B1"/>
    <w:rsid w:val="003C794D"/>
    <w:rsid w:val="003D0404"/>
    <w:rsid w:val="003D1FD6"/>
    <w:rsid w:val="003D2F24"/>
    <w:rsid w:val="003D34C3"/>
    <w:rsid w:val="003D3F4D"/>
    <w:rsid w:val="003D4423"/>
    <w:rsid w:val="003D532A"/>
    <w:rsid w:val="003D70F5"/>
    <w:rsid w:val="003D71B2"/>
    <w:rsid w:val="003D769B"/>
    <w:rsid w:val="003D7C2F"/>
    <w:rsid w:val="003E0250"/>
    <w:rsid w:val="003E0C45"/>
    <w:rsid w:val="003E0EC8"/>
    <w:rsid w:val="003E1766"/>
    <w:rsid w:val="003E1BB1"/>
    <w:rsid w:val="003E2737"/>
    <w:rsid w:val="003E2AEE"/>
    <w:rsid w:val="003E3341"/>
    <w:rsid w:val="003E3D5B"/>
    <w:rsid w:val="003E46BC"/>
    <w:rsid w:val="003E6032"/>
    <w:rsid w:val="003E6511"/>
    <w:rsid w:val="003E6D7D"/>
    <w:rsid w:val="003E6E31"/>
    <w:rsid w:val="003E6F25"/>
    <w:rsid w:val="003E6FEA"/>
    <w:rsid w:val="003F03DF"/>
    <w:rsid w:val="003F05CD"/>
    <w:rsid w:val="003F093E"/>
    <w:rsid w:val="003F2373"/>
    <w:rsid w:val="003F3122"/>
    <w:rsid w:val="003F35F6"/>
    <w:rsid w:val="003F3CBD"/>
    <w:rsid w:val="003F3D51"/>
    <w:rsid w:val="003F4757"/>
    <w:rsid w:val="003F51DD"/>
    <w:rsid w:val="003F532E"/>
    <w:rsid w:val="003F56E6"/>
    <w:rsid w:val="003F5986"/>
    <w:rsid w:val="003F5E09"/>
    <w:rsid w:val="003F5FE8"/>
    <w:rsid w:val="003F61AA"/>
    <w:rsid w:val="003F6666"/>
    <w:rsid w:val="003F68C0"/>
    <w:rsid w:val="003F6BD9"/>
    <w:rsid w:val="003F6ED3"/>
    <w:rsid w:val="003F7D13"/>
    <w:rsid w:val="003F7E93"/>
    <w:rsid w:val="00400368"/>
    <w:rsid w:val="00400D47"/>
    <w:rsid w:val="004011DE"/>
    <w:rsid w:val="00401A78"/>
    <w:rsid w:val="00401CDA"/>
    <w:rsid w:val="004025FF"/>
    <w:rsid w:val="00402A78"/>
    <w:rsid w:val="00403197"/>
    <w:rsid w:val="0040364C"/>
    <w:rsid w:val="00403CB4"/>
    <w:rsid w:val="00404070"/>
    <w:rsid w:val="00405AE1"/>
    <w:rsid w:val="00406580"/>
    <w:rsid w:val="00406E5B"/>
    <w:rsid w:val="00407383"/>
    <w:rsid w:val="00410E44"/>
    <w:rsid w:val="00411725"/>
    <w:rsid w:val="00411823"/>
    <w:rsid w:val="00411859"/>
    <w:rsid w:val="004119C4"/>
    <w:rsid w:val="00411A03"/>
    <w:rsid w:val="00411C64"/>
    <w:rsid w:val="00412952"/>
    <w:rsid w:val="0041296A"/>
    <w:rsid w:val="00412B14"/>
    <w:rsid w:val="00412C3F"/>
    <w:rsid w:val="00413043"/>
    <w:rsid w:val="004137F7"/>
    <w:rsid w:val="00413AEF"/>
    <w:rsid w:val="004148CA"/>
    <w:rsid w:val="00414C4D"/>
    <w:rsid w:val="00415844"/>
    <w:rsid w:val="0041624B"/>
    <w:rsid w:val="00416A0E"/>
    <w:rsid w:val="00416B90"/>
    <w:rsid w:val="00416F05"/>
    <w:rsid w:val="00417434"/>
    <w:rsid w:val="004174DF"/>
    <w:rsid w:val="00417ADD"/>
    <w:rsid w:val="0042015F"/>
    <w:rsid w:val="00420A8E"/>
    <w:rsid w:val="00420D1F"/>
    <w:rsid w:val="00421DD2"/>
    <w:rsid w:val="004221A5"/>
    <w:rsid w:val="00422300"/>
    <w:rsid w:val="00422767"/>
    <w:rsid w:val="0042389C"/>
    <w:rsid w:val="00423B0A"/>
    <w:rsid w:val="004241F5"/>
    <w:rsid w:val="004256C3"/>
    <w:rsid w:val="004260C2"/>
    <w:rsid w:val="0042633B"/>
    <w:rsid w:val="0042656F"/>
    <w:rsid w:val="0042682C"/>
    <w:rsid w:val="00427406"/>
    <w:rsid w:val="00427463"/>
    <w:rsid w:val="00427640"/>
    <w:rsid w:val="00427A44"/>
    <w:rsid w:val="00427F58"/>
    <w:rsid w:val="0043086E"/>
    <w:rsid w:val="0043093C"/>
    <w:rsid w:val="0043189B"/>
    <w:rsid w:val="00431C8F"/>
    <w:rsid w:val="00431CAA"/>
    <w:rsid w:val="004321BD"/>
    <w:rsid w:val="0043244F"/>
    <w:rsid w:val="00432AF6"/>
    <w:rsid w:val="00432F97"/>
    <w:rsid w:val="0043312F"/>
    <w:rsid w:val="004337D9"/>
    <w:rsid w:val="00434011"/>
    <w:rsid w:val="00434346"/>
    <w:rsid w:val="004345A6"/>
    <w:rsid w:val="00434A16"/>
    <w:rsid w:val="004350CC"/>
    <w:rsid w:val="0043515B"/>
    <w:rsid w:val="004358FD"/>
    <w:rsid w:val="00435ACC"/>
    <w:rsid w:val="00435CBB"/>
    <w:rsid w:val="00435E24"/>
    <w:rsid w:val="00435EBB"/>
    <w:rsid w:val="00436D7E"/>
    <w:rsid w:val="00436E9B"/>
    <w:rsid w:val="0043741D"/>
    <w:rsid w:val="00437ADF"/>
    <w:rsid w:val="00440F1C"/>
    <w:rsid w:val="0044152B"/>
    <w:rsid w:val="004417A9"/>
    <w:rsid w:val="00441813"/>
    <w:rsid w:val="004419FC"/>
    <w:rsid w:val="00442C5E"/>
    <w:rsid w:val="004430AD"/>
    <w:rsid w:val="004430F7"/>
    <w:rsid w:val="0044313F"/>
    <w:rsid w:val="00444491"/>
    <w:rsid w:val="00444D9C"/>
    <w:rsid w:val="00445A18"/>
    <w:rsid w:val="00445FAC"/>
    <w:rsid w:val="00446AEA"/>
    <w:rsid w:val="00446CB7"/>
    <w:rsid w:val="00446FCC"/>
    <w:rsid w:val="004504A2"/>
    <w:rsid w:val="004505D4"/>
    <w:rsid w:val="0045065A"/>
    <w:rsid w:val="0045069D"/>
    <w:rsid w:val="00450B09"/>
    <w:rsid w:val="00450B8E"/>
    <w:rsid w:val="00450DDF"/>
    <w:rsid w:val="0045180A"/>
    <w:rsid w:val="0045254E"/>
    <w:rsid w:val="004525FA"/>
    <w:rsid w:val="00452F21"/>
    <w:rsid w:val="00453565"/>
    <w:rsid w:val="00455CB1"/>
    <w:rsid w:val="00455D03"/>
    <w:rsid w:val="00456DC7"/>
    <w:rsid w:val="004577E8"/>
    <w:rsid w:val="00457B22"/>
    <w:rsid w:val="0046029B"/>
    <w:rsid w:val="004608B0"/>
    <w:rsid w:val="00461261"/>
    <w:rsid w:val="0046173F"/>
    <w:rsid w:val="00461929"/>
    <w:rsid w:val="00462203"/>
    <w:rsid w:val="004624C2"/>
    <w:rsid w:val="0046252C"/>
    <w:rsid w:val="004626FA"/>
    <w:rsid w:val="00465161"/>
    <w:rsid w:val="004653DA"/>
    <w:rsid w:val="004653DF"/>
    <w:rsid w:val="0046547C"/>
    <w:rsid w:val="00465E52"/>
    <w:rsid w:val="00466BA8"/>
    <w:rsid w:val="00467946"/>
    <w:rsid w:val="00467C39"/>
    <w:rsid w:val="00470A79"/>
    <w:rsid w:val="004717A2"/>
    <w:rsid w:val="00472A98"/>
    <w:rsid w:val="00472B7F"/>
    <w:rsid w:val="00473803"/>
    <w:rsid w:val="004748E3"/>
    <w:rsid w:val="00474CC2"/>
    <w:rsid w:val="00475E70"/>
    <w:rsid w:val="00475EBB"/>
    <w:rsid w:val="0047670E"/>
    <w:rsid w:val="00476BFE"/>
    <w:rsid w:val="004777FB"/>
    <w:rsid w:val="004815A6"/>
    <w:rsid w:val="00481E12"/>
    <w:rsid w:val="00482226"/>
    <w:rsid w:val="00482468"/>
    <w:rsid w:val="004825FA"/>
    <w:rsid w:val="00482759"/>
    <w:rsid w:val="00482DF4"/>
    <w:rsid w:val="00483203"/>
    <w:rsid w:val="00483B3C"/>
    <w:rsid w:val="00484193"/>
    <w:rsid w:val="004853DC"/>
    <w:rsid w:val="00485724"/>
    <w:rsid w:val="00485E4D"/>
    <w:rsid w:val="00485F62"/>
    <w:rsid w:val="0048754C"/>
    <w:rsid w:val="004878A7"/>
    <w:rsid w:val="00491181"/>
    <w:rsid w:val="0049123E"/>
    <w:rsid w:val="00491931"/>
    <w:rsid w:val="00492455"/>
    <w:rsid w:val="004926F8"/>
    <w:rsid w:val="004928B5"/>
    <w:rsid w:val="00493986"/>
    <w:rsid w:val="00494000"/>
    <w:rsid w:val="00494839"/>
    <w:rsid w:val="00494A21"/>
    <w:rsid w:val="0049580D"/>
    <w:rsid w:val="00495A76"/>
    <w:rsid w:val="004964F4"/>
    <w:rsid w:val="00496E29"/>
    <w:rsid w:val="004977A3"/>
    <w:rsid w:val="004979BA"/>
    <w:rsid w:val="004A0165"/>
    <w:rsid w:val="004A09FD"/>
    <w:rsid w:val="004A2648"/>
    <w:rsid w:val="004A3628"/>
    <w:rsid w:val="004A472D"/>
    <w:rsid w:val="004A4917"/>
    <w:rsid w:val="004A4E96"/>
    <w:rsid w:val="004A538D"/>
    <w:rsid w:val="004A5FC7"/>
    <w:rsid w:val="004A62F6"/>
    <w:rsid w:val="004A6BE1"/>
    <w:rsid w:val="004A6EAC"/>
    <w:rsid w:val="004A76C1"/>
    <w:rsid w:val="004A76FF"/>
    <w:rsid w:val="004A7FB2"/>
    <w:rsid w:val="004B040E"/>
    <w:rsid w:val="004B051A"/>
    <w:rsid w:val="004B0AF7"/>
    <w:rsid w:val="004B1388"/>
    <w:rsid w:val="004B151C"/>
    <w:rsid w:val="004B1BC2"/>
    <w:rsid w:val="004B1FA5"/>
    <w:rsid w:val="004B24AA"/>
    <w:rsid w:val="004B2709"/>
    <w:rsid w:val="004B2821"/>
    <w:rsid w:val="004B2E3F"/>
    <w:rsid w:val="004B344E"/>
    <w:rsid w:val="004B3ACE"/>
    <w:rsid w:val="004B3CE0"/>
    <w:rsid w:val="004B3F83"/>
    <w:rsid w:val="004B45BC"/>
    <w:rsid w:val="004B4951"/>
    <w:rsid w:val="004B4DF9"/>
    <w:rsid w:val="004B4EF8"/>
    <w:rsid w:val="004B4FC6"/>
    <w:rsid w:val="004B55D7"/>
    <w:rsid w:val="004B7518"/>
    <w:rsid w:val="004B7BAA"/>
    <w:rsid w:val="004B7D96"/>
    <w:rsid w:val="004C00C4"/>
    <w:rsid w:val="004C02A4"/>
    <w:rsid w:val="004C045F"/>
    <w:rsid w:val="004C1BF1"/>
    <w:rsid w:val="004C2159"/>
    <w:rsid w:val="004C2795"/>
    <w:rsid w:val="004C4226"/>
    <w:rsid w:val="004C42D4"/>
    <w:rsid w:val="004C5795"/>
    <w:rsid w:val="004C5A2D"/>
    <w:rsid w:val="004C616D"/>
    <w:rsid w:val="004C6313"/>
    <w:rsid w:val="004C638D"/>
    <w:rsid w:val="004C6E75"/>
    <w:rsid w:val="004C7393"/>
    <w:rsid w:val="004C787D"/>
    <w:rsid w:val="004C78B8"/>
    <w:rsid w:val="004D0791"/>
    <w:rsid w:val="004D16C9"/>
    <w:rsid w:val="004D213F"/>
    <w:rsid w:val="004D25A6"/>
    <w:rsid w:val="004D26CE"/>
    <w:rsid w:val="004D26F8"/>
    <w:rsid w:val="004D3D95"/>
    <w:rsid w:val="004D400A"/>
    <w:rsid w:val="004D4708"/>
    <w:rsid w:val="004D5FA8"/>
    <w:rsid w:val="004D5FEB"/>
    <w:rsid w:val="004D6100"/>
    <w:rsid w:val="004D64E8"/>
    <w:rsid w:val="004D7051"/>
    <w:rsid w:val="004D7180"/>
    <w:rsid w:val="004D7DB0"/>
    <w:rsid w:val="004E1AD3"/>
    <w:rsid w:val="004E1F90"/>
    <w:rsid w:val="004E220B"/>
    <w:rsid w:val="004E2796"/>
    <w:rsid w:val="004E2D79"/>
    <w:rsid w:val="004E33CF"/>
    <w:rsid w:val="004E4BDB"/>
    <w:rsid w:val="004E4FDB"/>
    <w:rsid w:val="004E505B"/>
    <w:rsid w:val="004E53ED"/>
    <w:rsid w:val="004E5549"/>
    <w:rsid w:val="004E56BD"/>
    <w:rsid w:val="004E5CD3"/>
    <w:rsid w:val="004E5F4E"/>
    <w:rsid w:val="004E665E"/>
    <w:rsid w:val="004E6D6D"/>
    <w:rsid w:val="004F0878"/>
    <w:rsid w:val="004F0C31"/>
    <w:rsid w:val="004F155B"/>
    <w:rsid w:val="004F1696"/>
    <w:rsid w:val="004F2F2E"/>
    <w:rsid w:val="004F4689"/>
    <w:rsid w:val="004F5C28"/>
    <w:rsid w:val="004F5D81"/>
    <w:rsid w:val="004F6242"/>
    <w:rsid w:val="004F69F2"/>
    <w:rsid w:val="004F7F95"/>
    <w:rsid w:val="0050058B"/>
    <w:rsid w:val="00500AC3"/>
    <w:rsid w:val="0050127E"/>
    <w:rsid w:val="00501281"/>
    <w:rsid w:val="005014FA"/>
    <w:rsid w:val="00501C6A"/>
    <w:rsid w:val="00501FE8"/>
    <w:rsid w:val="0050276B"/>
    <w:rsid w:val="005033B1"/>
    <w:rsid w:val="00503656"/>
    <w:rsid w:val="005037BF"/>
    <w:rsid w:val="00503D27"/>
    <w:rsid w:val="005043EE"/>
    <w:rsid w:val="00504BA3"/>
    <w:rsid w:val="005054FB"/>
    <w:rsid w:val="005056A7"/>
    <w:rsid w:val="00505C2A"/>
    <w:rsid w:val="00506C79"/>
    <w:rsid w:val="005070CB"/>
    <w:rsid w:val="005070CD"/>
    <w:rsid w:val="0050719B"/>
    <w:rsid w:val="00507AF4"/>
    <w:rsid w:val="005103C9"/>
    <w:rsid w:val="00510A3B"/>
    <w:rsid w:val="005120E3"/>
    <w:rsid w:val="00513669"/>
    <w:rsid w:val="0051440A"/>
    <w:rsid w:val="0051450A"/>
    <w:rsid w:val="005161B9"/>
    <w:rsid w:val="00516481"/>
    <w:rsid w:val="0051667C"/>
    <w:rsid w:val="0051720E"/>
    <w:rsid w:val="005175EA"/>
    <w:rsid w:val="00517A86"/>
    <w:rsid w:val="00520759"/>
    <w:rsid w:val="005214F8"/>
    <w:rsid w:val="00521FD3"/>
    <w:rsid w:val="00522851"/>
    <w:rsid w:val="00524448"/>
    <w:rsid w:val="005244C2"/>
    <w:rsid w:val="00524FE9"/>
    <w:rsid w:val="005250D9"/>
    <w:rsid w:val="00525329"/>
    <w:rsid w:val="00526A7F"/>
    <w:rsid w:val="00527397"/>
    <w:rsid w:val="00530266"/>
    <w:rsid w:val="00531030"/>
    <w:rsid w:val="00531275"/>
    <w:rsid w:val="00531705"/>
    <w:rsid w:val="00531F15"/>
    <w:rsid w:val="00533D57"/>
    <w:rsid w:val="00533FA5"/>
    <w:rsid w:val="00534098"/>
    <w:rsid w:val="0053413E"/>
    <w:rsid w:val="005342EC"/>
    <w:rsid w:val="005347C3"/>
    <w:rsid w:val="0053490A"/>
    <w:rsid w:val="00534E6C"/>
    <w:rsid w:val="00535122"/>
    <w:rsid w:val="005353D7"/>
    <w:rsid w:val="00535512"/>
    <w:rsid w:val="005356FB"/>
    <w:rsid w:val="00535D8A"/>
    <w:rsid w:val="00535ECA"/>
    <w:rsid w:val="00535F8B"/>
    <w:rsid w:val="00537D77"/>
    <w:rsid w:val="005401F0"/>
    <w:rsid w:val="0054042F"/>
    <w:rsid w:val="005419F3"/>
    <w:rsid w:val="00541DE6"/>
    <w:rsid w:val="00542C3B"/>
    <w:rsid w:val="005438F8"/>
    <w:rsid w:val="00544AFC"/>
    <w:rsid w:val="00544B65"/>
    <w:rsid w:val="00544C9B"/>
    <w:rsid w:val="00544D2D"/>
    <w:rsid w:val="00551CC1"/>
    <w:rsid w:val="00553C31"/>
    <w:rsid w:val="00554086"/>
    <w:rsid w:val="005543AC"/>
    <w:rsid w:val="005549CB"/>
    <w:rsid w:val="00554D02"/>
    <w:rsid w:val="00554DC3"/>
    <w:rsid w:val="0055501F"/>
    <w:rsid w:val="00555B68"/>
    <w:rsid w:val="00555EE2"/>
    <w:rsid w:val="0055656B"/>
    <w:rsid w:val="005565DC"/>
    <w:rsid w:val="0055685A"/>
    <w:rsid w:val="00557931"/>
    <w:rsid w:val="00557CB5"/>
    <w:rsid w:val="00557E4C"/>
    <w:rsid w:val="005602A9"/>
    <w:rsid w:val="00560434"/>
    <w:rsid w:val="0056065D"/>
    <w:rsid w:val="00560D28"/>
    <w:rsid w:val="00561266"/>
    <w:rsid w:val="00561289"/>
    <w:rsid w:val="005612F7"/>
    <w:rsid w:val="005615E1"/>
    <w:rsid w:val="00562E62"/>
    <w:rsid w:val="00563211"/>
    <w:rsid w:val="005634B7"/>
    <w:rsid w:val="00563790"/>
    <w:rsid w:val="00563C92"/>
    <w:rsid w:val="00564387"/>
    <w:rsid w:val="00564518"/>
    <w:rsid w:val="005647D9"/>
    <w:rsid w:val="00564F28"/>
    <w:rsid w:val="00565089"/>
    <w:rsid w:val="00565345"/>
    <w:rsid w:val="0056571B"/>
    <w:rsid w:val="00566B61"/>
    <w:rsid w:val="00566EC4"/>
    <w:rsid w:val="00566ECE"/>
    <w:rsid w:val="005674EB"/>
    <w:rsid w:val="00567A47"/>
    <w:rsid w:val="005702A6"/>
    <w:rsid w:val="0057211E"/>
    <w:rsid w:val="005721DD"/>
    <w:rsid w:val="0057327F"/>
    <w:rsid w:val="005736F6"/>
    <w:rsid w:val="00573929"/>
    <w:rsid w:val="00574232"/>
    <w:rsid w:val="00574B3F"/>
    <w:rsid w:val="00575B70"/>
    <w:rsid w:val="00575DDC"/>
    <w:rsid w:val="005773B1"/>
    <w:rsid w:val="0057774E"/>
    <w:rsid w:val="005800FF"/>
    <w:rsid w:val="00581469"/>
    <w:rsid w:val="00581F96"/>
    <w:rsid w:val="005825BF"/>
    <w:rsid w:val="00582C9F"/>
    <w:rsid w:val="00583956"/>
    <w:rsid w:val="0058463E"/>
    <w:rsid w:val="00585168"/>
    <w:rsid w:val="005869D7"/>
    <w:rsid w:val="00586E81"/>
    <w:rsid w:val="00586E9B"/>
    <w:rsid w:val="005873DF"/>
    <w:rsid w:val="00587AB4"/>
    <w:rsid w:val="00587E5C"/>
    <w:rsid w:val="005902B0"/>
    <w:rsid w:val="00590B5A"/>
    <w:rsid w:val="00591059"/>
    <w:rsid w:val="00591503"/>
    <w:rsid w:val="00591B61"/>
    <w:rsid w:val="00591D31"/>
    <w:rsid w:val="0059214C"/>
    <w:rsid w:val="005927A9"/>
    <w:rsid w:val="0059295A"/>
    <w:rsid w:val="00592C26"/>
    <w:rsid w:val="00592CE8"/>
    <w:rsid w:val="00593B10"/>
    <w:rsid w:val="0059453E"/>
    <w:rsid w:val="005957E6"/>
    <w:rsid w:val="00595C4A"/>
    <w:rsid w:val="00596032"/>
    <w:rsid w:val="005960AD"/>
    <w:rsid w:val="005964E0"/>
    <w:rsid w:val="00596ADF"/>
    <w:rsid w:val="00596C5F"/>
    <w:rsid w:val="00597440"/>
    <w:rsid w:val="00597573"/>
    <w:rsid w:val="005976E0"/>
    <w:rsid w:val="00597D10"/>
    <w:rsid w:val="00597EF5"/>
    <w:rsid w:val="005A04F0"/>
    <w:rsid w:val="005A11D5"/>
    <w:rsid w:val="005A2699"/>
    <w:rsid w:val="005A2F2C"/>
    <w:rsid w:val="005A3E48"/>
    <w:rsid w:val="005A4614"/>
    <w:rsid w:val="005A481E"/>
    <w:rsid w:val="005A4E76"/>
    <w:rsid w:val="005A53F0"/>
    <w:rsid w:val="005A5B51"/>
    <w:rsid w:val="005A5D5E"/>
    <w:rsid w:val="005A6694"/>
    <w:rsid w:val="005A6EC4"/>
    <w:rsid w:val="005A7840"/>
    <w:rsid w:val="005A7FA9"/>
    <w:rsid w:val="005B04D7"/>
    <w:rsid w:val="005B04FC"/>
    <w:rsid w:val="005B0E68"/>
    <w:rsid w:val="005B1A48"/>
    <w:rsid w:val="005B1DBC"/>
    <w:rsid w:val="005B1EC7"/>
    <w:rsid w:val="005B2BD7"/>
    <w:rsid w:val="005B2CBE"/>
    <w:rsid w:val="005B31A7"/>
    <w:rsid w:val="005B325A"/>
    <w:rsid w:val="005B33C1"/>
    <w:rsid w:val="005B34AE"/>
    <w:rsid w:val="005B49F6"/>
    <w:rsid w:val="005B525C"/>
    <w:rsid w:val="005B53C7"/>
    <w:rsid w:val="005B556A"/>
    <w:rsid w:val="005B5A97"/>
    <w:rsid w:val="005B5D55"/>
    <w:rsid w:val="005B63A1"/>
    <w:rsid w:val="005B642A"/>
    <w:rsid w:val="005B6B6E"/>
    <w:rsid w:val="005B6EC1"/>
    <w:rsid w:val="005B751F"/>
    <w:rsid w:val="005B7740"/>
    <w:rsid w:val="005B7957"/>
    <w:rsid w:val="005B79BF"/>
    <w:rsid w:val="005B7E66"/>
    <w:rsid w:val="005C01F9"/>
    <w:rsid w:val="005C168E"/>
    <w:rsid w:val="005C1895"/>
    <w:rsid w:val="005C1E09"/>
    <w:rsid w:val="005C1F41"/>
    <w:rsid w:val="005C259A"/>
    <w:rsid w:val="005C260F"/>
    <w:rsid w:val="005C2E74"/>
    <w:rsid w:val="005C317A"/>
    <w:rsid w:val="005C38FB"/>
    <w:rsid w:val="005C3AAE"/>
    <w:rsid w:val="005C459C"/>
    <w:rsid w:val="005C4BD8"/>
    <w:rsid w:val="005C50AE"/>
    <w:rsid w:val="005C5DD8"/>
    <w:rsid w:val="005C6659"/>
    <w:rsid w:val="005C67D2"/>
    <w:rsid w:val="005D107A"/>
    <w:rsid w:val="005D1D89"/>
    <w:rsid w:val="005D2394"/>
    <w:rsid w:val="005D3531"/>
    <w:rsid w:val="005D5901"/>
    <w:rsid w:val="005D6A04"/>
    <w:rsid w:val="005D71D7"/>
    <w:rsid w:val="005D7F26"/>
    <w:rsid w:val="005D7F7F"/>
    <w:rsid w:val="005E0EC2"/>
    <w:rsid w:val="005E183D"/>
    <w:rsid w:val="005E22A9"/>
    <w:rsid w:val="005E31EE"/>
    <w:rsid w:val="005E4671"/>
    <w:rsid w:val="005E4BA3"/>
    <w:rsid w:val="005E534F"/>
    <w:rsid w:val="005E59EB"/>
    <w:rsid w:val="005E6F12"/>
    <w:rsid w:val="005E7079"/>
    <w:rsid w:val="005E76D7"/>
    <w:rsid w:val="005F0672"/>
    <w:rsid w:val="005F0ACD"/>
    <w:rsid w:val="005F0F46"/>
    <w:rsid w:val="005F19E5"/>
    <w:rsid w:val="005F2FBF"/>
    <w:rsid w:val="005F31B2"/>
    <w:rsid w:val="005F3293"/>
    <w:rsid w:val="005F3FB7"/>
    <w:rsid w:val="005F4108"/>
    <w:rsid w:val="005F4972"/>
    <w:rsid w:val="005F4D5F"/>
    <w:rsid w:val="005F50A2"/>
    <w:rsid w:val="005F6CA9"/>
    <w:rsid w:val="0060016B"/>
    <w:rsid w:val="00600445"/>
    <w:rsid w:val="006016E7"/>
    <w:rsid w:val="00601C00"/>
    <w:rsid w:val="00602FF1"/>
    <w:rsid w:val="00605E6E"/>
    <w:rsid w:val="00606036"/>
    <w:rsid w:val="006062CF"/>
    <w:rsid w:val="00606C34"/>
    <w:rsid w:val="00606C92"/>
    <w:rsid w:val="00606CBF"/>
    <w:rsid w:val="006070F1"/>
    <w:rsid w:val="00607EB7"/>
    <w:rsid w:val="00607EC0"/>
    <w:rsid w:val="00610480"/>
    <w:rsid w:val="00610DED"/>
    <w:rsid w:val="00610F0A"/>
    <w:rsid w:val="00610FE1"/>
    <w:rsid w:val="00611AB5"/>
    <w:rsid w:val="006124CE"/>
    <w:rsid w:val="0061271E"/>
    <w:rsid w:val="00612A0E"/>
    <w:rsid w:val="00612E5F"/>
    <w:rsid w:val="006130B5"/>
    <w:rsid w:val="00613243"/>
    <w:rsid w:val="006134A3"/>
    <w:rsid w:val="00613634"/>
    <w:rsid w:val="00613C24"/>
    <w:rsid w:val="0061418D"/>
    <w:rsid w:val="00614690"/>
    <w:rsid w:val="00615118"/>
    <w:rsid w:val="00615B70"/>
    <w:rsid w:val="00615EA2"/>
    <w:rsid w:val="006166B5"/>
    <w:rsid w:val="006166CB"/>
    <w:rsid w:val="00616E65"/>
    <w:rsid w:val="006171A0"/>
    <w:rsid w:val="006179D0"/>
    <w:rsid w:val="00617FE1"/>
    <w:rsid w:val="00620B36"/>
    <w:rsid w:val="00620DEF"/>
    <w:rsid w:val="00620EDC"/>
    <w:rsid w:val="00621617"/>
    <w:rsid w:val="00621BA3"/>
    <w:rsid w:val="0062283E"/>
    <w:rsid w:val="00622F05"/>
    <w:rsid w:val="00622FA2"/>
    <w:rsid w:val="0062370E"/>
    <w:rsid w:val="00623C25"/>
    <w:rsid w:val="00623C92"/>
    <w:rsid w:val="00623FE6"/>
    <w:rsid w:val="006240E7"/>
    <w:rsid w:val="006241AF"/>
    <w:rsid w:val="006244EE"/>
    <w:rsid w:val="00624A3D"/>
    <w:rsid w:val="00624B11"/>
    <w:rsid w:val="006253F3"/>
    <w:rsid w:val="00625409"/>
    <w:rsid w:val="0062571E"/>
    <w:rsid w:val="00625A0F"/>
    <w:rsid w:val="006262AB"/>
    <w:rsid w:val="00626716"/>
    <w:rsid w:val="00626832"/>
    <w:rsid w:val="00626F9A"/>
    <w:rsid w:val="00627551"/>
    <w:rsid w:val="00627666"/>
    <w:rsid w:val="00630091"/>
    <w:rsid w:val="00630D80"/>
    <w:rsid w:val="0063138C"/>
    <w:rsid w:val="0063188C"/>
    <w:rsid w:val="00631FC4"/>
    <w:rsid w:val="00632BB7"/>
    <w:rsid w:val="00632CF1"/>
    <w:rsid w:val="00632D01"/>
    <w:rsid w:val="0063309B"/>
    <w:rsid w:val="00633E81"/>
    <w:rsid w:val="00634301"/>
    <w:rsid w:val="0063462E"/>
    <w:rsid w:val="00634907"/>
    <w:rsid w:val="00634922"/>
    <w:rsid w:val="00634EB3"/>
    <w:rsid w:val="00634FCF"/>
    <w:rsid w:val="006357BC"/>
    <w:rsid w:val="006363B7"/>
    <w:rsid w:val="006366B9"/>
    <w:rsid w:val="00637652"/>
    <w:rsid w:val="006403CC"/>
    <w:rsid w:val="006411B1"/>
    <w:rsid w:val="0064137F"/>
    <w:rsid w:val="00641491"/>
    <w:rsid w:val="0064175A"/>
    <w:rsid w:val="00642649"/>
    <w:rsid w:val="00643095"/>
    <w:rsid w:val="0064324A"/>
    <w:rsid w:val="006438A4"/>
    <w:rsid w:val="00644C7B"/>
    <w:rsid w:val="0064538A"/>
    <w:rsid w:val="00645CC2"/>
    <w:rsid w:val="006465E4"/>
    <w:rsid w:val="0064662C"/>
    <w:rsid w:val="00646DC1"/>
    <w:rsid w:val="00647B3D"/>
    <w:rsid w:val="00650D43"/>
    <w:rsid w:val="006514A6"/>
    <w:rsid w:val="00651EBE"/>
    <w:rsid w:val="00652325"/>
    <w:rsid w:val="00652616"/>
    <w:rsid w:val="00652755"/>
    <w:rsid w:val="006528FF"/>
    <w:rsid w:val="00652CC0"/>
    <w:rsid w:val="006534E8"/>
    <w:rsid w:val="0065392C"/>
    <w:rsid w:val="00653A01"/>
    <w:rsid w:val="00653DAB"/>
    <w:rsid w:val="0065659A"/>
    <w:rsid w:val="006565AC"/>
    <w:rsid w:val="00656A15"/>
    <w:rsid w:val="0065732C"/>
    <w:rsid w:val="00660A4E"/>
    <w:rsid w:val="0066164E"/>
    <w:rsid w:val="00661761"/>
    <w:rsid w:val="006619E6"/>
    <w:rsid w:val="006620EA"/>
    <w:rsid w:val="0066276C"/>
    <w:rsid w:val="0066315B"/>
    <w:rsid w:val="006634AA"/>
    <w:rsid w:val="00663740"/>
    <w:rsid w:val="0066385D"/>
    <w:rsid w:val="00665375"/>
    <w:rsid w:val="0066618F"/>
    <w:rsid w:val="00666684"/>
    <w:rsid w:val="00670323"/>
    <w:rsid w:val="0067057A"/>
    <w:rsid w:val="00670C8D"/>
    <w:rsid w:val="00671E6E"/>
    <w:rsid w:val="00671FE1"/>
    <w:rsid w:val="006725EE"/>
    <w:rsid w:val="00673126"/>
    <w:rsid w:val="0067381B"/>
    <w:rsid w:val="006739D9"/>
    <w:rsid w:val="00673CD1"/>
    <w:rsid w:val="00673D6F"/>
    <w:rsid w:val="00674811"/>
    <w:rsid w:val="006755FB"/>
    <w:rsid w:val="006764E2"/>
    <w:rsid w:val="006766F7"/>
    <w:rsid w:val="00676F29"/>
    <w:rsid w:val="00677457"/>
    <w:rsid w:val="006777B4"/>
    <w:rsid w:val="006778A9"/>
    <w:rsid w:val="00677ABB"/>
    <w:rsid w:val="00680FF5"/>
    <w:rsid w:val="006810EF"/>
    <w:rsid w:val="00681134"/>
    <w:rsid w:val="00683658"/>
    <w:rsid w:val="006846A6"/>
    <w:rsid w:val="00685804"/>
    <w:rsid w:val="00685E81"/>
    <w:rsid w:val="006862C4"/>
    <w:rsid w:val="00686643"/>
    <w:rsid w:val="00687629"/>
    <w:rsid w:val="006879AF"/>
    <w:rsid w:val="006901FE"/>
    <w:rsid w:val="00690CDA"/>
    <w:rsid w:val="006913CB"/>
    <w:rsid w:val="00693A17"/>
    <w:rsid w:val="00694385"/>
    <w:rsid w:val="006947BD"/>
    <w:rsid w:val="00694A87"/>
    <w:rsid w:val="0069513F"/>
    <w:rsid w:val="006969BD"/>
    <w:rsid w:val="00696B9F"/>
    <w:rsid w:val="00697DBB"/>
    <w:rsid w:val="006A19F8"/>
    <w:rsid w:val="006A1C8E"/>
    <w:rsid w:val="006A219D"/>
    <w:rsid w:val="006A229A"/>
    <w:rsid w:val="006A2915"/>
    <w:rsid w:val="006A2D18"/>
    <w:rsid w:val="006A2F15"/>
    <w:rsid w:val="006A32C2"/>
    <w:rsid w:val="006A42C9"/>
    <w:rsid w:val="006A43AB"/>
    <w:rsid w:val="006A484E"/>
    <w:rsid w:val="006A4AF8"/>
    <w:rsid w:val="006A57FD"/>
    <w:rsid w:val="006A617E"/>
    <w:rsid w:val="006A66E0"/>
    <w:rsid w:val="006A7CD6"/>
    <w:rsid w:val="006B0027"/>
    <w:rsid w:val="006B10A1"/>
    <w:rsid w:val="006B10F2"/>
    <w:rsid w:val="006B1CE8"/>
    <w:rsid w:val="006B1E51"/>
    <w:rsid w:val="006B2007"/>
    <w:rsid w:val="006B207F"/>
    <w:rsid w:val="006B21A4"/>
    <w:rsid w:val="006B2BCE"/>
    <w:rsid w:val="006B33FF"/>
    <w:rsid w:val="006B43E0"/>
    <w:rsid w:val="006B54E4"/>
    <w:rsid w:val="006B70E6"/>
    <w:rsid w:val="006B7DB4"/>
    <w:rsid w:val="006C00B3"/>
    <w:rsid w:val="006C145F"/>
    <w:rsid w:val="006C16F6"/>
    <w:rsid w:val="006C17DA"/>
    <w:rsid w:val="006C1B86"/>
    <w:rsid w:val="006C1F49"/>
    <w:rsid w:val="006C2303"/>
    <w:rsid w:val="006C278F"/>
    <w:rsid w:val="006C331F"/>
    <w:rsid w:val="006C4798"/>
    <w:rsid w:val="006C4CF9"/>
    <w:rsid w:val="006C5D9D"/>
    <w:rsid w:val="006C5E6F"/>
    <w:rsid w:val="006C77FA"/>
    <w:rsid w:val="006D028A"/>
    <w:rsid w:val="006D2296"/>
    <w:rsid w:val="006D23CC"/>
    <w:rsid w:val="006D3EF4"/>
    <w:rsid w:val="006D4421"/>
    <w:rsid w:val="006D4CDF"/>
    <w:rsid w:val="006D5363"/>
    <w:rsid w:val="006D552C"/>
    <w:rsid w:val="006D6AB7"/>
    <w:rsid w:val="006D75BE"/>
    <w:rsid w:val="006D7BBB"/>
    <w:rsid w:val="006E01A8"/>
    <w:rsid w:val="006E19E3"/>
    <w:rsid w:val="006E23D9"/>
    <w:rsid w:val="006E2482"/>
    <w:rsid w:val="006E24F2"/>
    <w:rsid w:val="006E2938"/>
    <w:rsid w:val="006E313C"/>
    <w:rsid w:val="006E3303"/>
    <w:rsid w:val="006E34E2"/>
    <w:rsid w:val="006E38A9"/>
    <w:rsid w:val="006E46B4"/>
    <w:rsid w:val="006E5380"/>
    <w:rsid w:val="006E6233"/>
    <w:rsid w:val="006E6319"/>
    <w:rsid w:val="006E6503"/>
    <w:rsid w:val="006E6AB4"/>
    <w:rsid w:val="006E6B1E"/>
    <w:rsid w:val="006E70CD"/>
    <w:rsid w:val="006E7202"/>
    <w:rsid w:val="006F063B"/>
    <w:rsid w:val="006F0760"/>
    <w:rsid w:val="006F113A"/>
    <w:rsid w:val="006F15FB"/>
    <w:rsid w:val="006F1881"/>
    <w:rsid w:val="006F23FE"/>
    <w:rsid w:val="006F432E"/>
    <w:rsid w:val="006F47B4"/>
    <w:rsid w:val="006F52C9"/>
    <w:rsid w:val="006F57D9"/>
    <w:rsid w:val="006F6893"/>
    <w:rsid w:val="006F692D"/>
    <w:rsid w:val="006F6A5E"/>
    <w:rsid w:val="006F7107"/>
    <w:rsid w:val="006F7B1E"/>
    <w:rsid w:val="006F7FEA"/>
    <w:rsid w:val="00700526"/>
    <w:rsid w:val="00701061"/>
    <w:rsid w:val="00702010"/>
    <w:rsid w:val="00702310"/>
    <w:rsid w:val="0070245A"/>
    <w:rsid w:val="007031BA"/>
    <w:rsid w:val="0070346C"/>
    <w:rsid w:val="00703ABC"/>
    <w:rsid w:val="00703B29"/>
    <w:rsid w:val="00703F0B"/>
    <w:rsid w:val="00704F0A"/>
    <w:rsid w:val="00705AFE"/>
    <w:rsid w:val="00705F58"/>
    <w:rsid w:val="007060D0"/>
    <w:rsid w:val="007064D7"/>
    <w:rsid w:val="007072C0"/>
    <w:rsid w:val="00710207"/>
    <w:rsid w:val="007109F2"/>
    <w:rsid w:val="00710A84"/>
    <w:rsid w:val="007110BC"/>
    <w:rsid w:val="0071157E"/>
    <w:rsid w:val="00711D1C"/>
    <w:rsid w:val="0071256A"/>
    <w:rsid w:val="007129EA"/>
    <w:rsid w:val="00712B8F"/>
    <w:rsid w:val="00714671"/>
    <w:rsid w:val="00714996"/>
    <w:rsid w:val="0071506E"/>
    <w:rsid w:val="007159BB"/>
    <w:rsid w:val="00715F93"/>
    <w:rsid w:val="0071665D"/>
    <w:rsid w:val="007172E6"/>
    <w:rsid w:val="00717BF4"/>
    <w:rsid w:val="007207EF"/>
    <w:rsid w:val="00720E67"/>
    <w:rsid w:val="00723725"/>
    <w:rsid w:val="0072496E"/>
    <w:rsid w:val="00724B0D"/>
    <w:rsid w:val="00724B7F"/>
    <w:rsid w:val="00724D43"/>
    <w:rsid w:val="00725B80"/>
    <w:rsid w:val="007264A9"/>
    <w:rsid w:val="00726C30"/>
    <w:rsid w:val="00726E3F"/>
    <w:rsid w:val="00727555"/>
    <w:rsid w:val="0072775A"/>
    <w:rsid w:val="007308B0"/>
    <w:rsid w:val="00731844"/>
    <w:rsid w:val="00732838"/>
    <w:rsid w:val="007328B8"/>
    <w:rsid w:val="00733119"/>
    <w:rsid w:val="00734025"/>
    <w:rsid w:val="007352B4"/>
    <w:rsid w:val="00736425"/>
    <w:rsid w:val="00736CB5"/>
    <w:rsid w:val="007372D9"/>
    <w:rsid w:val="0074091C"/>
    <w:rsid w:val="00740B01"/>
    <w:rsid w:val="00740BA1"/>
    <w:rsid w:val="00743215"/>
    <w:rsid w:val="00744F26"/>
    <w:rsid w:val="00745D9D"/>
    <w:rsid w:val="007468CD"/>
    <w:rsid w:val="00746A94"/>
    <w:rsid w:val="00746F21"/>
    <w:rsid w:val="0074754A"/>
    <w:rsid w:val="00747850"/>
    <w:rsid w:val="00750E62"/>
    <w:rsid w:val="007515AB"/>
    <w:rsid w:val="00751751"/>
    <w:rsid w:val="00752429"/>
    <w:rsid w:val="00752627"/>
    <w:rsid w:val="00752FD5"/>
    <w:rsid w:val="007533CC"/>
    <w:rsid w:val="00753494"/>
    <w:rsid w:val="00754A4C"/>
    <w:rsid w:val="00754FB8"/>
    <w:rsid w:val="00755051"/>
    <w:rsid w:val="0075527D"/>
    <w:rsid w:val="007552FB"/>
    <w:rsid w:val="00755ABC"/>
    <w:rsid w:val="00757808"/>
    <w:rsid w:val="00757B7A"/>
    <w:rsid w:val="007608BC"/>
    <w:rsid w:val="007612A8"/>
    <w:rsid w:val="0076162B"/>
    <w:rsid w:val="0076200A"/>
    <w:rsid w:val="00762253"/>
    <w:rsid w:val="00762E36"/>
    <w:rsid w:val="007649FE"/>
    <w:rsid w:val="00765CBA"/>
    <w:rsid w:val="00765E15"/>
    <w:rsid w:val="00766670"/>
    <w:rsid w:val="00766B93"/>
    <w:rsid w:val="00770B20"/>
    <w:rsid w:val="00770C9F"/>
    <w:rsid w:val="00771A82"/>
    <w:rsid w:val="00772C7E"/>
    <w:rsid w:val="00773298"/>
    <w:rsid w:val="007738DE"/>
    <w:rsid w:val="00773D26"/>
    <w:rsid w:val="00774E97"/>
    <w:rsid w:val="00775EE4"/>
    <w:rsid w:val="0077642C"/>
    <w:rsid w:val="007764F1"/>
    <w:rsid w:val="00776916"/>
    <w:rsid w:val="00776D3C"/>
    <w:rsid w:val="00780E38"/>
    <w:rsid w:val="00780F48"/>
    <w:rsid w:val="00780FF9"/>
    <w:rsid w:val="00781042"/>
    <w:rsid w:val="0078151A"/>
    <w:rsid w:val="00781836"/>
    <w:rsid w:val="00781C9D"/>
    <w:rsid w:val="0078212D"/>
    <w:rsid w:val="007822D8"/>
    <w:rsid w:val="00782385"/>
    <w:rsid w:val="00783B2A"/>
    <w:rsid w:val="00784295"/>
    <w:rsid w:val="00784BA8"/>
    <w:rsid w:val="0078581A"/>
    <w:rsid w:val="0078606B"/>
    <w:rsid w:val="00786BF2"/>
    <w:rsid w:val="00786DD0"/>
    <w:rsid w:val="007872F4"/>
    <w:rsid w:val="0078732B"/>
    <w:rsid w:val="00787DEA"/>
    <w:rsid w:val="007903FA"/>
    <w:rsid w:val="007921EE"/>
    <w:rsid w:val="00792C1F"/>
    <w:rsid w:val="00793455"/>
    <w:rsid w:val="007937B4"/>
    <w:rsid w:val="00793A13"/>
    <w:rsid w:val="00794188"/>
    <w:rsid w:val="007943E3"/>
    <w:rsid w:val="00794DA6"/>
    <w:rsid w:val="007953A0"/>
    <w:rsid w:val="007954E8"/>
    <w:rsid w:val="00795ADB"/>
    <w:rsid w:val="0079603D"/>
    <w:rsid w:val="00796337"/>
    <w:rsid w:val="00796AAA"/>
    <w:rsid w:val="007972B7"/>
    <w:rsid w:val="007972E5"/>
    <w:rsid w:val="007977E7"/>
    <w:rsid w:val="007A0147"/>
    <w:rsid w:val="007A018D"/>
    <w:rsid w:val="007A01C8"/>
    <w:rsid w:val="007A0362"/>
    <w:rsid w:val="007A04FB"/>
    <w:rsid w:val="007A0861"/>
    <w:rsid w:val="007A0D4A"/>
    <w:rsid w:val="007A1841"/>
    <w:rsid w:val="007A2F6B"/>
    <w:rsid w:val="007A50AA"/>
    <w:rsid w:val="007A5868"/>
    <w:rsid w:val="007A5A40"/>
    <w:rsid w:val="007A6589"/>
    <w:rsid w:val="007A6902"/>
    <w:rsid w:val="007A7244"/>
    <w:rsid w:val="007B0D9B"/>
    <w:rsid w:val="007B1F02"/>
    <w:rsid w:val="007B203B"/>
    <w:rsid w:val="007B247A"/>
    <w:rsid w:val="007B268A"/>
    <w:rsid w:val="007B3940"/>
    <w:rsid w:val="007B3AC1"/>
    <w:rsid w:val="007B3C9A"/>
    <w:rsid w:val="007B3EE7"/>
    <w:rsid w:val="007B47FC"/>
    <w:rsid w:val="007B4BF3"/>
    <w:rsid w:val="007B4C0D"/>
    <w:rsid w:val="007B4E88"/>
    <w:rsid w:val="007B5BE0"/>
    <w:rsid w:val="007B67D7"/>
    <w:rsid w:val="007B753D"/>
    <w:rsid w:val="007B7892"/>
    <w:rsid w:val="007B793F"/>
    <w:rsid w:val="007B7D65"/>
    <w:rsid w:val="007B7DC0"/>
    <w:rsid w:val="007C01F5"/>
    <w:rsid w:val="007C0C04"/>
    <w:rsid w:val="007C1901"/>
    <w:rsid w:val="007C1BF9"/>
    <w:rsid w:val="007C232C"/>
    <w:rsid w:val="007C26DB"/>
    <w:rsid w:val="007C3694"/>
    <w:rsid w:val="007C5412"/>
    <w:rsid w:val="007C68AE"/>
    <w:rsid w:val="007C7745"/>
    <w:rsid w:val="007D03AF"/>
    <w:rsid w:val="007D0CAD"/>
    <w:rsid w:val="007D1231"/>
    <w:rsid w:val="007D15C6"/>
    <w:rsid w:val="007D189B"/>
    <w:rsid w:val="007D2F11"/>
    <w:rsid w:val="007D32CA"/>
    <w:rsid w:val="007D36B7"/>
    <w:rsid w:val="007D390F"/>
    <w:rsid w:val="007D3E5F"/>
    <w:rsid w:val="007D50CE"/>
    <w:rsid w:val="007D60D2"/>
    <w:rsid w:val="007D663B"/>
    <w:rsid w:val="007D7B8C"/>
    <w:rsid w:val="007D7CEA"/>
    <w:rsid w:val="007E106A"/>
    <w:rsid w:val="007E116F"/>
    <w:rsid w:val="007E167C"/>
    <w:rsid w:val="007E20C9"/>
    <w:rsid w:val="007E247B"/>
    <w:rsid w:val="007E38F5"/>
    <w:rsid w:val="007E5FAE"/>
    <w:rsid w:val="007E7697"/>
    <w:rsid w:val="007E77D3"/>
    <w:rsid w:val="007E7DFC"/>
    <w:rsid w:val="007E7F23"/>
    <w:rsid w:val="007F04CF"/>
    <w:rsid w:val="007F13EC"/>
    <w:rsid w:val="007F1806"/>
    <w:rsid w:val="007F1E66"/>
    <w:rsid w:val="007F1FB4"/>
    <w:rsid w:val="007F2549"/>
    <w:rsid w:val="007F2CE8"/>
    <w:rsid w:val="007F38F8"/>
    <w:rsid w:val="007F38F9"/>
    <w:rsid w:val="007F3AA4"/>
    <w:rsid w:val="007F3C96"/>
    <w:rsid w:val="007F5282"/>
    <w:rsid w:val="007F5887"/>
    <w:rsid w:val="007F62F7"/>
    <w:rsid w:val="007F6478"/>
    <w:rsid w:val="007F6C9F"/>
    <w:rsid w:val="007F7EF4"/>
    <w:rsid w:val="008009BF"/>
    <w:rsid w:val="008011CC"/>
    <w:rsid w:val="00801802"/>
    <w:rsid w:val="00801AB7"/>
    <w:rsid w:val="008027C8"/>
    <w:rsid w:val="00802A64"/>
    <w:rsid w:val="00802A9F"/>
    <w:rsid w:val="00802ABA"/>
    <w:rsid w:val="00802B54"/>
    <w:rsid w:val="008035B2"/>
    <w:rsid w:val="00805B60"/>
    <w:rsid w:val="00805F73"/>
    <w:rsid w:val="008061C0"/>
    <w:rsid w:val="008066E2"/>
    <w:rsid w:val="0080698C"/>
    <w:rsid w:val="00806C9F"/>
    <w:rsid w:val="00811074"/>
    <w:rsid w:val="008117C3"/>
    <w:rsid w:val="00811C60"/>
    <w:rsid w:val="00811D43"/>
    <w:rsid w:val="00813E5A"/>
    <w:rsid w:val="00813E87"/>
    <w:rsid w:val="008142B3"/>
    <w:rsid w:val="00814782"/>
    <w:rsid w:val="00814EDC"/>
    <w:rsid w:val="008158AD"/>
    <w:rsid w:val="00815ADC"/>
    <w:rsid w:val="008170E4"/>
    <w:rsid w:val="008172E4"/>
    <w:rsid w:val="0081772A"/>
    <w:rsid w:val="008178D3"/>
    <w:rsid w:val="00817ACC"/>
    <w:rsid w:val="00820751"/>
    <w:rsid w:val="008209E2"/>
    <w:rsid w:val="00821313"/>
    <w:rsid w:val="00821967"/>
    <w:rsid w:val="0082206F"/>
    <w:rsid w:val="0082251C"/>
    <w:rsid w:val="008229F8"/>
    <w:rsid w:val="00822A58"/>
    <w:rsid w:val="008235B7"/>
    <w:rsid w:val="0082386B"/>
    <w:rsid w:val="00824197"/>
    <w:rsid w:val="00824AF0"/>
    <w:rsid w:val="00824CDD"/>
    <w:rsid w:val="00824F5D"/>
    <w:rsid w:val="00824F7E"/>
    <w:rsid w:val="0082565F"/>
    <w:rsid w:val="00825B35"/>
    <w:rsid w:val="00825C59"/>
    <w:rsid w:val="00825D33"/>
    <w:rsid w:val="008261D3"/>
    <w:rsid w:val="00826FA9"/>
    <w:rsid w:val="008271A5"/>
    <w:rsid w:val="008300D9"/>
    <w:rsid w:val="00830FBF"/>
    <w:rsid w:val="00831077"/>
    <w:rsid w:val="0083166E"/>
    <w:rsid w:val="00832827"/>
    <w:rsid w:val="00832A05"/>
    <w:rsid w:val="00832CEC"/>
    <w:rsid w:val="00833692"/>
    <w:rsid w:val="008343D7"/>
    <w:rsid w:val="00834CC1"/>
    <w:rsid w:val="00834D11"/>
    <w:rsid w:val="00834D43"/>
    <w:rsid w:val="00835432"/>
    <w:rsid w:val="00835CC1"/>
    <w:rsid w:val="0083639A"/>
    <w:rsid w:val="00837140"/>
    <w:rsid w:val="0083784D"/>
    <w:rsid w:val="00837AEF"/>
    <w:rsid w:val="00840E95"/>
    <w:rsid w:val="008417E4"/>
    <w:rsid w:val="00841B26"/>
    <w:rsid w:val="00842185"/>
    <w:rsid w:val="00842571"/>
    <w:rsid w:val="008427CA"/>
    <w:rsid w:val="00843358"/>
    <w:rsid w:val="00843DD7"/>
    <w:rsid w:val="00844C13"/>
    <w:rsid w:val="00844C2C"/>
    <w:rsid w:val="00844C55"/>
    <w:rsid w:val="00847792"/>
    <w:rsid w:val="008477B1"/>
    <w:rsid w:val="008478F5"/>
    <w:rsid w:val="0084792E"/>
    <w:rsid w:val="00847AD5"/>
    <w:rsid w:val="00850ABA"/>
    <w:rsid w:val="00850CC5"/>
    <w:rsid w:val="00851164"/>
    <w:rsid w:val="008515D2"/>
    <w:rsid w:val="00851CED"/>
    <w:rsid w:val="0085229B"/>
    <w:rsid w:val="00852439"/>
    <w:rsid w:val="00852D57"/>
    <w:rsid w:val="008530FF"/>
    <w:rsid w:val="00853334"/>
    <w:rsid w:val="00853629"/>
    <w:rsid w:val="008537C9"/>
    <w:rsid w:val="00854AE3"/>
    <w:rsid w:val="00855BD5"/>
    <w:rsid w:val="00855FE0"/>
    <w:rsid w:val="00856447"/>
    <w:rsid w:val="008569FC"/>
    <w:rsid w:val="00857B44"/>
    <w:rsid w:val="00860786"/>
    <w:rsid w:val="008609BC"/>
    <w:rsid w:val="008611DD"/>
    <w:rsid w:val="00861700"/>
    <w:rsid w:val="00862BF4"/>
    <w:rsid w:val="008637F3"/>
    <w:rsid w:val="00863DBD"/>
    <w:rsid w:val="00863E7D"/>
    <w:rsid w:val="0086405F"/>
    <w:rsid w:val="0086430E"/>
    <w:rsid w:val="0086448D"/>
    <w:rsid w:val="0086491A"/>
    <w:rsid w:val="00864EA5"/>
    <w:rsid w:val="00864EED"/>
    <w:rsid w:val="008650E4"/>
    <w:rsid w:val="0086604E"/>
    <w:rsid w:val="008660FB"/>
    <w:rsid w:val="00866192"/>
    <w:rsid w:val="00866402"/>
    <w:rsid w:val="008666A3"/>
    <w:rsid w:val="00866DF5"/>
    <w:rsid w:val="00866F5B"/>
    <w:rsid w:val="00870E65"/>
    <w:rsid w:val="00871967"/>
    <w:rsid w:val="008719AE"/>
    <w:rsid w:val="00871B73"/>
    <w:rsid w:val="00871DCA"/>
    <w:rsid w:val="0087326A"/>
    <w:rsid w:val="008732DA"/>
    <w:rsid w:val="008738E5"/>
    <w:rsid w:val="00873FCC"/>
    <w:rsid w:val="008741D8"/>
    <w:rsid w:val="00874F90"/>
    <w:rsid w:val="008754ED"/>
    <w:rsid w:val="00876773"/>
    <w:rsid w:val="00876C14"/>
    <w:rsid w:val="00880291"/>
    <w:rsid w:val="008807EB"/>
    <w:rsid w:val="008840DA"/>
    <w:rsid w:val="00884553"/>
    <w:rsid w:val="008847FB"/>
    <w:rsid w:val="00884933"/>
    <w:rsid w:val="00885DE0"/>
    <w:rsid w:val="008865DF"/>
    <w:rsid w:val="00886CEB"/>
    <w:rsid w:val="00886E52"/>
    <w:rsid w:val="0088704B"/>
    <w:rsid w:val="00887182"/>
    <w:rsid w:val="008873A3"/>
    <w:rsid w:val="008875C4"/>
    <w:rsid w:val="008876C5"/>
    <w:rsid w:val="00887AD0"/>
    <w:rsid w:val="00887B47"/>
    <w:rsid w:val="00887E23"/>
    <w:rsid w:val="00890339"/>
    <w:rsid w:val="0089089B"/>
    <w:rsid w:val="00890F8B"/>
    <w:rsid w:val="0089114B"/>
    <w:rsid w:val="008917A4"/>
    <w:rsid w:val="00893EC0"/>
    <w:rsid w:val="00894A69"/>
    <w:rsid w:val="00894B59"/>
    <w:rsid w:val="00895F95"/>
    <w:rsid w:val="008962C2"/>
    <w:rsid w:val="00896588"/>
    <w:rsid w:val="008968DA"/>
    <w:rsid w:val="008968F9"/>
    <w:rsid w:val="00897A76"/>
    <w:rsid w:val="00897C42"/>
    <w:rsid w:val="008A07E5"/>
    <w:rsid w:val="008A0D7B"/>
    <w:rsid w:val="008A0ED2"/>
    <w:rsid w:val="008A0EE5"/>
    <w:rsid w:val="008A1C99"/>
    <w:rsid w:val="008A26F7"/>
    <w:rsid w:val="008A2C72"/>
    <w:rsid w:val="008A3C4A"/>
    <w:rsid w:val="008A4FF0"/>
    <w:rsid w:val="008A535A"/>
    <w:rsid w:val="008A58FA"/>
    <w:rsid w:val="008A5E4C"/>
    <w:rsid w:val="008A7AF5"/>
    <w:rsid w:val="008B073A"/>
    <w:rsid w:val="008B18AE"/>
    <w:rsid w:val="008B1ACD"/>
    <w:rsid w:val="008B2293"/>
    <w:rsid w:val="008B2859"/>
    <w:rsid w:val="008B2C07"/>
    <w:rsid w:val="008B2D2C"/>
    <w:rsid w:val="008B3AED"/>
    <w:rsid w:val="008B4EC4"/>
    <w:rsid w:val="008B57C8"/>
    <w:rsid w:val="008B62F5"/>
    <w:rsid w:val="008B64DD"/>
    <w:rsid w:val="008B6E66"/>
    <w:rsid w:val="008B6EF2"/>
    <w:rsid w:val="008B7268"/>
    <w:rsid w:val="008B77EA"/>
    <w:rsid w:val="008C04F7"/>
    <w:rsid w:val="008C0D5B"/>
    <w:rsid w:val="008C0E7C"/>
    <w:rsid w:val="008C1DF7"/>
    <w:rsid w:val="008C21AF"/>
    <w:rsid w:val="008C23BA"/>
    <w:rsid w:val="008C2C45"/>
    <w:rsid w:val="008C357C"/>
    <w:rsid w:val="008C4254"/>
    <w:rsid w:val="008C47A4"/>
    <w:rsid w:val="008C4995"/>
    <w:rsid w:val="008C4ADE"/>
    <w:rsid w:val="008C4AF6"/>
    <w:rsid w:val="008C4D16"/>
    <w:rsid w:val="008C51DA"/>
    <w:rsid w:val="008C5397"/>
    <w:rsid w:val="008C62E5"/>
    <w:rsid w:val="008C656A"/>
    <w:rsid w:val="008C65C1"/>
    <w:rsid w:val="008C76CD"/>
    <w:rsid w:val="008C773F"/>
    <w:rsid w:val="008C7A7A"/>
    <w:rsid w:val="008D01AC"/>
    <w:rsid w:val="008D0427"/>
    <w:rsid w:val="008D09DE"/>
    <w:rsid w:val="008D104B"/>
    <w:rsid w:val="008D1363"/>
    <w:rsid w:val="008D1A4F"/>
    <w:rsid w:val="008D1A77"/>
    <w:rsid w:val="008D2B6E"/>
    <w:rsid w:val="008D313F"/>
    <w:rsid w:val="008D3533"/>
    <w:rsid w:val="008D4099"/>
    <w:rsid w:val="008D4E62"/>
    <w:rsid w:val="008D5A17"/>
    <w:rsid w:val="008D6483"/>
    <w:rsid w:val="008D66B5"/>
    <w:rsid w:val="008D6D2C"/>
    <w:rsid w:val="008D6FE9"/>
    <w:rsid w:val="008D731F"/>
    <w:rsid w:val="008D7504"/>
    <w:rsid w:val="008D7B03"/>
    <w:rsid w:val="008D7B80"/>
    <w:rsid w:val="008D7CA2"/>
    <w:rsid w:val="008D7D32"/>
    <w:rsid w:val="008E01B5"/>
    <w:rsid w:val="008E0653"/>
    <w:rsid w:val="008E09F7"/>
    <w:rsid w:val="008E0A85"/>
    <w:rsid w:val="008E20C0"/>
    <w:rsid w:val="008E222E"/>
    <w:rsid w:val="008E5A7F"/>
    <w:rsid w:val="008E5BA9"/>
    <w:rsid w:val="008E6603"/>
    <w:rsid w:val="008E69D4"/>
    <w:rsid w:val="008E6FC1"/>
    <w:rsid w:val="008E747B"/>
    <w:rsid w:val="008E7657"/>
    <w:rsid w:val="008E7D7A"/>
    <w:rsid w:val="008F0699"/>
    <w:rsid w:val="008F1499"/>
    <w:rsid w:val="008F1A5E"/>
    <w:rsid w:val="008F21FE"/>
    <w:rsid w:val="008F235C"/>
    <w:rsid w:val="008F25F9"/>
    <w:rsid w:val="008F282C"/>
    <w:rsid w:val="008F2B51"/>
    <w:rsid w:val="008F30B9"/>
    <w:rsid w:val="008F397C"/>
    <w:rsid w:val="008F4B24"/>
    <w:rsid w:val="008F5917"/>
    <w:rsid w:val="008F5F44"/>
    <w:rsid w:val="008F61CD"/>
    <w:rsid w:val="008F667B"/>
    <w:rsid w:val="00900971"/>
    <w:rsid w:val="0090300F"/>
    <w:rsid w:val="00904419"/>
    <w:rsid w:val="00904714"/>
    <w:rsid w:val="00904CF4"/>
    <w:rsid w:val="0090520D"/>
    <w:rsid w:val="00905263"/>
    <w:rsid w:val="0090527E"/>
    <w:rsid w:val="009053CE"/>
    <w:rsid w:val="00905D08"/>
    <w:rsid w:val="00905EB8"/>
    <w:rsid w:val="009061AB"/>
    <w:rsid w:val="00906473"/>
    <w:rsid w:val="00906DF2"/>
    <w:rsid w:val="009071BF"/>
    <w:rsid w:val="009072EB"/>
    <w:rsid w:val="00907E9C"/>
    <w:rsid w:val="0091003E"/>
    <w:rsid w:val="00910C01"/>
    <w:rsid w:val="00910EEB"/>
    <w:rsid w:val="00911093"/>
    <w:rsid w:val="00911166"/>
    <w:rsid w:val="00911D54"/>
    <w:rsid w:val="00912AF1"/>
    <w:rsid w:val="009139DB"/>
    <w:rsid w:val="009142D8"/>
    <w:rsid w:val="009148C6"/>
    <w:rsid w:val="0091498F"/>
    <w:rsid w:val="009156A2"/>
    <w:rsid w:val="00915A83"/>
    <w:rsid w:val="00916324"/>
    <w:rsid w:val="009206C9"/>
    <w:rsid w:val="009207C1"/>
    <w:rsid w:val="00920FDB"/>
    <w:rsid w:val="00921471"/>
    <w:rsid w:val="009214E1"/>
    <w:rsid w:val="00921E3B"/>
    <w:rsid w:val="009228F3"/>
    <w:rsid w:val="00922A44"/>
    <w:rsid w:val="0092331B"/>
    <w:rsid w:val="00923BCF"/>
    <w:rsid w:val="00925250"/>
    <w:rsid w:val="00925F63"/>
    <w:rsid w:val="00925FE7"/>
    <w:rsid w:val="00926576"/>
    <w:rsid w:val="009273D7"/>
    <w:rsid w:val="009305E1"/>
    <w:rsid w:val="00931153"/>
    <w:rsid w:val="00931E0C"/>
    <w:rsid w:val="00931F19"/>
    <w:rsid w:val="009321AC"/>
    <w:rsid w:val="00932C29"/>
    <w:rsid w:val="00933C92"/>
    <w:rsid w:val="009344A3"/>
    <w:rsid w:val="00934732"/>
    <w:rsid w:val="00934EAB"/>
    <w:rsid w:val="00936D4B"/>
    <w:rsid w:val="00936D94"/>
    <w:rsid w:val="009371A8"/>
    <w:rsid w:val="00937440"/>
    <w:rsid w:val="00940104"/>
    <w:rsid w:val="00940440"/>
    <w:rsid w:val="00940B16"/>
    <w:rsid w:val="009412AA"/>
    <w:rsid w:val="0094158A"/>
    <w:rsid w:val="009421EF"/>
    <w:rsid w:val="009428F9"/>
    <w:rsid w:val="00942DFD"/>
    <w:rsid w:val="00942FA5"/>
    <w:rsid w:val="00943788"/>
    <w:rsid w:val="009438D9"/>
    <w:rsid w:val="0094486C"/>
    <w:rsid w:val="009452C6"/>
    <w:rsid w:val="00945BBC"/>
    <w:rsid w:val="00945FD9"/>
    <w:rsid w:val="009463F9"/>
    <w:rsid w:val="009465E7"/>
    <w:rsid w:val="009468CE"/>
    <w:rsid w:val="00946C27"/>
    <w:rsid w:val="00947A50"/>
    <w:rsid w:val="00947B69"/>
    <w:rsid w:val="00947BDA"/>
    <w:rsid w:val="0095288E"/>
    <w:rsid w:val="009531AA"/>
    <w:rsid w:val="009531B1"/>
    <w:rsid w:val="00953830"/>
    <w:rsid w:val="0095408B"/>
    <w:rsid w:val="00954181"/>
    <w:rsid w:val="009543CD"/>
    <w:rsid w:val="00954938"/>
    <w:rsid w:val="0095555E"/>
    <w:rsid w:val="00955906"/>
    <w:rsid w:val="009563A9"/>
    <w:rsid w:val="00956986"/>
    <w:rsid w:val="00956A57"/>
    <w:rsid w:val="00956DD8"/>
    <w:rsid w:val="00957109"/>
    <w:rsid w:val="009572D9"/>
    <w:rsid w:val="009572E7"/>
    <w:rsid w:val="00957416"/>
    <w:rsid w:val="0096103E"/>
    <w:rsid w:val="009614D1"/>
    <w:rsid w:val="009614FC"/>
    <w:rsid w:val="00961D94"/>
    <w:rsid w:val="009627A3"/>
    <w:rsid w:val="009627D3"/>
    <w:rsid w:val="009632E8"/>
    <w:rsid w:val="009648C2"/>
    <w:rsid w:val="009649EB"/>
    <w:rsid w:val="00964F6C"/>
    <w:rsid w:val="0096507A"/>
    <w:rsid w:val="00965387"/>
    <w:rsid w:val="00965E81"/>
    <w:rsid w:val="0096651B"/>
    <w:rsid w:val="0096692C"/>
    <w:rsid w:val="00967923"/>
    <w:rsid w:val="00967FD9"/>
    <w:rsid w:val="00970DE0"/>
    <w:rsid w:val="00971357"/>
    <w:rsid w:val="00971802"/>
    <w:rsid w:val="009719CE"/>
    <w:rsid w:val="00971EC8"/>
    <w:rsid w:val="00972E25"/>
    <w:rsid w:val="00973358"/>
    <w:rsid w:val="00973750"/>
    <w:rsid w:val="009746D3"/>
    <w:rsid w:val="0097510E"/>
    <w:rsid w:val="00975C68"/>
    <w:rsid w:val="0097615A"/>
    <w:rsid w:val="0097662A"/>
    <w:rsid w:val="00976EB2"/>
    <w:rsid w:val="009773E8"/>
    <w:rsid w:val="009809C6"/>
    <w:rsid w:val="00980FFD"/>
    <w:rsid w:val="00981592"/>
    <w:rsid w:val="00981C7E"/>
    <w:rsid w:val="00982AA6"/>
    <w:rsid w:val="0098362A"/>
    <w:rsid w:val="009845D8"/>
    <w:rsid w:val="00984E03"/>
    <w:rsid w:val="00984FFD"/>
    <w:rsid w:val="009856C1"/>
    <w:rsid w:val="009867AE"/>
    <w:rsid w:val="00986822"/>
    <w:rsid w:val="00986ABA"/>
    <w:rsid w:val="00987B54"/>
    <w:rsid w:val="009900F3"/>
    <w:rsid w:val="00990B56"/>
    <w:rsid w:val="0099116D"/>
    <w:rsid w:val="0099193A"/>
    <w:rsid w:val="00991940"/>
    <w:rsid w:val="00991A75"/>
    <w:rsid w:val="00992270"/>
    <w:rsid w:val="00992B28"/>
    <w:rsid w:val="0099359B"/>
    <w:rsid w:val="00993C31"/>
    <w:rsid w:val="00994AFE"/>
    <w:rsid w:val="00995D4B"/>
    <w:rsid w:val="00995DF7"/>
    <w:rsid w:val="009967DF"/>
    <w:rsid w:val="00996D3F"/>
    <w:rsid w:val="00997311"/>
    <w:rsid w:val="00997409"/>
    <w:rsid w:val="0099789F"/>
    <w:rsid w:val="00997960"/>
    <w:rsid w:val="00997E84"/>
    <w:rsid w:val="00997FC8"/>
    <w:rsid w:val="009A0539"/>
    <w:rsid w:val="009A05A2"/>
    <w:rsid w:val="009A0BB9"/>
    <w:rsid w:val="009A0CE7"/>
    <w:rsid w:val="009A11AE"/>
    <w:rsid w:val="009A16FF"/>
    <w:rsid w:val="009A23F7"/>
    <w:rsid w:val="009A2BA0"/>
    <w:rsid w:val="009A33C6"/>
    <w:rsid w:val="009A36E0"/>
    <w:rsid w:val="009A376C"/>
    <w:rsid w:val="009A3BBE"/>
    <w:rsid w:val="009A6885"/>
    <w:rsid w:val="009A6ABC"/>
    <w:rsid w:val="009A7730"/>
    <w:rsid w:val="009A777A"/>
    <w:rsid w:val="009B02F9"/>
    <w:rsid w:val="009B04BC"/>
    <w:rsid w:val="009B0F57"/>
    <w:rsid w:val="009B1D81"/>
    <w:rsid w:val="009B2019"/>
    <w:rsid w:val="009B279D"/>
    <w:rsid w:val="009B27D3"/>
    <w:rsid w:val="009B287F"/>
    <w:rsid w:val="009B300F"/>
    <w:rsid w:val="009B331A"/>
    <w:rsid w:val="009B34D7"/>
    <w:rsid w:val="009B3568"/>
    <w:rsid w:val="009B356E"/>
    <w:rsid w:val="009B35E5"/>
    <w:rsid w:val="009B39ED"/>
    <w:rsid w:val="009B3A30"/>
    <w:rsid w:val="009B4C2D"/>
    <w:rsid w:val="009B5101"/>
    <w:rsid w:val="009B516B"/>
    <w:rsid w:val="009B5448"/>
    <w:rsid w:val="009B6771"/>
    <w:rsid w:val="009B725A"/>
    <w:rsid w:val="009C03B7"/>
    <w:rsid w:val="009C0A15"/>
    <w:rsid w:val="009C102E"/>
    <w:rsid w:val="009C1477"/>
    <w:rsid w:val="009C1497"/>
    <w:rsid w:val="009C2D88"/>
    <w:rsid w:val="009C350C"/>
    <w:rsid w:val="009C3620"/>
    <w:rsid w:val="009C4A49"/>
    <w:rsid w:val="009C4D01"/>
    <w:rsid w:val="009C4F97"/>
    <w:rsid w:val="009C51B2"/>
    <w:rsid w:val="009C5A2F"/>
    <w:rsid w:val="009C5E0D"/>
    <w:rsid w:val="009C6396"/>
    <w:rsid w:val="009C6CF3"/>
    <w:rsid w:val="009C7CC7"/>
    <w:rsid w:val="009D0034"/>
    <w:rsid w:val="009D00DC"/>
    <w:rsid w:val="009D04E4"/>
    <w:rsid w:val="009D1123"/>
    <w:rsid w:val="009D2054"/>
    <w:rsid w:val="009D2853"/>
    <w:rsid w:val="009D2A9E"/>
    <w:rsid w:val="009D33F3"/>
    <w:rsid w:val="009D405F"/>
    <w:rsid w:val="009D42E1"/>
    <w:rsid w:val="009D47BF"/>
    <w:rsid w:val="009D54B8"/>
    <w:rsid w:val="009D5907"/>
    <w:rsid w:val="009D5BA5"/>
    <w:rsid w:val="009D6AD9"/>
    <w:rsid w:val="009D7396"/>
    <w:rsid w:val="009D7A40"/>
    <w:rsid w:val="009D7EB4"/>
    <w:rsid w:val="009E0A55"/>
    <w:rsid w:val="009E129B"/>
    <w:rsid w:val="009E12C2"/>
    <w:rsid w:val="009E2988"/>
    <w:rsid w:val="009E2EC0"/>
    <w:rsid w:val="009E4FE9"/>
    <w:rsid w:val="009E59DD"/>
    <w:rsid w:val="009E5BD7"/>
    <w:rsid w:val="009E69F0"/>
    <w:rsid w:val="009E7133"/>
    <w:rsid w:val="009E763E"/>
    <w:rsid w:val="009E7ADE"/>
    <w:rsid w:val="009F0250"/>
    <w:rsid w:val="009F0428"/>
    <w:rsid w:val="009F07CE"/>
    <w:rsid w:val="009F0833"/>
    <w:rsid w:val="009F0A53"/>
    <w:rsid w:val="009F0C0E"/>
    <w:rsid w:val="009F1AB8"/>
    <w:rsid w:val="009F2A23"/>
    <w:rsid w:val="009F4944"/>
    <w:rsid w:val="009F534D"/>
    <w:rsid w:val="009F5B1F"/>
    <w:rsid w:val="009F5CB4"/>
    <w:rsid w:val="009F67DB"/>
    <w:rsid w:val="009F71B1"/>
    <w:rsid w:val="00A00512"/>
    <w:rsid w:val="00A0091F"/>
    <w:rsid w:val="00A00FF9"/>
    <w:rsid w:val="00A01393"/>
    <w:rsid w:val="00A0146E"/>
    <w:rsid w:val="00A01843"/>
    <w:rsid w:val="00A01A5E"/>
    <w:rsid w:val="00A02183"/>
    <w:rsid w:val="00A0227F"/>
    <w:rsid w:val="00A028C0"/>
    <w:rsid w:val="00A029D3"/>
    <w:rsid w:val="00A03270"/>
    <w:rsid w:val="00A03502"/>
    <w:rsid w:val="00A03F9F"/>
    <w:rsid w:val="00A04895"/>
    <w:rsid w:val="00A04BD7"/>
    <w:rsid w:val="00A04E4A"/>
    <w:rsid w:val="00A05849"/>
    <w:rsid w:val="00A05ADC"/>
    <w:rsid w:val="00A069EA"/>
    <w:rsid w:val="00A06EFC"/>
    <w:rsid w:val="00A075D8"/>
    <w:rsid w:val="00A07687"/>
    <w:rsid w:val="00A07833"/>
    <w:rsid w:val="00A106F9"/>
    <w:rsid w:val="00A10993"/>
    <w:rsid w:val="00A10FD0"/>
    <w:rsid w:val="00A11CB3"/>
    <w:rsid w:val="00A11EEA"/>
    <w:rsid w:val="00A1229F"/>
    <w:rsid w:val="00A12361"/>
    <w:rsid w:val="00A12CC3"/>
    <w:rsid w:val="00A12D81"/>
    <w:rsid w:val="00A1350F"/>
    <w:rsid w:val="00A13E52"/>
    <w:rsid w:val="00A1414A"/>
    <w:rsid w:val="00A16312"/>
    <w:rsid w:val="00A168CB"/>
    <w:rsid w:val="00A16A65"/>
    <w:rsid w:val="00A16E51"/>
    <w:rsid w:val="00A171E2"/>
    <w:rsid w:val="00A17A68"/>
    <w:rsid w:val="00A20D57"/>
    <w:rsid w:val="00A210CF"/>
    <w:rsid w:val="00A21754"/>
    <w:rsid w:val="00A228FC"/>
    <w:rsid w:val="00A22B08"/>
    <w:rsid w:val="00A22E2C"/>
    <w:rsid w:val="00A22F5B"/>
    <w:rsid w:val="00A23CCC"/>
    <w:rsid w:val="00A24809"/>
    <w:rsid w:val="00A2550D"/>
    <w:rsid w:val="00A25647"/>
    <w:rsid w:val="00A25776"/>
    <w:rsid w:val="00A25825"/>
    <w:rsid w:val="00A26BFF"/>
    <w:rsid w:val="00A270A6"/>
    <w:rsid w:val="00A277DB"/>
    <w:rsid w:val="00A30A39"/>
    <w:rsid w:val="00A30B10"/>
    <w:rsid w:val="00A310F1"/>
    <w:rsid w:val="00A32469"/>
    <w:rsid w:val="00A327F2"/>
    <w:rsid w:val="00A32D9C"/>
    <w:rsid w:val="00A333E7"/>
    <w:rsid w:val="00A33825"/>
    <w:rsid w:val="00A33A45"/>
    <w:rsid w:val="00A33C93"/>
    <w:rsid w:val="00A3489C"/>
    <w:rsid w:val="00A34C7B"/>
    <w:rsid w:val="00A3551F"/>
    <w:rsid w:val="00A35543"/>
    <w:rsid w:val="00A355AD"/>
    <w:rsid w:val="00A3564D"/>
    <w:rsid w:val="00A35964"/>
    <w:rsid w:val="00A35EF5"/>
    <w:rsid w:val="00A36082"/>
    <w:rsid w:val="00A36A46"/>
    <w:rsid w:val="00A37511"/>
    <w:rsid w:val="00A37C14"/>
    <w:rsid w:val="00A408A1"/>
    <w:rsid w:val="00A4096D"/>
    <w:rsid w:val="00A40CB4"/>
    <w:rsid w:val="00A4187F"/>
    <w:rsid w:val="00A41BB0"/>
    <w:rsid w:val="00A41D61"/>
    <w:rsid w:val="00A42F93"/>
    <w:rsid w:val="00A431BB"/>
    <w:rsid w:val="00A44005"/>
    <w:rsid w:val="00A44056"/>
    <w:rsid w:val="00A4550A"/>
    <w:rsid w:val="00A45ABE"/>
    <w:rsid w:val="00A463A7"/>
    <w:rsid w:val="00A46452"/>
    <w:rsid w:val="00A46E6F"/>
    <w:rsid w:val="00A47FC3"/>
    <w:rsid w:val="00A5120B"/>
    <w:rsid w:val="00A51794"/>
    <w:rsid w:val="00A518FD"/>
    <w:rsid w:val="00A51AAA"/>
    <w:rsid w:val="00A51FB3"/>
    <w:rsid w:val="00A51FF3"/>
    <w:rsid w:val="00A5232C"/>
    <w:rsid w:val="00A5280A"/>
    <w:rsid w:val="00A52E9D"/>
    <w:rsid w:val="00A52F9B"/>
    <w:rsid w:val="00A531F3"/>
    <w:rsid w:val="00A53D90"/>
    <w:rsid w:val="00A549EA"/>
    <w:rsid w:val="00A54CA0"/>
    <w:rsid w:val="00A554E3"/>
    <w:rsid w:val="00A55729"/>
    <w:rsid w:val="00A55789"/>
    <w:rsid w:val="00A55853"/>
    <w:rsid w:val="00A5611E"/>
    <w:rsid w:val="00A568EF"/>
    <w:rsid w:val="00A60AEF"/>
    <w:rsid w:val="00A611C2"/>
    <w:rsid w:val="00A612D9"/>
    <w:rsid w:val="00A61975"/>
    <w:rsid w:val="00A61AB1"/>
    <w:rsid w:val="00A62575"/>
    <w:rsid w:val="00A62B6A"/>
    <w:rsid w:val="00A6317A"/>
    <w:rsid w:val="00A63BAE"/>
    <w:rsid w:val="00A63C1A"/>
    <w:rsid w:val="00A63CF1"/>
    <w:rsid w:val="00A64156"/>
    <w:rsid w:val="00A6437F"/>
    <w:rsid w:val="00A64409"/>
    <w:rsid w:val="00A645D0"/>
    <w:rsid w:val="00A648C8"/>
    <w:rsid w:val="00A64DBE"/>
    <w:rsid w:val="00A65A71"/>
    <w:rsid w:val="00A65D95"/>
    <w:rsid w:val="00A65E19"/>
    <w:rsid w:val="00A660FD"/>
    <w:rsid w:val="00A663FE"/>
    <w:rsid w:val="00A665B8"/>
    <w:rsid w:val="00A668A6"/>
    <w:rsid w:val="00A66DDB"/>
    <w:rsid w:val="00A67020"/>
    <w:rsid w:val="00A729E8"/>
    <w:rsid w:val="00A73855"/>
    <w:rsid w:val="00A73D2D"/>
    <w:rsid w:val="00A73EEB"/>
    <w:rsid w:val="00A750BB"/>
    <w:rsid w:val="00A7679E"/>
    <w:rsid w:val="00A767D1"/>
    <w:rsid w:val="00A76B05"/>
    <w:rsid w:val="00A773D5"/>
    <w:rsid w:val="00A7749F"/>
    <w:rsid w:val="00A77E19"/>
    <w:rsid w:val="00A808A5"/>
    <w:rsid w:val="00A808E8"/>
    <w:rsid w:val="00A82726"/>
    <w:rsid w:val="00A82F84"/>
    <w:rsid w:val="00A831CB"/>
    <w:rsid w:val="00A83C73"/>
    <w:rsid w:val="00A83EB2"/>
    <w:rsid w:val="00A84026"/>
    <w:rsid w:val="00A84755"/>
    <w:rsid w:val="00A847FB"/>
    <w:rsid w:val="00A84D33"/>
    <w:rsid w:val="00A84E78"/>
    <w:rsid w:val="00A86B7F"/>
    <w:rsid w:val="00A86C18"/>
    <w:rsid w:val="00A876D8"/>
    <w:rsid w:val="00A908F3"/>
    <w:rsid w:val="00A9103B"/>
    <w:rsid w:val="00A91679"/>
    <w:rsid w:val="00A91700"/>
    <w:rsid w:val="00A918CB"/>
    <w:rsid w:val="00A921FC"/>
    <w:rsid w:val="00A92EEC"/>
    <w:rsid w:val="00A93640"/>
    <w:rsid w:val="00A93E00"/>
    <w:rsid w:val="00A94502"/>
    <w:rsid w:val="00A958B2"/>
    <w:rsid w:val="00A95F74"/>
    <w:rsid w:val="00A9616A"/>
    <w:rsid w:val="00A96276"/>
    <w:rsid w:val="00A96FCF"/>
    <w:rsid w:val="00A9734A"/>
    <w:rsid w:val="00A97AC7"/>
    <w:rsid w:val="00AA2C23"/>
    <w:rsid w:val="00AA31DD"/>
    <w:rsid w:val="00AA35C4"/>
    <w:rsid w:val="00AA389D"/>
    <w:rsid w:val="00AA3DE2"/>
    <w:rsid w:val="00AA3E06"/>
    <w:rsid w:val="00AA551A"/>
    <w:rsid w:val="00AA58CD"/>
    <w:rsid w:val="00AA5A53"/>
    <w:rsid w:val="00AA5EB1"/>
    <w:rsid w:val="00AA5F7B"/>
    <w:rsid w:val="00AA6AA1"/>
    <w:rsid w:val="00AA6C43"/>
    <w:rsid w:val="00AA6C88"/>
    <w:rsid w:val="00AB0033"/>
    <w:rsid w:val="00AB02C0"/>
    <w:rsid w:val="00AB15A1"/>
    <w:rsid w:val="00AB1ED8"/>
    <w:rsid w:val="00AB231E"/>
    <w:rsid w:val="00AB254E"/>
    <w:rsid w:val="00AB28FF"/>
    <w:rsid w:val="00AB2C09"/>
    <w:rsid w:val="00AB4152"/>
    <w:rsid w:val="00AB4683"/>
    <w:rsid w:val="00AB57FF"/>
    <w:rsid w:val="00AB63D3"/>
    <w:rsid w:val="00AB6A5F"/>
    <w:rsid w:val="00AB724B"/>
    <w:rsid w:val="00AB7605"/>
    <w:rsid w:val="00AB7B49"/>
    <w:rsid w:val="00AC04C7"/>
    <w:rsid w:val="00AC074E"/>
    <w:rsid w:val="00AC1A1C"/>
    <w:rsid w:val="00AC1BCF"/>
    <w:rsid w:val="00AC212B"/>
    <w:rsid w:val="00AC27D2"/>
    <w:rsid w:val="00AC281D"/>
    <w:rsid w:val="00AC28A1"/>
    <w:rsid w:val="00AC3583"/>
    <w:rsid w:val="00AC3977"/>
    <w:rsid w:val="00AC426B"/>
    <w:rsid w:val="00AC43DA"/>
    <w:rsid w:val="00AC43EA"/>
    <w:rsid w:val="00AC4884"/>
    <w:rsid w:val="00AC4946"/>
    <w:rsid w:val="00AC4F34"/>
    <w:rsid w:val="00AC58EA"/>
    <w:rsid w:val="00AC5972"/>
    <w:rsid w:val="00AC6C41"/>
    <w:rsid w:val="00AC7ABE"/>
    <w:rsid w:val="00AD0DE5"/>
    <w:rsid w:val="00AD107A"/>
    <w:rsid w:val="00AD1148"/>
    <w:rsid w:val="00AD1385"/>
    <w:rsid w:val="00AD198C"/>
    <w:rsid w:val="00AD1AED"/>
    <w:rsid w:val="00AD201D"/>
    <w:rsid w:val="00AD2588"/>
    <w:rsid w:val="00AD355E"/>
    <w:rsid w:val="00AD36CA"/>
    <w:rsid w:val="00AD3DB6"/>
    <w:rsid w:val="00AD4435"/>
    <w:rsid w:val="00AD4E14"/>
    <w:rsid w:val="00AD5447"/>
    <w:rsid w:val="00AD7C7F"/>
    <w:rsid w:val="00AE0029"/>
    <w:rsid w:val="00AE0BDE"/>
    <w:rsid w:val="00AE23E6"/>
    <w:rsid w:val="00AE2D10"/>
    <w:rsid w:val="00AE3161"/>
    <w:rsid w:val="00AE318E"/>
    <w:rsid w:val="00AE362D"/>
    <w:rsid w:val="00AE3752"/>
    <w:rsid w:val="00AE47D7"/>
    <w:rsid w:val="00AE51AC"/>
    <w:rsid w:val="00AE563A"/>
    <w:rsid w:val="00AE5B04"/>
    <w:rsid w:val="00AE5E71"/>
    <w:rsid w:val="00AE6305"/>
    <w:rsid w:val="00AE68FF"/>
    <w:rsid w:val="00AE6BB4"/>
    <w:rsid w:val="00AE73FA"/>
    <w:rsid w:val="00AE7C8C"/>
    <w:rsid w:val="00AE7F66"/>
    <w:rsid w:val="00AF0A38"/>
    <w:rsid w:val="00AF1A92"/>
    <w:rsid w:val="00AF1A96"/>
    <w:rsid w:val="00AF1DA4"/>
    <w:rsid w:val="00AF22DD"/>
    <w:rsid w:val="00AF250F"/>
    <w:rsid w:val="00AF29E7"/>
    <w:rsid w:val="00AF3ED8"/>
    <w:rsid w:val="00AF418A"/>
    <w:rsid w:val="00AF4337"/>
    <w:rsid w:val="00AF554A"/>
    <w:rsid w:val="00AF5C3F"/>
    <w:rsid w:val="00AF5F68"/>
    <w:rsid w:val="00AF69C1"/>
    <w:rsid w:val="00AF6F06"/>
    <w:rsid w:val="00AF7085"/>
    <w:rsid w:val="00AF75C7"/>
    <w:rsid w:val="00AF7DD3"/>
    <w:rsid w:val="00B001B3"/>
    <w:rsid w:val="00B0112D"/>
    <w:rsid w:val="00B01B04"/>
    <w:rsid w:val="00B01EFF"/>
    <w:rsid w:val="00B034B4"/>
    <w:rsid w:val="00B0388D"/>
    <w:rsid w:val="00B03C98"/>
    <w:rsid w:val="00B0406B"/>
    <w:rsid w:val="00B04178"/>
    <w:rsid w:val="00B04DE8"/>
    <w:rsid w:val="00B0512B"/>
    <w:rsid w:val="00B059B7"/>
    <w:rsid w:val="00B05A2F"/>
    <w:rsid w:val="00B06B06"/>
    <w:rsid w:val="00B06D2F"/>
    <w:rsid w:val="00B070C1"/>
    <w:rsid w:val="00B07572"/>
    <w:rsid w:val="00B075BD"/>
    <w:rsid w:val="00B10675"/>
    <w:rsid w:val="00B114CD"/>
    <w:rsid w:val="00B11DF7"/>
    <w:rsid w:val="00B120A8"/>
    <w:rsid w:val="00B13AD3"/>
    <w:rsid w:val="00B13B3B"/>
    <w:rsid w:val="00B13C17"/>
    <w:rsid w:val="00B13CFB"/>
    <w:rsid w:val="00B14B87"/>
    <w:rsid w:val="00B155BA"/>
    <w:rsid w:val="00B157D5"/>
    <w:rsid w:val="00B1582C"/>
    <w:rsid w:val="00B15AC7"/>
    <w:rsid w:val="00B16255"/>
    <w:rsid w:val="00B1637B"/>
    <w:rsid w:val="00B200D9"/>
    <w:rsid w:val="00B20124"/>
    <w:rsid w:val="00B20DBE"/>
    <w:rsid w:val="00B23A94"/>
    <w:rsid w:val="00B23AD9"/>
    <w:rsid w:val="00B241DF"/>
    <w:rsid w:val="00B24A7C"/>
    <w:rsid w:val="00B24C80"/>
    <w:rsid w:val="00B24FC1"/>
    <w:rsid w:val="00B254F0"/>
    <w:rsid w:val="00B258D2"/>
    <w:rsid w:val="00B25E40"/>
    <w:rsid w:val="00B264E9"/>
    <w:rsid w:val="00B26CED"/>
    <w:rsid w:val="00B26F8F"/>
    <w:rsid w:val="00B2752A"/>
    <w:rsid w:val="00B27E45"/>
    <w:rsid w:val="00B3005D"/>
    <w:rsid w:val="00B307EF"/>
    <w:rsid w:val="00B30DF2"/>
    <w:rsid w:val="00B31611"/>
    <w:rsid w:val="00B3203C"/>
    <w:rsid w:val="00B32A7F"/>
    <w:rsid w:val="00B33D86"/>
    <w:rsid w:val="00B34745"/>
    <w:rsid w:val="00B34AD0"/>
    <w:rsid w:val="00B34B84"/>
    <w:rsid w:val="00B351CE"/>
    <w:rsid w:val="00B35308"/>
    <w:rsid w:val="00B36481"/>
    <w:rsid w:val="00B36B0D"/>
    <w:rsid w:val="00B36B40"/>
    <w:rsid w:val="00B36D9D"/>
    <w:rsid w:val="00B3720B"/>
    <w:rsid w:val="00B37FEC"/>
    <w:rsid w:val="00B402B9"/>
    <w:rsid w:val="00B40416"/>
    <w:rsid w:val="00B40938"/>
    <w:rsid w:val="00B40AFE"/>
    <w:rsid w:val="00B40EBD"/>
    <w:rsid w:val="00B4125C"/>
    <w:rsid w:val="00B416C6"/>
    <w:rsid w:val="00B418B8"/>
    <w:rsid w:val="00B4195B"/>
    <w:rsid w:val="00B41BCD"/>
    <w:rsid w:val="00B423E0"/>
    <w:rsid w:val="00B4278B"/>
    <w:rsid w:val="00B4368F"/>
    <w:rsid w:val="00B43A8D"/>
    <w:rsid w:val="00B4485F"/>
    <w:rsid w:val="00B44BE5"/>
    <w:rsid w:val="00B455A3"/>
    <w:rsid w:val="00B45B58"/>
    <w:rsid w:val="00B45BAB"/>
    <w:rsid w:val="00B45FC0"/>
    <w:rsid w:val="00B460EF"/>
    <w:rsid w:val="00B465F1"/>
    <w:rsid w:val="00B46DFD"/>
    <w:rsid w:val="00B46EAE"/>
    <w:rsid w:val="00B46EE6"/>
    <w:rsid w:val="00B47000"/>
    <w:rsid w:val="00B47711"/>
    <w:rsid w:val="00B47C76"/>
    <w:rsid w:val="00B500FE"/>
    <w:rsid w:val="00B502A4"/>
    <w:rsid w:val="00B50905"/>
    <w:rsid w:val="00B50B29"/>
    <w:rsid w:val="00B50BBA"/>
    <w:rsid w:val="00B50CBE"/>
    <w:rsid w:val="00B50CD0"/>
    <w:rsid w:val="00B5105C"/>
    <w:rsid w:val="00B51596"/>
    <w:rsid w:val="00B516DA"/>
    <w:rsid w:val="00B5186E"/>
    <w:rsid w:val="00B51BEB"/>
    <w:rsid w:val="00B52489"/>
    <w:rsid w:val="00B5267A"/>
    <w:rsid w:val="00B52D90"/>
    <w:rsid w:val="00B535B9"/>
    <w:rsid w:val="00B53B63"/>
    <w:rsid w:val="00B53F45"/>
    <w:rsid w:val="00B54629"/>
    <w:rsid w:val="00B54981"/>
    <w:rsid w:val="00B54DC7"/>
    <w:rsid w:val="00B5527F"/>
    <w:rsid w:val="00B55C57"/>
    <w:rsid w:val="00B574B3"/>
    <w:rsid w:val="00B577AD"/>
    <w:rsid w:val="00B60508"/>
    <w:rsid w:val="00B60E57"/>
    <w:rsid w:val="00B61882"/>
    <w:rsid w:val="00B62A96"/>
    <w:rsid w:val="00B62B57"/>
    <w:rsid w:val="00B64FA9"/>
    <w:rsid w:val="00B656E8"/>
    <w:rsid w:val="00B65E3E"/>
    <w:rsid w:val="00B6605E"/>
    <w:rsid w:val="00B66EA7"/>
    <w:rsid w:val="00B679BB"/>
    <w:rsid w:val="00B67BDF"/>
    <w:rsid w:val="00B70639"/>
    <w:rsid w:val="00B70ED9"/>
    <w:rsid w:val="00B7182C"/>
    <w:rsid w:val="00B72598"/>
    <w:rsid w:val="00B726E9"/>
    <w:rsid w:val="00B72DD7"/>
    <w:rsid w:val="00B72E23"/>
    <w:rsid w:val="00B73929"/>
    <w:rsid w:val="00B7429E"/>
    <w:rsid w:val="00B74FE0"/>
    <w:rsid w:val="00B75FB0"/>
    <w:rsid w:val="00B763B7"/>
    <w:rsid w:val="00B77787"/>
    <w:rsid w:val="00B77D31"/>
    <w:rsid w:val="00B77F35"/>
    <w:rsid w:val="00B801A2"/>
    <w:rsid w:val="00B80373"/>
    <w:rsid w:val="00B80AF6"/>
    <w:rsid w:val="00B80FB4"/>
    <w:rsid w:val="00B813C6"/>
    <w:rsid w:val="00B8156E"/>
    <w:rsid w:val="00B81987"/>
    <w:rsid w:val="00B824B6"/>
    <w:rsid w:val="00B82D27"/>
    <w:rsid w:val="00B83183"/>
    <w:rsid w:val="00B84D70"/>
    <w:rsid w:val="00B84FC6"/>
    <w:rsid w:val="00B854C8"/>
    <w:rsid w:val="00B85795"/>
    <w:rsid w:val="00B85B2B"/>
    <w:rsid w:val="00B85FB5"/>
    <w:rsid w:val="00B86471"/>
    <w:rsid w:val="00B86A2F"/>
    <w:rsid w:val="00B87990"/>
    <w:rsid w:val="00B900F5"/>
    <w:rsid w:val="00B90DF6"/>
    <w:rsid w:val="00B90E85"/>
    <w:rsid w:val="00B910B8"/>
    <w:rsid w:val="00B918BD"/>
    <w:rsid w:val="00B91CAB"/>
    <w:rsid w:val="00B91EB0"/>
    <w:rsid w:val="00B927D9"/>
    <w:rsid w:val="00B94697"/>
    <w:rsid w:val="00B94E6F"/>
    <w:rsid w:val="00B94F26"/>
    <w:rsid w:val="00B961C2"/>
    <w:rsid w:val="00B96B58"/>
    <w:rsid w:val="00B96BCF"/>
    <w:rsid w:val="00B97A3F"/>
    <w:rsid w:val="00B97DCF"/>
    <w:rsid w:val="00B97FDF"/>
    <w:rsid w:val="00BA03F3"/>
    <w:rsid w:val="00BA0666"/>
    <w:rsid w:val="00BA0696"/>
    <w:rsid w:val="00BA06A1"/>
    <w:rsid w:val="00BA2581"/>
    <w:rsid w:val="00BA316D"/>
    <w:rsid w:val="00BA34F1"/>
    <w:rsid w:val="00BA350F"/>
    <w:rsid w:val="00BA3569"/>
    <w:rsid w:val="00BA389A"/>
    <w:rsid w:val="00BA422B"/>
    <w:rsid w:val="00BA46C2"/>
    <w:rsid w:val="00BA50F4"/>
    <w:rsid w:val="00BA5A73"/>
    <w:rsid w:val="00BA5C44"/>
    <w:rsid w:val="00BA775A"/>
    <w:rsid w:val="00BA7A22"/>
    <w:rsid w:val="00BB0236"/>
    <w:rsid w:val="00BB094E"/>
    <w:rsid w:val="00BB2990"/>
    <w:rsid w:val="00BB2B62"/>
    <w:rsid w:val="00BB2EF4"/>
    <w:rsid w:val="00BB3500"/>
    <w:rsid w:val="00BB3C2A"/>
    <w:rsid w:val="00BB448D"/>
    <w:rsid w:val="00BB52B3"/>
    <w:rsid w:val="00BB5525"/>
    <w:rsid w:val="00BB66CB"/>
    <w:rsid w:val="00BB7047"/>
    <w:rsid w:val="00BC0495"/>
    <w:rsid w:val="00BC04AD"/>
    <w:rsid w:val="00BC07F5"/>
    <w:rsid w:val="00BC0B83"/>
    <w:rsid w:val="00BC11CF"/>
    <w:rsid w:val="00BC12DE"/>
    <w:rsid w:val="00BC2489"/>
    <w:rsid w:val="00BC2AB6"/>
    <w:rsid w:val="00BC349B"/>
    <w:rsid w:val="00BC3572"/>
    <w:rsid w:val="00BC3693"/>
    <w:rsid w:val="00BC41BE"/>
    <w:rsid w:val="00BC4BC2"/>
    <w:rsid w:val="00BC4DD4"/>
    <w:rsid w:val="00BC5546"/>
    <w:rsid w:val="00BC632A"/>
    <w:rsid w:val="00BC700E"/>
    <w:rsid w:val="00BC748B"/>
    <w:rsid w:val="00BC7C2B"/>
    <w:rsid w:val="00BD0212"/>
    <w:rsid w:val="00BD024C"/>
    <w:rsid w:val="00BD0B83"/>
    <w:rsid w:val="00BD1899"/>
    <w:rsid w:val="00BD26C2"/>
    <w:rsid w:val="00BD2A35"/>
    <w:rsid w:val="00BD2A97"/>
    <w:rsid w:val="00BD3075"/>
    <w:rsid w:val="00BD3BB7"/>
    <w:rsid w:val="00BD42CE"/>
    <w:rsid w:val="00BD4C34"/>
    <w:rsid w:val="00BD5659"/>
    <w:rsid w:val="00BD58CF"/>
    <w:rsid w:val="00BD60AE"/>
    <w:rsid w:val="00BD6E1F"/>
    <w:rsid w:val="00BD796F"/>
    <w:rsid w:val="00BE0124"/>
    <w:rsid w:val="00BE1075"/>
    <w:rsid w:val="00BE1AE7"/>
    <w:rsid w:val="00BE1C47"/>
    <w:rsid w:val="00BE25B4"/>
    <w:rsid w:val="00BE28E6"/>
    <w:rsid w:val="00BE2C06"/>
    <w:rsid w:val="00BE338A"/>
    <w:rsid w:val="00BE3638"/>
    <w:rsid w:val="00BE3B95"/>
    <w:rsid w:val="00BE4EC3"/>
    <w:rsid w:val="00BE52D4"/>
    <w:rsid w:val="00BE57E9"/>
    <w:rsid w:val="00BE5F4B"/>
    <w:rsid w:val="00BE6E5C"/>
    <w:rsid w:val="00BE7112"/>
    <w:rsid w:val="00BE7127"/>
    <w:rsid w:val="00BE715D"/>
    <w:rsid w:val="00BE7EF3"/>
    <w:rsid w:val="00BF00D7"/>
    <w:rsid w:val="00BF0228"/>
    <w:rsid w:val="00BF09FC"/>
    <w:rsid w:val="00BF191F"/>
    <w:rsid w:val="00BF22B9"/>
    <w:rsid w:val="00BF33AD"/>
    <w:rsid w:val="00BF3511"/>
    <w:rsid w:val="00BF41D4"/>
    <w:rsid w:val="00BF4548"/>
    <w:rsid w:val="00BF570B"/>
    <w:rsid w:val="00BF5762"/>
    <w:rsid w:val="00BF640E"/>
    <w:rsid w:val="00BF7777"/>
    <w:rsid w:val="00BF7AC5"/>
    <w:rsid w:val="00BF7D71"/>
    <w:rsid w:val="00C00273"/>
    <w:rsid w:val="00C0044D"/>
    <w:rsid w:val="00C00684"/>
    <w:rsid w:val="00C0079D"/>
    <w:rsid w:val="00C00F75"/>
    <w:rsid w:val="00C01968"/>
    <w:rsid w:val="00C01A59"/>
    <w:rsid w:val="00C02DC6"/>
    <w:rsid w:val="00C02ED9"/>
    <w:rsid w:val="00C03DF1"/>
    <w:rsid w:val="00C03EF4"/>
    <w:rsid w:val="00C0427A"/>
    <w:rsid w:val="00C0437E"/>
    <w:rsid w:val="00C044D4"/>
    <w:rsid w:val="00C04CB8"/>
    <w:rsid w:val="00C05709"/>
    <w:rsid w:val="00C061E0"/>
    <w:rsid w:val="00C067E0"/>
    <w:rsid w:val="00C07FD8"/>
    <w:rsid w:val="00C10125"/>
    <w:rsid w:val="00C106B4"/>
    <w:rsid w:val="00C10D70"/>
    <w:rsid w:val="00C10EEB"/>
    <w:rsid w:val="00C11579"/>
    <w:rsid w:val="00C118B3"/>
    <w:rsid w:val="00C12041"/>
    <w:rsid w:val="00C12133"/>
    <w:rsid w:val="00C131AD"/>
    <w:rsid w:val="00C1438F"/>
    <w:rsid w:val="00C145CD"/>
    <w:rsid w:val="00C14BC6"/>
    <w:rsid w:val="00C151BD"/>
    <w:rsid w:val="00C155B0"/>
    <w:rsid w:val="00C1593B"/>
    <w:rsid w:val="00C16521"/>
    <w:rsid w:val="00C17186"/>
    <w:rsid w:val="00C17ED1"/>
    <w:rsid w:val="00C2034E"/>
    <w:rsid w:val="00C2083A"/>
    <w:rsid w:val="00C22115"/>
    <w:rsid w:val="00C23296"/>
    <w:rsid w:val="00C23A2A"/>
    <w:rsid w:val="00C24840"/>
    <w:rsid w:val="00C24EE3"/>
    <w:rsid w:val="00C25BE1"/>
    <w:rsid w:val="00C26C71"/>
    <w:rsid w:val="00C26D60"/>
    <w:rsid w:val="00C272FA"/>
    <w:rsid w:val="00C306EC"/>
    <w:rsid w:val="00C31CAE"/>
    <w:rsid w:val="00C31EA9"/>
    <w:rsid w:val="00C32296"/>
    <w:rsid w:val="00C336EB"/>
    <w:rsid w:val="00C33C0E"/>
    <w:rsid w:val="00C343B7"/>
    <w:rsid w:val="00C34480"/>
    <w:rsid w:val="00C3582A"/>
    <w:rsid w:val="00C35D88"/>
    <w:rsid w:val="00C35E3D"/>
    <w:rsid w:val="00C37A40"/>
    <w:rsid w:val="00C4135C"/>
    <w:rsid w:val="00C41B1A"/>
    <w:rsid w:val="00C41C41"/>
    <w:rsid w:val="00C41F55"/>
    <w:rsid w:val="00C43C7B"/>
    <w:rsid w:val="00C4426B"/>
    <w:rsid w:val="00C444BD"/>
    <w:rsid w:val="00C44C6B"/>
    <w:rsid w:val="00C4518B"/>
    <w:rsid w:val="00C46593"/>
    <w:rsid w:val="00C466D3"/>
    <w:rsid w:val="00C4745D"/>
    <w:rsid w:val="00C47F36"/>
    <w:rsid w:val="00C501C2"/>
    <w:rsid w:val="00C50DA0"/>
    <w:rsid w:val="00C50F1D"/>
    <w:rsid w:val="00C5165F"/>
    <w:rsid w:val="00C516D6"/>
    <w:rsid w:val="00C516E3"/>
    <w:rsid w:val="00C51DF0"/>
    <w:rsid w:val="00C51E13"/>
    <w:rsid w:val="00C51F76"/>
    <w:rsid w:val="00C53369"/>
    <w:rsid w:val="00C53569"/>
    <w:rsid w:val="00C54322"/>
    <w:rsid w:val="00C55049"/>
    <w:rsid w:val="00C55BBF"/>
    <w:rsid w:val="00C570D0"/>
    <w:rsid w:val="00C57DD7"/>
    <w:rsid w:val="00C6095D"/>
    <w:rsid w:val="00C60C2A"/>
    <w:rsid w:val="00C61466"/>
    <w:rsid w:val="00C623E1"/>
    <w:rsid w:val="00C6372A"/>
    <w:rsid w:val="00C637EA"/>
    <w:rsid w:val="00C646A5"/>
    <w:rsid w:val="00C646ED"/>
    <w:rsid w:val="00C6525E"/>
    <w:rsid w:val="00C65469"/>
    <w:rsid w:val="00C658EF"/>
    <w:rsid w:val="00C65C5A"/>
    <w:rsid w:val="00C6691D"/>
    <w:rsid w:val="00C6749A"/>
    <w:rsid w:val="00C67544"/>
    <w:rsid w:val="00C67978"/>
    <w:rsid w:val="00C707D2"/>
    <w:rsid w:val="00C708D0"/>
    <w:rsid w:val="00C70A2F"/>
    <w:rsid w:val="00C71B21"/>
    <w:rsid w:val="00C726D9"/>
    <w:rsid w:val="00C732DE"/>
    <w:rsid w:val="00C73930"/>
    <w:rsid w:val="00C73ADB"/>
    <w:rsid w:val="00C74034"/>
    <w:rsid w:val="00C74D8B"/>
    <w:rsid w:val="00C75309"/>
    <w:rsid w:val="00C756E8"/>
    <w:rsid w:val="00C80C5A"/>
    <w:rsid w:val="00C80EF9"/>
    <w:rsid w:val="00C81B3B"/>
    <w:rsid w:val="00C82345"/>
    <w:rsid w:val="00C82592"/>
    <w:rsid w:val="00C82D58"/>
    <w:rsid w:val="00C83E32"/>
    <w:rsid w:val="00C83E7A"/>
    <w:rsid w:val="00C841BF"/>
    <w:rsid w:val="00C8488B"/>
    <w:rsid w:val="00C8568D"/>
    <w:rsid w:val="00C85FED"/>
    <w:rsid w:val="00C8785F"/>
    <w:rsid w:val="00C87983"/>
    <w:rsid w:val="00C90217"/>
    <w:rsid w:val="00C90EAC"/>
    <w:rsid w:val="00C90F64"/>
    <w:rsid w:val="00C91C80"/>
    <w:rsid w:val="00C92085"/>
    <w:rsid w:val="00C9278C"/>
    <w:rsid w:val="00C92F36"/>
    <w:rsid w:val="00C93561"/>
    <w:rsid w:val="00C9445A"/>
    <w:rsid w:val="00C94CA1"/>
    <w:rsid w:val="00C955C8"/>
    <w:rsid w:val="00C96F85"/>
    <w:rsid w:val="00C97E18"/>
    <w:rsid w:val="00CA005F"/>
    <w:rsid w:val="00CA1439"/>
    <w:rsid w:val="00CA162F"/>
    <w:rsid w:val="00CA1DD0"/>
    <w:rsid w:val="00CA2573"/>
    <w:rsid w:val="00CA3317"/>
    <w:rsid w:val="00CA3C69"/>
    <w:rsid w:val="00CA3F7E"/>
    <w:rsid w:val="00CA492B"/>
    <w:rsid w:val="00CA4A71"/>
    <w:rsid w:val="00CA4DFF"/>
    <w:rsid w:val="00CA551E"/>
    <w:rsid w:val="00CA63D9"/>
    <w:rsid w:val="00CA6A9B"/>
    <w:rsid w:val="00CA7154"/>
    <w:rsid w:val="00CA7E23"/>
    <w:rsid w:val="00CB007D"/>
    <w:rsid w:val="00CB0133"/>
    <w:rsid w:val="00CB050F"/>
    <w:rsid w:val="00CB0972"/>
    <w:rsid w:val="00CB1188"/>
    <w:rsid w:val="00CB1715"/>
    <w:rsid w:val="00CB2EA3"/>
    <w:rsid w:val="00CB3B8A"/>
    <w:rsid w:val="00CB4A0A"/>
    <w:rsid w:val="00CB521F"/>
    <w:rsid w:val="00CB6C26"/>
    <w:rsid w:val="00CB6FFA"/>
    <w:rsid w:val="00CB70C4"/>
    <w:rsid w:val="00CB7C8B"/>
    <w:rsid w:val="00CC0C78"/>
    <w:rsid w:val="00CC0EEE"/>
    <w:rsid w:val="00CC1068"/>
    <w:rsid w:val="00CC1429"/>
    <w:rsid w:val="00CC1794"/>
    <w:rsid w:val="00CC1F2B"/>
    <w:rsid w:val="00CC21B2"/>
    <w:rsid w:val="00CC24FB"/>
    <w:rsid w:val="00CC25C4"/>
    <w:rsid w:val="00CC2621"/>
    <w:rsid w:val="00CC2C9B"/>
    <w:rsid w:val="00CC3093"/>
    <w:rsid w:val="00CC374F"/>
    <w:rsid w:val="00CC3BFB"/>
    <w:rsid w:val="00CC40D2"/>
    <w:rsid w:val="00CC483C"/>
    <w:rsid w:val="00CC51C9"/>
    <w:rsid w:val="00CC54F1"/>
    <w:rsid w:val="00CC59DF"/>
    <w:rsid w:val="00CC6485"/>
    <w:rsid w:val="00CC6DE3"/>
    <w:rsid w:val="00CC6EF9"/>
    <w:rsid w:val="00CC7589"/>
    <w:rsid w:val="00CD0D86"/>
    <w:rsid w:val="00CD16D4"/>
    <w:rsid w:val="00CD2456"/>
    <w:rsid w:val="00CD2761"/>
    <w:rsid w:val="00CD2803"/>
    <w:rsid w:val="00CD2B18"/>
    <w:rsid w:val="00CD2C1B"/>
    <w:rsid w:val="00CD2F9D"/>
    <w:rsid w:val="00CD32A9"/>
    <w:rsid w:val="00CD4C7B"/>
    <w:rsid w:val="00CD4E1C"/>
    <w:rsid w:val="00CD4F0E"/>
    <w:rsid w:val="00CD5115"/>
    <w:rsid w:val="00CD5623"/>
    <w:rsid w:val="00CD5BFA"/>
    <w:rsid w:val="00CD5FC1"/>
    <w:rsid w:val="00CD6293"/>
    <w:rsid w:val="00CD65C6"/>
    <w:rsid w:val="00CD6D54"/>
    <w:rsid w:val="00CD750B"/>
    <w:rsid w:val="00CD77D3"/>
    <w:rsid w:val="00CD7BD1"/>
    <w:rsid w:val="00CE05C1"/>
    <w:rsid w:val="00CE0863"/>
    <w:rsid w:val="00CE09B7"/>
    <w:rsid w:val="00CE0BD6"/>
    <w:rsid w:val="00CE138A"/>
    <w:rsid w:val="00CE1395"/>
    <w:rsid w:val="00CE1B69"/>
    <w:rsid w:val="00CE2F61"/>
    <w:rsid w:val="00CE33EC"/>
    <w:rsid w:val="00CE3457"/>
    <w:rsid w:val="00CE3C0A"/>
    <w:rsid w:val="00CE4321"/>
    <w:rsid w:val="00CE4729"/>
    <w:rsid w:val="00CE4C96"/>
    <w:rsid w:val="00CE57DE"/>
    <w:rsid w:val="00CE5AB1"/>
    <w:rsid w:val="00CE5ECF"/>
    <w:rsid w:val="00CE61FB"/>
    <w:rsid w:val="00CE72AE"/>
    <w:rsid w:val="00CF04B4"/>
    <w:rsid w:val="00CF079D"/>
    <w:rsid w:val="00CF0AB6"/>
    <w:rsid w:val="00CF151F"/>
    <w:rsid w:val="00CF2602"/>
    <w:rsid w:val="00CF26A2"/>
    <w:rsid w:val="00CF2C51"/>
    <w:rsid w:val="00CF3AEB"/>
    <w:rsid w:val="00CF3D51"/>
    <w:rsid w:val="00CF4A3E"/>
    <w:rsid w:val="00CF4AC9"/>
    <w:rsid w:val="00CF4D0A"/>
    <w:rsid w:val="00CF5B93"/>
    <w:rsid w:val="00CF5DAC"/>
    <w:rsid w:val="00CF5FD1"/>
    <w:rsid w:val="00CF6D4A"/>
    <w:rsid w:val="00CF6D82"/>
    <w:rsid w:val="00CF6DE8"/>
    <w:rsid w:val="00D0035E"/>
    <w:rsid w:val="00D00F2A"/>
    <w:rsid w:val="00D012C5"/>
    <w:rsid w:val="00D0164A"/>
    <w:rsid w:val="00D01B01"/>
    <w:rsid w:val="00D02175"/>
    <w:rsid w:val="00D02320"/>
    <w:rsid w:val="00D03C1B"/>
    <w:rsid w:val="00D0490C"/>
    <w:rsid w:val="00D04AD9"/>
    <w:rsid w:val="00D05231"/>
    <w:rsid w:val="00D05735"/>
    <w:rsid w:val="00D063E5"/>
    <w:rsid w:val="00D0655D"/>
    <w:rsid w:val="00D06A4B"/>
    <w:rsid w:val="00D06B5D"/>
    <w:rsid w:val="00D072EE"/>
    <w:rsid w:val="00D07461"/>
    <w:rsid w:val="00D07AE9"/>
    <w:rsid w:val="00D10309"/>
    <w:rsid w:val="00D105BC"/>
    <w:rsid w:val="00D11055"/>
    <w:rsid w:val="00D1177E"/>
    <w:rsid w:val="00D11AFB"/>
    <w:rsid w:val="00D11B6C"/>
    <w:rsid w:val="00D128F8"/>
    <w:rsid w:val="00D12D2C"/>
    <w:rsid w:val="00D14B36"/>
    <w:rsid w:val="00D14DAE"/>
    <w:rsid w:val="00D158DB"/>
    <w:rsid w:val="00D15E03"/>
    <w:rsid w:val="00D15E9D"/>
    <w:rsid w:val="00D1661B"/>
    <w:rsid w:val="00D16C23"/>
    <w:rsid w:val="00D178F3"/>
    <w:rsid w:val="00D200A5"/>
    <w:rsid w:val="00D20CCE"/>
    <w:rsid w:val="00D218ED"/>
    <w:rsid w:val="00D22C6B"/>
    <w:rsid w:val="00D22FE6"/>
    <w:rsid w:val="00D23084"/>
    <w:rsid w:val="00D245CD"/>
    <w:rsid w:val="00D246B3"/>
    <w:rsid w:val="00D246D6"/>
    <w:rsid w:val="00D25251"/>
    <w:rsid w:val="00D25495"/>
    <w:rsid w:val="00D256C8"/>
    <w:rsid w:val="00D261C6"/>
    <w:rsid w:val="00D2689E"/>
    <w:rsid w:val="00D273C8"/>
    <w:rsid w:val="00D27741"/>
    <w:rsid w:val="00D305AD"/>
    <w:rsid w:val="00D310CD"/>
    <w:rsid w:val="00D31E58"/>
    <w:rsid w:val="00D31EEC"/>
    <w:rsid w:val="00D3280A"/>
    <w:rsid w:val="00D32AE2"/>
    <w:rsid w:val="00D3340B"/>
    <w:rsid w:val="00D33E24"/>
    <w:rsid w:val="00D35A42"/>
    <w:rsid w:val="00D35C30"/>
    <w:rsid w:val="00D366B3"/>
    <w:rsid w:val="00D37210"/>
    <w:rsid w:val="00D377AE"/>
    <w:rsid w:val="00D407FA"/>
    <w:rsid w:val="00D4089D"/>
    <w:rsid w:val="00D41B4E"/>
    <w:rsid w:val="00D41E3B"/>
    <w:rsid w:val="00D42CB7"/>
    <w:rsid w:val="00D43600"/>
    <w:rsid w:val="00D4378A"/>
    <w:rsid w:val="00D43BD9"/>
    <w:rsid w:val="00D444DB"/>
    <w:rsid w:val="00D444EC"/>
    <w:rsid w:val="00D44F6B"/>
    <w:rsid w:val="00D4525C"/>
    <w:rsid w:val="00D45DA1"/>
    <w:rsid w:val="00D461F9"/>
    <w:rsid w:val="00D47594"/>
    <w:rsid w:val="00D504B1"/>
    <w:rsid w:val="00D5128E"/>
    <w:rsid w:val="00D514B3"/>
    <w:rsid w:val="00D516C3"/>
    <w:rsid w:val="00D52BAF"/>
    <w:rsid w:val="00D5319D"/>
    <w:rsid w:val="00D532E3"/>
    <w:rsid w:val="00D53A45"/>
    <w:rsid w:val="00D53A46"/>
    <w:rsid w:val="00D5427A"/>
    <w:rsid w:val="00D55F2B"/>
    <w:rsid w:val="00D56081"/>
    <w:rsid w:val="00D562A9"/>
    <w:rsid w:val="00D569FD"/>
    <w:rsid w:val="00D56A7D"/>
    <w:rsid w:val="00D56E4B"/>
    <w:rsid w:val="00D57875"/>
    <w:rsid w:val="00D57E7D"/>
    <w:rsid w:val="00D60CB7"/>
    <w:rsid w:val="00D60F2B"/>
    <w:rsid w:val="00D60F97"/>
    <w:rsid w:val="00D6198A"/>
    <w:rsid w:val="00D6325A"/>
    <w:rsid w:val="00D6384C"/>
    <w:rsid w:val="00D63943"/>
    <w:rsid w:val="00D63CAB"/>
    <w:rsid w:val="00D6420B"/>
    <w:rsid w:val="00D648BE"/>
    <w:rsid w:val="00D65286"/>
    <w:rsid w:val="00D66FF5"/>
    <w:rsid w:val="00D67BED"/>
    <w:rsid w:val="00D67E26"/>
    <w:rsid w:val="00D67FC6"/>
    <w:rsid w:val="00D701FA"/>
    <w:rsid w:val="00D72412"/>
    <w:rsid w:val="00D72A76"/>
    <w:rsid w:val="00D730A7"/>
    <w:rsid w:val="00D73313"/>
    <w:rsid w:val="00D73CE7"/>
    <w:rsid w:val="00D73F33"/>
    <w:rsid w:val="00D74568"/>
    <w:rsid w:val="00D74D53"/>
    <w:rsid w:val="00D75067"/>
    <w:rsid w:val="00D75101"/>
    <w:rsid w:val="00D75D96"/>
    <w:rsid w:val="00D76C1C"/>
    <w:rsid w:val="00D76F70"/>
    <w:rsid w:val="00D818E1"/>
    <w:rsid w:val="00D81C63"/>
    <w:rsid w:val="00D81EF0"/>
    <w:rsid w:val="00D85322"/>
    <w:rsid w:val="00D85568"/>
    <w:rsid w:val="00D85E3D"/>
    <w:rsid w:val="00D86DE5"/>
    <w:rsid w:val="00D879AE"/>
    <w:rsid w:val="00D87FD9"/>
    <w:rsid w:val="00D901DF"/>
    <w:rsid w:val="00D9078E"/>
    <w:rsid w:val="00D90B77"/>
    <w:rsid w:val="00D9219B"/>
    <w:rsid w:val="00D927AC"/>
    <w:rsid w:val="00D928AD"/>
    <w:rsid w:val="00D92CFC"/>
    <w:rsid w:val="00D92E85"/>
    <w:rsid w:val="00D92F91"/>
    <w:rsid w:val="00D93F5D"/>
    <w:rsid w:val="00D940BB"/>
    <w:rsid w:val="00D944E3"/>
    <w:rsid w:val="00D94765"/>
    <w:rsid w:val="00D947D7"/>
    <w:rsid w:val="00D952CA"/>
    <w:rsid w:val="00D97581"/>
    <w:rsid w:val="00D97822"/>
    <w:rsid w:val="00D97AFC"/>
    <w:rsid w:val="00D97D47"/>
    <w:rsid w:val="00D97EAB"/>
    <w:rsid w:val="00DA07FE"/>
    <w:rsid w:val="00DA1356"/>
    <w:rsid w:val="00DA23D0"/>
    <w:rsid w:val="00DA2F57"/>
    <w:rsid w:val="00DA3216"/>
    <w:rsid w:val="00DA34EF"/>
    <w:rsid w:val="00DA4050"/>
    <w:rsid w:val="00DA4894"/>
    <w:rsid w:val="00DA699C"/>
    <w:rsid w:val="00DA6B19"/>
    <w:rsid w:val="00DA75BA"/>
    <w:rsid w:val="00DA7AFB"/>
    <w:rsid w:val="00DA7D5D"/>
    <w:rsid w:val="00DB03DF"/>
    <w:rsid w:val="00DB281A"/>
    <w:rsid w:val="00DB2E56"/>
    <w:rsid w:val="00DB3957"/>
    <w:rsid w:val="00DB3AFA"/>
    <w:rsid w:val="00DB4536"/>
    <w:rsid w:val="00DB45F5"/>
    <w:rsid w:val="00DB498F"/>
    <w:rsid w:val="00DB512C"/>
    <w:rsid w:val="00DB5482"/>
    <w:rsid w:val="00DB5745"/>
    <w:rsid w:val="00DB578B"/>
    <w:rsid w:val="00DB58CE"/>
    <w:rsid w:val="00DB6047"/>
    <w:rsid w:val="00DB6120"/>
    <w:rsid w:val="00DB6431"/>
    <w:rsid w:val="00DB656A"/>
    <w:rsid w:val="00DB7251"/>
    <w:rsid w:val="00DB73BA"/>
    <w:rsid w:val="00DC094E"/>
    <w:rsid w:val="00DC0F12"/>
    <w:rsid w:val="00DC130C"/>
    <w:rsid w:val="00DC17C1"/>
    <w:rsid w:val="00DC1D13"/>
    <w:rsid w:val="00DC1D32"/>
    <w:rsid w:val="00DC1D38"/>
    <w:rsid w:val="00DC2D86"/>
    <w:rsid w:val="00DC327B"/>
    <w:rsid w:val="00DC345C"/>
    <w:rsid w:val="00DC3AA4"/>
    <w:rsid w:val="00DC3C60"/>
    <w:rsid w:val="00DC494D"/>
    <w:rsid w:val="00DC4AB3"/>
    <w:rsid w:val="00DC68E4"/>
    <w:rsid w:val="00DC6B84"/>
    <w:rsid w:val="00DC6E26"/>
    <w:rsid w:val="00DC7A50"/>
    <w:rsid w:val="00DC7D9F"/>
    <w:rsid w:val="00DD183A"/>
    <w:rsid w:val="00DD1A0A"/>
    <w:rsid w:val="00DD1C95"/>
    <w:rsid w:val="00DD243E"/>
    <w:rsid w:val="00DD2E04"/>
    <w:rsid w:val="00DD2E56"/>
    <w:rsid w:val="00DD36D4"/>
    <w:rsid w:val="00DD3B31"/>
    <w:rsid w:val="00DD4271"/>
    <w:rsid w:val="00DD4821"/>
    <w:rsid w:val="00DD4B6A"/>
    <w:rsid w:val="00DD5166"/>
    <w:rsid w:val="00DD5664"/>
    <w:rsid w:val="00DD56D4"/>
    <w:rsid w:val="00DD57B7"/>
    <w:rsid w:val="00DD5C9B"/>
    <w:rsid w:val="00DD63D2"/>
    <w:rsid w:val="00DD6B4D"/>
    <w:rsid w:val="00DD6C7B"/>
    <w:rsid w:val="00DD6DCA"/>
    <w:rsid w:val="00DD704D"/>
    <w:rsid w:val="00DD75DB"/>
    <w:rsid w:val="00DD7B49"/>
    <w:rsid w:val="00DE01CD"/>
    <w:rsid w:val="00DE0719"/>
    <w:rsid w:val="00DE121D"/>
    <w:rsid w:val="00DE142A"/>
    <w:rsid w:val="00DE1E11"/>
    <w:rsid w:val="00DE2180"/>
    <w:rsid w:val="00DE250F"/>
    <w:rsid w:val="00DE2DD3"/>
    <w:rsid w:val="00DE38B7"/>
    <w:rsid w:val="00DE3CC2"/>
    <w:rsid w:val="00DE4574"/>
    <w:rsid w:val="00DE4595"/>
    <w:rsid w:val="00DE4F90"/>
    <w:rsid w:val="00DE59EE"/>
    <w:rsid w:val="00DE6DC0"/>
    <w:rsid w:val="00DE7B53"/>
    <w:rsid w:val="00DF0E15"/>
    <w:rsid w:val="00DF1297"/>
    <w:rsid w:val="00DF225F"/>
    <w:rsid w:val="00DF23D3"/>
    <w:rsid w:val="00DF2C06"/>
    <w:rsid w:val="00DF2E9D"/>
    <w:rsid w:val="00DF2EE1"/>
    <w:rsid w:val="00DF2F36"/>
    <w:rsid w:val="00DF4D10"/>
    <w:rsid w:val="00DF552B"/>
    <w:rsid w:val="00DF56A9"/>
    <w:rsid w:val="00DF5987"/>
    <w:rsid w:val="00DF5DD9"/>
    <w:rsid w:val="00DF6412"/>
    <w:rsid w:val="00DF6855"/>
    <w:rsid w:val="00DF69D7"/>
    <w:rsid w:val="00DF7A83"/>
    <w:rsid w:val="00DF7A96"/>
    <w:rsid w:val="00DF7C39"/>
    <w:rsid w:val="00E00539"/>
    <w:rsid w:val="00E02C1A"/>
    <w:rsid w:val="00E02D41"/>
    <w:rsid w:val="00E0364A"/>
    <w:rsid w:val="00E0406A"/>
    <w:rsid w:val="00E0410A"/>
    <w:rsid w:val="00E04605"/>
    <w:rsid w:val="00E04C96"/>
    <w:rsid w:val="00E04DCE"/>
    <w:rsid w:val="00E04E93"/>
    <w:rsid w:val="00E054AB"/>
    <w:rsid w:val="00E055B9"/>
    <w:rsid w:val="00E05F0C"/>
    <w:rsid w:val="00E06F9A"/>
    <w:rsid w:val="00E07876"/>
    <w:rsid w:val="00E10F1B"/>
    <w:rsid w:val="00E121C3"/>
    <w:rsid w:val="00E12639"/>
    <w:rsid w:val="00E12FAC"/>
    <w:rsid w:val="00E1311B"/>
    <w:rsid w:val="00E13766"/>
    <w:rsid w:val="00E13893"/>
    <w:rsid w:val="00E1390F"/>
    <w:rsid w:val="00E13CDF"/>
    <w:rsid w:val="00E13F70"/>
    <w:rsid w:val="00E14991"/>
    <w:rsid w:val="00E151C5"/>
    <w:rsid w:val="00E1563B"/>
    <w:rsid w:val="00E16046"/>
    <w:rsid w:val="00E1611C"/>
    <w:rsid w:val="00E179B2"/>
    <w:rsid w:val="00E2056B"/>
    <w:rsid w:val="00E20CBB"/>
    <w:rsid w:val="00E20CBC"/>
    <w:rsid w:val="00E20D5F"/>
    <w:rsid w:val="00E20DE8"/>
    <w:rsid w:val="00E20F43"/>
    <w:rsid w:val="00E2141B"/>
    <w:rsid w:val="00E215A1"/>
    <w:rsid w:val="00E218D2"/>
    <w:rsid w:val="00E22019"/>
    <w:rsid w:val="00E2252C"/>
    <w:rsid w:val="00E22A6F"/>
    <w:rsid w:val="00E22F37"/>
    <w:rsid w:val="00E23C1D"/>
    <w:rsid w:val="00E23FE9"/>
    <w:rsid w:val="00E244F9"/>
    <w:rsid w:val="00E2450A"/>
    <w:rsid w:val="00E25123"/>
    <w:rsid w:val="00E25690"/>
    <w:rsid w:val="00E25700"/>
    <w:rsid w:val="00E2679C"/>
    <w:rsid w:val="00E26C2E"/>
    <w:rsid w:val="00E26DC5"/>
    <w:rsid w:val="00E27463"/>
    <w:rsid w:val="00E315A4"/>
    <w:rsid w:val="00E32832"/>
    <w:rsid w:val="00E32895"/>
    <w:rsid w:val="00E32D7D"/>
    <w:rsid w:val="00E3309A"/>
    <w:rsid w:val="00E346B9"/>
    <w:rsid w:val="00E34C2B"/>
    <w:rsid w:val="00E351F3"/>
    <w:rsid w:val="00E363D9"/>
    <w:rsid w:val="00E36414"/>
    <w:rsid w:val="00E365EF"/>
    <w:rsid w:val="00E369D3"/>
    <w:rsid w:val="00E36D58"/>
    <w:rsid w:val="00E372BD"/>
    <w:rsid w:val="00E3771A"/>
    <w:rsid w:val="00E3794E"/>
    <w:rsid w:val="00E37A75"/>
    <w:rsid w:val="00E40498"/>
    <w:rsid w:val="00E404F7"/>
    <w:rsid w:val="00E407EF"/>
    <w:rsid w:val="00E41BD4"/>
    <w:rsid w:val="00E41D7D"/>
    <w:rsid w:val="00E4369F"/>
    <w:rsid w:val="00E43C06"/>
    <w:rsid w:val="00E44441"/>
    <w:rsid w:val="00E4456E"/>
    <w:rsid w:val="00E44672"/>
    <w:rsid w:val="00E44E0E"/>
    <w:rsid w:val="00E461E2"/>
    <w:rsid w:val="00E46597"/>
    <w:rsid w:val="00E4688B"/>
    <w:rsid w:val="00E46BC4"/>
    <w:rsid w:val="00E470D4"/>
    <w:rsid w:val="00E50DFA"/>
    <w:rsid w:val="00E50E87"/>
    <w:rsid w:val="00E51929"/>
    <w:rsid w:val="00E51957"/>
    <w:rsid w:val="00E51B21"/>
    <w:rsid w:val="00E52233"/>
    <w:rsid w:val="00E52A49"/>
    <w:rsid w:val="00E540F5"/>
    <w:rsid w:val="00E54526"/>
    <w:rsid w:val="00E5547E"/>
    <w:rsid w:val="00E555C2"/>
    <w:rsid w:val="00E5580F"/>
    <w:rsid w:val="00E560AA"/>
    <w:rsid w:val="00E56489"/>
    <w:rsid w:val="00E57D48"/>
    <w:rsid w:val="00E57DBE"/>
    <w:rsid w:val="00E606A2"/>
    <w:rsid w:val="00E60F82"/>
    <w:rsid w:val="00E61933"/>
    <w:rsid w:val="00E61B16"/>
    <w:rsid w:val="00E625A3"/>
    <w:rsid w:val="00E62A57"/>
    <w:rsid w:val="00E62A8D"/>
    <w:rsid w:val="00E63840"/>
    <w:rsid w:val="00E63A63"/>
    <w:rsid w:val="00E63B51"/>
    <w:rsid w:val="00E63EEE"/>
    <w:rsid w:val="00E649D7"/>
    <w:rsid w:val="00E64A09"/>
    <w:rsid w:val="00E64CEE"/>
    <w:rsid w:val="00E665D8"/>
    <w:rsid w:val="00E66A06"/>
    <w:rsid w:val="00E678A5"/>
    <w:rsid w:val="00E67A27"/>
    <w:rsid w:val="00E702F7"/>
    <w:rsid w:val="00E7190E"/>
    <w:rsid w:val="00E71C34"/>
    <w:rsid w:val="00E7237A"/>
    <w:rsid w:val="00E72F38"/>
    <w:rsid w:val="00E732CC"/>
    <w:rsid w:val="00E735C7"/>
    <w:rsid w:val="00E73B77"/>
    <w:rsid w:val="00E7459E"/>
    <w:rsid w:val="00E74768"/>
    <w:rsid w:val="00E75609"/>
    <w:rsid w:val="00E7620E"/>
    <w:rsid w:val="00E76330"/>
    <w:rsid w:val="00E766C2"/>
    <w:rsid w:val="00E768C6"/>
    <w:rsid w:val="00E809E6"/>
    <w:rsid w:val="00E80DC8"/>
    <w:rsid w:val="00E82084"/>
    <w:rsid w:val="00E82885"/>
    <w:rsid w:val="00E834E7"/>
    <w:rsid w:val="00E836C1"/>
    <w:rsid w:val="00E837A7"/>
    <w:rsid w:val="00E841A8"/>
    <w:rsid w:val="00E85101"/>
    <w:rsid w:val="00E85C88"/>
    <w:rsid w:val="00E86593"/>
    <w:rsid w:val="00E87007"/>
    <w:rsid w:val="00E87A3A"/>
    <w:rsid w:val="00E87E17"/>
    <w:rsid w:val="00E9037C"/>
    <w:rsid w:val="00E90838"/>
    <w:rsid w:val="00E910AE"/>
    <w:rsid w:val="00E922B9"/>
    <w:rsid w:val="00E936D3"/>
    <w:rsid w:val="00E9379F"/>
    <w:rsid w:val="00E93923"/>
    <w:rsid w:val="00E93D1A"/>
    <w:rsid w:val="00E940E4"/>
    <w:rsid w:val="00E94BA2"/>
    <w:rsid w:val="00E95709"/>
    <w:rsid w:val="00E9578C"/>
    <w:rsid w:val="00E96AFA"/>
    <w:rsid w:val="00E96DBA"/>
    <w:rsid w:val="00E96DF0"/>
    <w:rsid w:val="00EA0C52"/>
    <w:rsid w:val="00EA116B"/>
    <w:rsid w:val="00EA13D5"/>
    <w:rsid w:val="00EA1B9E"/>
    <w:rsid w:val="00EA242E"/>
    <w:rsid w:val="00EA45DD"/>
    <w:rsid w:val="00EA4EDF"/>
    <w:rsid w:val="00EA506A"/>
    <w:rsid w:val="00EA5AF3"/>
    <w:rsid w:val="00EA69C5"/>
    <w:rsid w:val="00EA6B97"/>
    <w:rsid w:val="00EA70A3"/>
    <w:rsid w:val="00EA7B14"/>
    <w:rsid w:val="00EB0177"/>
    <w:rsid w:val="00EB0417"/>
    <w:rsid w:val="00EB061B"/>
    <w:rsid w:val="00EB0982"/>
    <w:rsid w:val="00EB12B7"/>
    <w:rsid w:val="00EB1658"/>
    <w:rsid w:val="00EB198E"/>
    <w:rsid w:val="00EB1BB1"/>
    <w:rsid w:val="00EB2796"/>
    <w:rsid w:val="00EB3D68"/>
    <w:rsid w:val="00EB4388"/>
    <w:rsid w:val="00EB43EC"/>
    <w:rsid w:val="00EB4838"/>
    <w:rsid w:val="00EB54C3"/>
    <w:rsid w:val="00EB57BC"/>
    <w:rsid w:val="00EB587D"/>
    <w:rsid w:val="00EB694B"/>
    <w:rsid w:val="00EB7930"/>
    <w:rsid w:val="00EB7C0F"/>
    <w:rsid w:val="00EB7D72"/>
    <w:rsid w:val="00EC041D"/>
    <w:rsid w:val="00EC0DB2"/>
    <w:rsid w:val="00EC242A"/>
    <w:rsid w:val="00EC266F"/>
    <w:rsid w:val="00EC3800"/>
    <w:rsid w:val="00EC3E15"/>
    <w:rsid w:val="00EC40A9"/>
    <w:rsid w:val="00EC4A4D"/>
    <w:rsid w:val="00EC4C40"/>
    <w:rsid w:val="00EC4DFF"/>
    <w:rsid w:val="00EC5258"/>
    <w:rsid w:val="00EC7D7D"/>
    <w:rsid w:val="00ED01FE"/>
    <w:rsid w:val="00ED0429"/>
    <w:rsid w:val="00ED04F2"/>
    <w:rsid w:val="00ED0CC9"/>
    <w:rsid w:val="00ED0E82"/>
    <w:rsid w:val="00ED2933"/>
    <w:rsid w:val="00ED3A77"/>
    <w:rsid w:val="00ED3DCE"/>
    <w:rsid w:val="00ED3F05"/>
    <w:rsid w:val="00ED428C"/>
    <w:rsid w:val="00ED4985"/>
    <w:rsid w:val="00ED4A4E"/>
    <w:rsid w:val="00ED4C30"/>
    <w:rsid w:val="00ED50CB"/>
    <w:rsid w:val="00ED513E"/>
    <w:rsid w:val="00ED629A"/>
    <w:rsid w:val="00ED7E22"/>
    <w:rsid w:val="00EE0566"/>
    <w:rsid w:val="00EE0AE9"/>
    <w:rsid w:val="00EE0E3A"/>
    <w:rsid w:val="00EE178B"/>
    <w:rsid w:val="00EE294A"/>
    <w:rsid w:val="00EE3055"/>
    <w:rsid w:val="00EE37B4"/>
    <w:rsid w:val="00EE3BE6"/>
    <w:rsid w:val="00EE3E31"/>
    <w:rsid w:val="00EE55F3"/>
    <w:rsid w:val="00EE6303"/>
    <w:rsid w:val="00EE6749"/>
    <w:rsid w:val="00EE6C75"/>
    <w:rsid w:val="00EE6CCC"/>
    <w:rsid w:val="00EE6CEB"/>
    <w:rsid w:val="00EE6CEF"/>
    <w:rsid w:val="00EF138E"/>
    <w:rsid w:val="00EF1C28"/>
    <w:rsid w:val="00EF2465"/>
    <w:rsid w:val="00EF2EF7"/>
    <w:rsid w:val="00EF30AB"/>
    <w:rsid w:val="00EF353E"/>
    <w:rsid w:val="00EF3C13"/>
    <w:rsid w:val="00EF43A8"/>
    <w:rsid w:val="00EF4724"/>
    <w:rsid w:val="00EF50BF"/>
    <w:rsid w:val="00EF621C"/>
    <w:rsid w:val="00EF6273"/>
    <w:rsid w:val="00EF63E2"/>
    <w:rsid w:val="00EF6987"/>
    <w:rsid w:val="00EF719C"/>
    <w:rsid w:val="00F0008D"/>
    <w:rsid w:val="00F00464"/>
    <w:rsid w:val="00F0083F"/>
    <w:rsid w:val="00F02126"/>
    <w:rsid w:val="00F03806"/>
    <w:rsid w:val="00F04A31"/>
    <w:rsid w:val="00F05835"/>
    <w:rsid w:val="00F06916"/>
    <w:rsid w:val="00F06C01"/>
    <w:rsid w:val="00F07F97"/>
    <w:rsid w:val="00F10F01"/>
    <w:rsid w:val="00F12EFE"/>
    <w:rsid w:val="00F13A40"/>
    <w:rsid w:val="00F13B22"/>
    <w:rsid w:val="00F13EA7"/>
    <w:rsid w:val="00F14468"/>
    <w:rsid w:val="00F14581"/>
    <w:rsid w:val="00F14BE0"/>
    <w:rsid w:val="00F14E12"/>
    <w:rsid w:val="00F15EB7"/>
    <w:rsid w:val="00F15ED0"/>
    <w:rsid w:val="00F16237"/>
    <w:rsid w:val="00F16A99"/>
    <w:rsid w:val="00F16DE6"/>
    <w:rsid w:val="00F17F6F"/>
    <w:rsid w:val="00F20252"/>
    <w:rsid w:val="00F20B4B"/>
    <w:rsid w:val="00F21245"/>
    <w:rsid w:val="00F212B6"/>
    <w:rsid w:val="00F213B7"/>
    <w:rsid w:val="00F21732"/>
    <w:rsid w:val="00F22C21"/>
    <w:rsid w:val="00F2312D"/>
    <w:rsid w:val="00F23607"/>
    <w:rsid w:val="00F265AC"/>
    <w:rsid w:val="00F26BCF"/>
    <w:rsid w:val="00F27DDE"/>
    <w:rsid w:val="00F30194"/>
    <w:rsid w:val="00F30222"/>
    <w:rsid w:val="00F30B6F"/>
    <w:rsid w:val="00F30F80"/>
    <w:rsid w:val="00F31A07"/>
    <w:rsid w:val="00F32748"/>
    <w:rsid w:val="00F32B0D"/>
    <w:rsid w:val="00F32D90"/>
    <w:rsid w:val="00F33493"/>
    <w:rsid w:val="00F33DDA"/>
    <w:rsid w:val="00F363D1"/>
    <w:rsid w:val="00F37093"/>
    <w:rsid w:val="00F3750E"/>
    <w:rsid w:val="00F37C14"/>
    <w:rsid w:val="00F40136"/>
    <w:rsid w:val="00F402C1"/>
    <w:rsid w:val="00F4093D"/>
    <w:rsid w:val="00F40ACE"/>
    <w:rsid w:val="00F41FFB"/>
    <w:rsid w:val="00F42111"/>
    <w:rsid w:val="00F42A19"/>
    <w:rsid w:val="00F43038"/>
    <w:rsid w:val="00F43CEB"/>
    <w:rsid w:val="00F4455E"/>
    <w:rsid w:val="00F44613"/>
    <w:rsid w:val="00F44D74"/>
    <w:rsid w:val="00F45F33"/>
    <w:rsid w:val="00F463E2"/>
    <w:rsid w:val="00F46A80"/>
    <w:rsid w:val="00F509FB"/>
    <w:rsid w:val="00F525FC"/>
    <w:rsid w:val="00F53B8C"/>
    <w:rsid w:val="00F53F4C"/>
    <w:rsid w:val="00F549C9"/>
    <w:rsid w:val="00F54A15"/>
    <w:rsid w:val="00F5508D"/>
    <w:rsid w:val="00F55BF2"/>
    <w:rsid w:val="00F5646E"/>
    <w:rsid w:val="00F57633"/>
    <w:rsid w:val="00F5764D"/>
    <w:rsid w:val="00F57A71"/>
    <w:rsid w:val="00F57D34"/>
    <w:rsid w:val="00F602D4"/>
    <w:rsid w:val="00F6053F"/>
    <w:rsid w:val="00F61E0B"/>
    <w:rsid w:val="00F62016"/>
    <w:rsid w:val="00F628BD"/>
    <w:rsid w:val="00F633FC"/>
    <w:rsid w:val="00F63441"/>
    <w:rsid w:val="00F639BC"/>
    <w:rsid w:val="00F63ED7"/>
    <w:rsid w:val="00F6420F"/>
    <w:rsid w:val="00F64216"/>
    <w:rsid w:val="00F65F9D"/>
    <w:rsid w:val="00F6761C"/>
    <w:rsid w:val="00F67B9F"/>
    <w:rsid w:val="00F708C3"/>
    <w:rsid w:val="00F70D6E"/>
    <w:rsid w:val="00F70F91"/>
    <w:rsid w:val="00F71DDB"/>
    <w:rsid w:val="00F72F30"/>
    <w:rsid w:val="00F734A0"/>
    <w:rsid w:val="00F73911"/>
    <w:rsid w:val="00F7401B"/>
    <w:rsid w:val="00F741B5"/>
    <w:rsid w:val="00F74BB4"/>
    <w:rsid w:val="00F74BEF"/>
    <w:rsid w:val="00F75140"/>
    <w:rsid w:val="00F754AF"/>
    <w:rsid w:val="00F758FE"/>
    <w:rsid w:val="00F75F6D"/>
    <w:rsid w:val="00F767F4"/>
    <w:rsid w:val="00F770B9"/>
    <w:rsid w:val="00F77540"/>
    <w:rsid w:val="00F777D1"/>
    <w:rsid w:val="00F77EE3"/>
    <w:rsid w:val="00F80586"/>
    <w:rsid w:val="00F813BE"/>
    <w:rsid w:val="00F81DD2"/>
    <w:rsid w:val="00F81E52"/>
    <w:rsid w:val="00F81F2D"/>
    <w:rsid w:val="00F822A1"/>
    <w:rsid w:val="00F823D1"/>
    <w:rsid w:val="00F82ABA"/>
    <w:rsid w:val="00F82C86"/>
    <w:rsid w:val="00F82E36"/>
    <w:rsid w:val="00F82EF4"/>
    <w:rsid w:val="00F84771"/>
    <w:rsid w:val="00F84AB8"/>
    <w:rsid w:val="00F84BE0"/>
    <w:rsid w:val="00F857B8"/>
    <w:rsid w:val="00F85A2D"/>
    <w:rsid w:val="00F85EA8"/>
    <w:rsid w:val="00F866D0"/>
    <w:rsid w:val="00F869F8"/>
    <w:rsid w:val="00F86BDD"/>
    <w:rsid w:val="00F87BBF"/>
    <w:rsid w:val="00F903E7"/>
    <w:rsid w:val="00F9189C"/>
    <w:rsid w:val="00F91A54"/>
    <w:rsid w:val="00F91B37"/>
    <w:rsid w:val="00F93734"/>
    <w:rsid w:val="00F93AA5"/>
    <w:rsid w:val="00F93B5F"/>
    <w:rsid w:val="00F93E8D"/>
    <w:rsid w:val="00F94555"/>
    <w:rsid w:val="00F949B2"/>
    <w:rsid w:val="00F95020"/>
    <w:rsid w:val="00F954F7"/>
    <w:rsid w:val="00F95E1F"/>
    <w:rsid w:val="00F96141"/>
    <w:rsid w:val="00F9621B"/>
    <w:rsid w:val="00F9702F"/>
    <w:rsid w:val="00F97C74"/>
    <w:rsid w:val="00F97EFC"/>
    <w:rsid w:val="00FA0399"/>
    <w:rsid w:val="00FA0AFA"/>
    <w:rsid w:val="00FA143C"/>
    <w:rsid w:val="00FA171E"/>
    <w:rsid w:val="00FA19E5"/>
    <w:rsid w:val="00FA26D4"/>
    <w:rsid w:val="00FA2ED5"/>
    <w:rsid w:val="00FA32BF"/>
    <w:rsid w:val="00FA3A59"/>
    <w:rsid w:val="00FA55C9"/>
    <w:rsid w:val="00FA5B04"/>
    <w:rsid w:val="00FA5CBE"/>
    <w:rsid w:val="00FA6E52"/>
    <w:rsid w:val="00FA6E55"/>
    <w:rsid w:val="00FB137A"/>
    <w:rsid w:val="00FB1A4C"/>
    <w:rsid w:val="00FB37D4"/>
    <w:rsid w:val="00FB37F4"/>
    <w:rsid w:val="00FB4116"/>
    <w:rsid w:val="00FB4243"/>
    <w:rsid w:val="00FB4A5C"/>
    <w:rsid w:val="00FB55A8"/>
    <w:rsid w:val="00FB5668"/>
    <w:rsid w:val="00FB5CDE"/>
    <w:rsid w:val="00FB664F"/>
    <w:rsid w:val="00FB67A4"/>
    <w:rsid w:val="00FB6A87"/>
    <w:rsid w:val="00FB6E7E"/>
    <w:rsid w:val="00FC00AF"/>
    <w:rsid w:val="00FC0C4F"/>
    <w:rsid w:val="00FC1FA5"/>
    <w:rsid w:val="00FC233C"/>
    <w:rsid w:val="00FC2BA5"/>
    <w:rsid w:val="00FC3536"/>
    <w:rsid w:val="00FC3D12"/>
    <w:rsid w:val="00FC4791"/>
    <w:rsid w:val="00FC4EA0"/>
    <w:rsid w:val="00FC510F"/>
    <w:rsid w:val="00FC5220"/>
    <w:rsid w:val="00FC55F6"/>
    <w:rsid w:val="00FC5DEF"/>
    <w:rsid w:val="00FC6252"/>
    <w:rsid w:val="00FC7846"/>
    <w:rsid w:val="00FD00A1"/>
    <w:rsid w:val="00FD02BC"/>
    <w:rsid w:val="00FD03EE"/>
    <w:rsid w:val="00FD0C34"/>
    <w:rsid w:val="00FD0E94"/>
    <w:rsid w:val="00FD1059"/>
    <w:rsid w:val="00FD1F71"/>
    <w:rsid w:val="00FD289D"/>
    <w:rsid w:val="00FD28BD"/>
    <w:rsid w:val="00FD2902"/>
    <w:rsid w:val="00FD3BDC"/>
    <w:rsid w:val="00FD3C6C"/>
    <w:rsid w:val="00FD3EDF"/>
    <w:rsid w:val="00FD44C9"/>
    <w:rsid w:val="00FD5A43"/>
    <w:rsid w:val="00FD5BF1"/>
    <w:rsid w:val="00FD659B"/>
    <w:rsid w:val="00FD6C54"/>
    <w:rsid w:val="00FD76D1"/>
    <w:rsid w:val="00FE08D5"/>
    <w:rsid w:val="00FE0C61"/>
    <w:rsid w:val="00FE0D16"/>
    <w:rsid w:val="00FE205C"/>
    <w:rsid w:val="00FE3757"/>
    <w:rsid w:val="00FE39E6"/>
    <w:rsid w:val="00FE3F41"/>
    <w:rsid w:val="00FE4986"/>
    <w:rsid w:val="00FE648A"/>
    <w:rsid w:val="00FE6525"/>
    <w:rsid w:val="00FE7625"/>
    <w:rsid w:val="00FE76CB"/>
    <w:rsid w:val="00FE7A96"/>
    <w:rsid w:val="00FF01CB"/>
    <w:rsid w:val="00FF02DE"/>
    <w:rsid w:val="00FF0F82"/>
    <w:rsid w:val="00FF114D"/>
    <w:rsid w:val="00FF131D"/>
    <w:rsid w:val="00FF168E"/>
    <w:rsid w:val="00FF1F69"/>
    <w:rsid w:val="00FF2E6B"/>
    <w:rsid w:val="00FF3C4B"/>
    <w:rsid w:val="00FF4279"/>
    <w:rsid w:val="00FF43EA"/>
    <w:rsid w:val="00FF519B"/>
    <w:rsid w:val="00FF5632"/>
    <w:rsid w:val="00FF56A0"/>
    <w:rsid w:val="00FF5787"/>
    <w:rsid w:val="00FF5889"/>
    <w:rsid w:val="00FF612B"/>
    <w:rsid w:val="00FF64A7"/>
    <w:rsid w:val="00FF6860"/>
    <w:rsid w:val="00FF6AB6"/>
    <w:rsid w:val="00FF727F"/>
    <w:rsid w:val="00FF7A32"/>
    <w:rsid w:val="00FF7B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42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425"/>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36425"/>
    <w:pPr>
      <w:ind w:left="720"/>
      <w:contextualSpacing/>
    </w:pPr>
  </w:style>
  <w:style w:type="paragraph" w:styleId="BalloonText">
    <w:name w:val="Balloon Text"/>
    <w:basedOn w:val="Normal"/>
    <w:link w:val="BalloonTextChar"/>
    <w:uiPriority w:val="99"/>
    <w:semiHidden/>
    <w:unhideWhenUsed/>
    <w:rsid w:val="00736425"/>
    <w:rPr>
      <w:rFonts w:ascii="Tahoma" w:hAnsi="Tahoma" w:cs="Tahoma"/>
      <w:sz w:val="16"/>
      <w:szCs w:val="16"/>
    </w:rPr>
  </w:style>
  <w:style w:type="character" w:customStyle="1" w:styleId="BalloonTextChar">
    <w:name w:val="Balloon Text Char"/>
    <w:basedOn w:val="DefaultParagraphFont"/>
    <w:link w:val="BalloonText"/>
    <w:uiPriority w:val="99"/>
    <w:semiHidden/>
    <w:rsid w:val="00736425"/>
    <w:rPr>
      <w:rFonts w:ascii="Tahoma" w:eastAsia="Times New Roman" w:hAnsi="Tahoma" w:cs="Tahoma"/>
      <w:sz w:val="16"/>
      <w:szCs w:val="16"/>
    </w:rPr>
  </w:style>
  <w:style w:type="paragraph" w:customStyle="1" w:styleId="Default">
    <w:name w:val="Default"/>
    <w:rsid w:val="009E129B"/>
    <w:pPr>
      <w:autoSpaceDE w:val="0"/>
      <w:autoSpaceDN w:val="0"/>
      <w:adjustRightInd w:val="0"/>
      <w:spacing w:after="0" w:line="240" w:lineRule="auto"/>
    </w:pPr>
    <w:rPr>
      <w:rFonts w:cs="Times New Roman"/>
      <w:color w:val="000000"/>
      <w:szCs w:val="24"/>
    </w:rPr>
  </w:style>
  <w:style w:type="paragraph" w:styleId="Bibliography">
    <w:name w:val="Bibliography"/>
    <w:basedOn w:val="Normal"/>
    <w:next w:val="Normal"/>
    <w:uiPriority w:val="37"/>
    <w:unhideWhenUsed/>
    <w:rsid w:val="00813E5A"/>
  </w:style>
  <w:style w:type="character" w:styleId="Hyperlink">
    <w:name w:val="Hyperlink"/>
    <w:basedOn w:val="DefaultParagraphFont"/>
    <w:uiPriority w:val="99"/>
    <w:unhideWhenUsed/>
    <w:rsid w:val="00AE47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42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425"/>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36425"/>
    <w:pPr>
      <w:ind w:left="720"/>
      <w:contextualSpacing/>
    </w:pPr>
  </w:style>
  <w:style w:type="paragraph" w:styleId="BalloonText">
    <w:name w:val="Balloon Text"/>
    <w:basedOn w:val="Normal"/>
    <w:link w:val="BalloonTextChar"/>
    <w:uiPriority w:val="99"/>
    <w:semiHidden/>
    <w:unhideWhenUsed/>
    <w:rsid w:val="00736425"/>
    <w:rPr>
      <w:rFonts w:ascii="Tahoma" w:hAnsi="Tahoma" w:cs="Tahoma"/>
      <w:sz w:val="16"/>
      <w:szCs w:val="16"/>
    </w:rPr>
  </w:style>
  <w:style w:type="character" w:customStyle="1" w:styleId="BalloonTextChar">
    <w:name w:val="Balloon Text Char"/>
    <w:basedOn w:val="DefaultParagraphFont"/>
    <w:link w:val="BalloonText"/>
    <w:uiPriority w:val="99"/>
    <w:semiHidden/>
    <w:rsid w:val="00736425"/>
    <w:rPr>
      <w:rFonts w:ascii="Tahoma" w:eastAsia="Times New Roman" w:hAnsi="Tahoma" w:cs="Tahoma"/>
      <w:sz w:val="16"/>
      <w:szCs w:val="16"/>
    </w:rPr>
  </w:style>
  <w:style w:type="paragraph" w:customStyle="1" w:styleId="Default">
    <w:name w:val="Default"/>
    <w:rsid w:val="009E129B"/>
    <w:pPr>
      <w:autoSpaceDE w:val="0"/>
      <w:autoSpaceDN w:val="0"/>
      <w:adjustRightInd w:val="0"/>
      <w:spacing w:after="0" w:line="240" w:lineRule="auto"/>
    </w:pPr>
    <w:rPr>
      <w:rFonts w:cs="Times New Roman"/>
      <w:color w:val="000000"/>
      <w:szCs w:val="24"/>
    </w:rPr>
  </w:style>
  <w:style w:type="paragraph" w:styleId="Bibliography">
    <w:name w:val="Bibliography"/>
    <w:basedOn w:val="Normal"/>
    <w:next w:val="Normal"/>
    <w:uiPriority w:val="37"/>
    <w:unhideWhenUsed/>
    <w:rsid w:val="00813E5A"/>
  </w:style>
  <w:style w:type="character" w:styleId="Hyperlink">
    <w:name w:val="Hyperlink"/>
    <w:basedOn w:val="DefaultParagraphFont"/>
    <w:uiPriority w:val="99"/>
    <w:unhideWhenUsed/>
    <w:rsid w:val="00AE47D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b.govt.bd.org/publication/financial" TargetMode="Externa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hman\Documents\New%20Paper\CSR%20Performance%20Siz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hman\Documents\New%20Paper\CSR%20Performance%20Siz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hman\Documents\New%20Paper\CSR%20Performance%20Siz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ahman\Documents\New%20Paper\CSR%20Performance%20Siz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Sheet1!$B$192</c:f>
              <c:strCache>
                <c:ptCount val="1"/>
                <c:pt idx="0">
                  <c:v>No. of Branches per 1000 Sqkm</c:v>
                </c:pt>
              </c:strCache>
            </c:strRef>
          </c:tx>
          <c:dLbls>
            <c:txPr>
              <a:bodyPr/>
              <a:lstStyle/>
              <a:p>
                <a:pPr>
                  <a:defRPr lang="ms-MY"/>
                </a:pPr>
                <a:endParaRPr lang="en-US"/>
              </a:p>
            </c:txPr>
            <c:showVal val="1"/>
          </c:dLbls>
          <c:cat>
            <c:numRef>
              <c:f>Sheet1!$A$193:$A$197</c:f>
              <c:numCache>
                <c:formatCode>General</c:formatCode>
                <c:ptCount val="5"/>
                <c:pt idx="0">
                  <c:v>2008</c:v>
                </c:pt>
                <c:pt idx="1">
                  <c:v>2009</c:v>
                </c:pt>
                <c:pt idx="2">
                  <c:v>2010</c:v>
                </c:pt>
                <c:pt idx="3">
                  <c:v>2011</c:v>
                </c:pt>
                <c:pt idx="4">
                  <c:v>2012</c:v>
                </c:pt>
              </c:numCache>
            </c:numRef>
          </c:cat>
          <c:val>
            <c:numRef>
              <c:f>Sheet1!$B$193:$B$197</c:f>
              <c:numCache>
                <c:formatCode>General</c:formatCode>
                <c:ptCount val="5"/>
                <c:pt idx="0">
                  <c:v>16</c:v>
                </c:pt>
                <c:pt idx="1">
                  <c:v>18</c:v>
                </c:pt>
                <c:pt idx="2">
                  <c:v>25</c:v>
                </c:pt>
                <c:pt idx="3">
                  <c:v>35</c:v>
                </c:pt>
                <c:pt idx="4">
                  <c:v>53</c:v>
                </c:pt>
              </c:numCache>
            </c:numRef>
          </c:val>
        </c:ser>
        <c:ser>
          <c:idx val="1"/>
          <c:order val="1"/>
          <c:tx>
            <c:strRef>
              <c:f>Sheet1!$C$192</c:f>
              <c:strCache>
                <c:ptCount val="1"/>
                <c:pt idx="0">
                  <c:v>No. of ATM per 1000 Sqkm</c:v>
                </c:pt>
              </c:strCache>
            </c:strRef>
          </c:tx>
          <c:dLbls>
            <c:txPr>
              <a:bodyPr/>
              <a:lstStyle/>
              <a:p>
                <a:pPr>
                  <a:defRPr lang="ms-MY"/>
                </a:pPr>
                <a:endParaRPr lang="en-US"/>
              </a:p>
            </c:txPr>
            <c:showVal val="1"/>
          </c:dLbls>
          <c:cat>
            <c:numRef>
              <c:f>Sheet1!$A$193:$A$197</c:f>
              <c:numCache>
                <c:formatCode>General</c:formatCode>
                <c:ptCount val="5"/>
                <c:pt idx="0">
                  <c:v>2008</c:v>
                </c:pt>
                <c:pt idx="1">
                  <c:v>2009</c:v>
                </c:pt>
                <c:pt idx="2">
                  <c:v>2010</c:v>
                </c:pt>
                <c:pt idx="3">
                  <c:v>2011</c:v>
                </c:pt>
                <c:pt idx="4">
                  <c:v>2012</c:v>
                </c:pt>
              </c:numCache>
            </c:numRef>
          </c:cat>
          <c:val>
            <c:numRef>
              <c:f>Sheet1!$C$193:$C$197</c:f>
              <c:numCache>
                <c:formatCode>General</c:formatCode>
                <c:ptCount val="5"/>
                <c:pt idx="0">
                  <c:v>4</c:v>
                </c:pt>
                <c:pt idx="1">
                  <c:v>6</c:v>
                </c:pt>
                <c:pt idx="2">
                  <c:v>10</c:v>
                </c:pt>
                <c:pt idx="3">
                  <c:v>12</c:v>
                </c:pt>
                <c:pt idx="4">
                  <c:v>16</c:v>
                </c:pt>
              </c:numCache>
            </c:numRef>
          </c:val>
        </c:ser>
        <c:axId val="83991168"/>
        <c:axId val="96486912"/>
      </c:barChart>
      <c:catAx>
        <c:axId val="83991168"/>
        <c:scaling>
          <c:orientation val="minMax"/>
        </c:scaling>
        <c:axPos val="b"/>
        <c:title>
          <c:tx>
            <c:rich>
              <a:bodyPr/>
              <a:lstStyle/>
              <a:p>
                <a:pPr>
                  <a:defRPr lang="ms-MY"/>
                </a:pPr>
                <a:r>
                  <a:rPr lang="en-US" sz="1200">
                    <a:latin typeface="Times New Roman" pitchFamily="18" charset="0"/>
                    <a:cs typeface="Times New Roman" pitchFamily="18" charset="0"/>
                  </a:rPr>
                  <a:t>Year</a:t>
                </a:r>
              </a:p>
            </c:rich>
          </c:tx>
          <c:layout>
            <c:manualLayout>
              <c:xMode val="edge"/>
              <c:yMode val="edge"/>
              <c:x val="0.48747860540421173"/>
              <c:y val="0.88286933698505188"/>
            </c:manualLayout>
          </c:layout>
        </c:title>
        <c:numFmt formatCode="General" sourceLinked="1"/>
        <c:tickLblPos val="nextTo"/>
        <c:txPr>
          <a:bodyPr/>
          <a:lstStyle/>
          <a:p>
            <a:pPr>
              <a:defRPr lang="ms-MY"/>
            </a:pPr>
            <a:endParaRPr lang="en-US"/>
          </a:p>
        </c:txPr>
        <c:crossAx val="96486912"/>
        <c:crosses val="autoZero"/>
        <c:auto val="1"/>
        <c:lblAlgn val="ctr"/>
        <c:lblOffset val="100"/>
      </c:catAx>
      <c:valAx>
        <c:axId val="96486912"/>
        <c:scaling>
          <c:orientation val="minMax"/>
        </c:scaling>
        <c:axPos val="l"/>
        <c:title>
          <c:tx>
            <c:rich>
              <a:bodyPr rot="-5400000" vert="horz"/>
              <a:lstStyle/>
              <a:p>
                <a:pPr>
                  <a:defRPr lang="ms-MY"/>
                </a:pPr>
                <a:r>
                  <a:rPr lang="en-US" sz="1100">
                    <a:latin typeface="Times New Roman" pitchFamily="18" charset="0"/>
                    <a:cs typeface="Times New Roman" pitchFamily="18" charset="0"/>
                  </a:rPr>
                  <a:t>No.</a:t>
                </a:r>
                <a:r>
                  <a:rPr lang="en-US" sz="1100" baseline="0">
                    <a:latin typeface="Times New Roman" pitchFamily="18" charset="0"/>
                    <a:cs typeface="Times New Roman" pitchFamily="18" charset="0"/>
                  </a:rPr>
                  <a:t> of branches and ATMs per 1000 sqkm</a:t>
                </a:r>
                <a:endParaRPr lang="en-US" sz="1100">
                  <a:latin typeface="Times New Roman" pitchFamily="18" charset="0"/>
                  <a:cs typeface="Times New Roman" pitchFamily="18" charset="0"/>
                </a:endParaRPr>
              </a:p>
            </c:rich>
          </c:tx>
          <c:layout>
            <c:manualLayout>
              <c:xMode val="edge"/>
              <c:yMode val="edge"/>
              <c:x val="1.021711366538954E-2"/>
              <c:y val="5.863208275436179E-2"/>
            </c:manualLayout>
          </c:layout>
        </c:title>
        <c:numFmt formatCode="General" sourceLinked="1"/>
        <c:tickLblPos val="nextTo"/>
        <c:txPr>
          <a:bodyPr/>
          <a:lstStyle/>
          <a:p>
            <a:pPr>
              <a:defRPr lang="ms-MY"/>
            </a:pPr>
            <a:endParaRPr lang="en-US"/>
          </a:p>
        </c:txPr>
        <c:crossAx val="83991168"/>
        <c:crosses val="autoZero"/>
        <c:crossBetween val="between"/>
      </c:valAx>
    </c:plotArea>
    <c:legend>
      <c:legendPos val="t"/>
      <c:layout>
        <c:manualLayout>
          <c:xMode val="edge"/>
          <c:yMode val="edge"/>
          <c:x val="0.10300540018704558"/>
          <c:y val="3.2653061224489945E-2"/>
          <c:w val="0.82974909745477821"/>
          <c:h val="9.8410412984091741E-2"/>
        </c:manualLayout>
      </c:layout>
      <c:txPr>
        <a:bodyPr/>
        <a:lstStyle/>
        <a:p>
          <a:pPr>
            <a:defRPr lang="ms-MY"/>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Sheet1!$B$209</c:f>
              <c:strCache>
                <c:ptCount val="1"/>
                <c:pt idx="0">
                  <c:v>No. of Branches per 100000 pop</c:v>
                </c:pt>
              </c:strCache>
            </c:strRef>
          </c:tx>
          <c:dLbls>
            <c:txPr>
              <a:bodyPr/>
              <a:lstStyle/>
              <a:p>
                <a:pPr>
                  <a:defRPr lang="ms-MY"/>
                </a:pPr>
                <a:endParaRPr lang="en-US"/>
              </a:p>
            </c:txPr>
            <c:showVal val="1"/>
          </c:dLbls>
          <c:cat>
            <c:numRef>
              <c:f>Sheet1!$A$210:$A$214</c:f>
              <c:numCache>
                <c:formatCode>General</c:formatCode>
                <c:ptCount val="5"/>
                <c:pt idx="0">
                  <c:v>2008</c:v>
                </c:pt>
                <c:pt idx="1">
                  <c:v>2009</c:v>
                </c:pt>
                <c:pt idx="2">
                  <c:v>2010</c:v>
                </c:pt>
                <c:pt idx="3">
                  <c:v>2011</c:v>
                </c:pt>
                <c:pt idx="4">
                  <c:v>2012</c:v>
                </c:pt>
              </c:numCache>
            </c:numRef>
          </c:cat>
          <c:val>
            <c:numRef>
              <c:f>Sheet1!$B$210:$B$214</c:f>
              <c:numCache>
                <c:formatCode>General</c:formatCode>
                <c:ptCount val="5"/>
                <c:pt idx="0">
                  <c:v>2</c:v>
                </c:pt>
                <c:pt idx="1">
                  <c:v>2</c:v>
                </c:pt>
                <c:pt idx="2">
                  <c:v>3</c:v>
                </c:pt>
                <c:pt idx="3">
                  <c:v>5</c:v>
                </c:pt>
                <c:pt idx="4">
                  <c:v>6</c:v>
                </c:pt>
              </c:numCache>
            </c:numRef>
          </c:val>
        </c:ser>
        <c:ser>
          <c:idx val="1"/>
          <c:order val="1"/>
          <c:tx>
            <c:strRef>
              <c:f>Sheet1!$C$209</c:f>
              <c:strCache>
                <c:ptCount val="1"/>
                <c:pt idx="0">
                  <c:v>No. of ATM per 100000 pop</c:v>
                </c:pt>
              </c:strCache>
            </c:strRef>
          </c:tx>
          <c:dLbls>
            <c:txPr>
              <a:bodyPr/>
              <a:lstStyle/>
              <a:p>
                <a:pPr>
                  <a:defRPr lang="ms-MY"/>
                </a:pPr>
                <a:endParaRPr lang="en-US"/>
              </a:p>
            </c:txPr>
            <c:showVal val="1"/>
          </c:dLbls>
          <c:cat>
            <c:numRef>
              <c:f>Sheet1!$A$210:$A$214</c:f>
              <c:numCache>
                <c:formatCode>General</c:formatCode>
                <c:ptCount val="5"/>
                <c:pt idx="0">
                  <c:v>2008</c:v>
                </c:pt>
                <c:pt idx="1">
                  <c:v>2009</c:v>
                </c:pt>
                <c:pt idx="2">
                  <c:v>2010</c:v>
                </c:pt>
                <c:pt idx="3">
                  <c:v>2011</c:v>
                </c:pt>
                <c:pt idx="4">
                  <c:v>2012</c:v>
                </c:pt>
              </c:numCache>
            </c:numRef>
          </c:cat>
          <c:val>
            <c:numRef>
              <c:f>Sheet1!$C$210:$C$214</c:f>
              <c:numCache>
                <c:formatCode>General</c:formatCode>
                <c:ptCount val="5"/>
                <c:pt idx="0">
                  <c:v>1</c:v>
                </c:pt>
                <c:pt idx="1">
                  <c:v>1</c:v>
                </c:pt>
                <c:pt idx="2">
                  <c:v>2</c:v>
                </c:pt>
                <c:pt idx="3">
                  <c:v>2</c:v>
                </c:pt>
                <c:pt idx="4">
                  <c:v>3</c:v>
                </c:pt>
              </c:numCache>
            </c:numRef>
          </c:val>
        </c:ser>
        <c:axId val="83923328"/>
        <c:axId val="83925248"/>
      </c:barChart>
      <c:catAx>
        <c:axId val="83923328"/>
        <c:scaling>
          <c:orientation val="minMax"/>
        </c:scaling>
        <c:axPos val="b"/>
        <c:title>
          <c:tx>
            <c:rich>
              <a:bodyPr/>
              <a:lstStyle/>
              <a:p>
                <a:pPr>
                  <a:defRPr lang="ms-MY"/>
                </a:pPr>
                <a:r>
                  <a:rPr lang="en-US" sz="1200">
                    <a:latin typeface="Times New Roman" pitchFamily="18" charset="0"/>
                    <a:cs typeface="Times New Roman" pitchFamily="18" charset="0"/>
                  </a:rPr>
                  <a:t>Year</a:t>
                </a:r>
              </a:p>
            </c:rich>
          </c:tx>
          <c:layout>
            <c:manualLayout>
              <c:xMode val="edge"/>
              <c:yMode val="edge"/>
              <c:x val="0.45589300360892376"/>
              <c:y val="0.90959713928376407"/>
            </c:manualLayout>
          </c:layout>
        </c:title>
        <c:numFmt formatCode="General" sourceLinked="1"/>
        <c:tickLblPos val="nextTo"/>
        <c:txPr>
          <a:bodyPr/>
          <a:lstStyle/>
          <a:p>
            <a:pPr>
              <a:defRPr lang="ms-MY"/>
            </a:pPr>
            <a:endParaRPr lang="en-US"/>
          </a:p>
        </c:txPr>
        <c:crossAx val="83925248"/>
        <c:crosses val="autoZero"/>
        <c:auto val="1"/>
        <c:lblAlgn val="ctr"/>
        <c:lblOffset val="100"/>
      </c:catAx>
      <c:valAx>
        <c:axId val="83925248"/>
        <c:scaling>
          <c:orientation val="minMax"/>
        </c:scaling>
        <c:axPos val="l"/>
        <c:title>
          <c:tx>
            <c:rich>
              <a:bodyPr rot="-5400000" vert="horz"/>
              <a:lstStyle/>
              <a:p>
                <a:pPr>
                  <a:defRPr lang="ms-MY"/>
                </a:pPr>
                <a:r>
                  <a:rPr lang="en-US" sz="1200" b="1" i="0" u="none" strike="noStrike" baseline="0">
                    <a:latin typeface="Times New Roman" pitchFamily="18" charset="0"/>
                    <a:cs typeface="Times New Roman" pitchFamily="18" charset="0"/>
                  </a:rPr>
                  <a:t>No. of branches and ATMs per 100,000 population</a:t>
                </a:r>
                <a:endParaRPr lang="en-US" sz="1200">
                  <a:latin typeface="Times New Roman" pitchFamily="18" charset="0"/>
                  <a:cs typeface="Times New Roman" pitchFamily="18" charset="0"/>
                </a:endParaRPr>
              </a:p>
            </c:rich>
          </c:tx>
          <c:layout>
            <c:manualLayout>
              <c:xMode val="edge"/>
              <c:yMode val="edge"/>
              <c:x val="5.5593324058536876E-3"/>
              <c:y val="8.1589909175022568E-2"/>
            </c:manualLayout>
          </c:layout>
        </c:title>
        <c:numFmt formatCode="General" sourceLinked="1"/>
        <c:tickLblPos val="nextTo"/>
        <c:txPr>
          <a:bodyPr/>
          <a:lstStyle/>
          <a:p>
            <a:pPr>
              <a:defRPr lang="ms-MY"/>
            </a:pPr>
            <a:endParaRPr lang="en-US"/>
          </a:p>
        </c:txPr>
        <c:crossAx val="83923328"/>
        <c:crosses val="autoZero"/>
        <c:crossBetween val="between"/>
      </c:valAx>
    </c:plotArea>
    <c:legend>
      <c:legendPos val="t"/>
      <c:layout>
        <c:manualLayout>
          <c:xMode val="edge"/>
          <c:yMode val="edge"/>
          <c:x val="7.5782931505147103E-2"/>
          <c:y val="2.684563758389279E-2"/>
          <c:w val="0.86057742782152269"/>
          <c:h val="8.090788986947102E-2"/>
        </c:manualLayout>
      </c:layout>
      <c:txPr>
        <a:bodyPr/>
        <a:lstStyle/>
        <a:p>
          <a:pPr>
            <a:defRPr lang="ms-MY"/>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Sheet1!$B$226</c:f>
              <c:strCache>
                <c:ptCount val="1"/>
                <c:pt idx="0">
                  <c:v>Deposit account per 1000 person’s Urban area.</c:v>
                </c:pt>
              </c:strCache>
            </c:strRef>
          </c:tx>
          <c:dLbls>
            <c:txPr>
              <a:bodyPr/>
              <a:lstStyle/>
              <a:p>
                <a:pPr>
                  <a:defRPr lang="ms-MY"/>
                </a:pPr>
                <a:endParaRPr lang="en-US"/>
              </a:p>
            </c:txPr>
            <c:showVal val="1"/>
          </c:dLbls>
          <c:cat>
            <c:numRef>
              <c:f>Sheet1!$A$227:$A$231</c:f>
              <c:numCache>
                <c:formatCode>General</c:formatCode>
                <c:ptCount val="5"/>
                <c:pt idx="0">
                  <c:v>2008</c:v>
                </c:pt>
                <c:pt idx="1">
                  <c:v>2009</c:v>
                </c:pt>
                <c:pt idx="2">
                  <c:v>2010</c:v>
                </c:pt>
                <c:pt idx="3">
                  <c:v>2011</c:v>
                </c:pt>
                <c:pt idx="4">
                  <c:v>2012</c:v>
                </c:pt>
              </c:numCache>
            </c:numRef>
          </c:cat>
          <c:val>
            <c:numRef>
              <c:f>Sheet1!$B$227:$B$231</c:f>
              <c:numCache>
                <c:formatCode>General</c:formatCode>
                <c:ptCount val="5"/>
                <c:pt idx="0">
                  <c:v>250</c:v>
                </c:pt>
                <c:pt idx="1">
                  <c:v>255</c:v>
                </c:pt>
                <c:pt idx="2">
                  <c:v>260</c:v>
                </c:pt>
                <c:pt idx="3">
                  <c:v>300</c:v>
                </c:pt>
                <c:pt idx="4">
                  <c:v>350</c:v>
                </c:pt>
              </c:numCache>
            </c:numRef>
          </c:val>
        </c:ser>
        <c:ser>
          <c:idx val="1"/>
          <c:order val="1"/>
          <c:tx>
            <c:strRef>
              <c:f>Sheet1!$C$226</c:f>
              <c:strCache>
                <c:ptCount val="1"/>
                <c:pt idx="0">
                  <c:v>Deposit account per 1000 person’s Rural area.</c:v>
                </c:pt>
              </c:strCache>
            </c:strRef>
          </c:tx>
          <c:dLbls>
            <c:dLbl>
              <c:idx val="0"/>
              <c:layout>
                <c:manualLayout>
                  <c:x val="2.7777777777777974E-3"/>
                  <c:y val="0"/>
                </c:manualLayout>
              </c:layout>
              <c:showVal val="1"/>
            </c:dLbl>
            <c:dLbl>
              <c:idx val="1"/>
              <c:layout>
                <c:manualLayout>
                  <c:x val="1.1111111111111061E-2"/>
                  <c:y val="4.6296296296296476E-3"/>
                </c:manualLayout>
              </c:layout>
              <c:showVal val="1"/>
            </c:dLbl>
            <c:dLbl>
              <c:idx val="2"/>
              <c:layout>
                <c:manualLayout>
                  <c:x val="8.3333333333333367E-3"/>
                  <c:y val="0"/>
                </c:manualLayout>
              </c:layout>
              <c:showVal val="1"/>
            </c:dLbl>
            <c:dLbl>
              <c:idx val="3"/>
              <c:layout>
                <c:manualLayout>
                  <c:x val="1.1111111111111125E-2"/>
                  <c:y val="0"/>
                </c:manualLayout>
              </c:layout>
              <c:showVal val="1"/>
            </c:dLbl>
            <c:dLbl>
              <c:idx val="4"/>
              <c:layout>
                <c:manualLayout>
                  <c:x val="8.3333333333334546E-3"/>
                  <c:y val="0"/>
                </c:manualLayout>
              </c:layout>
              <c:showVal val="1"/>
            </c:dLbl>
            <c:txPr>
              <a:bodyPr/>
              <a:lstStyle/>
              <a:p>
                <a:pPr>
                  <a:defRPr lang="ms-MY"/>
                </a:pPr>
                <a:endParaRPr lang="en-US"/>
              </a:p>
            </c:txPr>
            <c:showVal val="1"/>
          </c:dLbls>
          <c:cat>
            <c:numRef>
              <c:f>Sheet1!$A$227:$A$231</c:f>
              <c:numCache>
                <c:formatCode>General</c:formatCode>
                <c:ptCount val="5"/>
                <c:pt idx="0">
                  <c:v>2008</c:v>
                </c:pt>
                <c:pt idx="1">
                  <c:v>2009</c:v>
                </c:pt>
                <c:pt idx="2">
                  <c:v>2010</c:v>
                </c:pt>
                <c:pt idx="3">
                  <c:v>2011</c:v>
                </c:pt>
                <c:pt idx="4">
                  <c:v>2012</c:v>
                </c:pt>
              </c:numCache>
            </c:numRef>
          </c:cat>
          <c:val>
            <c:numRef>
              <c:f>Sheet1!$C$227:$C$231</c:f>
              <c:numCache>
                <c:formatCode>General</c:formatCode>
                <c:ptCount val="5"/>
                <c:pt idx="0">
                  <c:v>105</c:v>
                </c:pt>
                <c:pt idx="1">
                  <c:v>107</c:v>
                </c:pt>
                <c:pt idx="2">
                  <c:v>115</c:v>
                </c:pt>
                <c:pt idx="3">
                  <c:v>125</c:v>
                </c:pt>
                <c:pt idx="4">
                  <c:v>200</c:v>
                </c:pt>
              </c:numCache>
            </c:numRef>
          </c:val>
        </c:ser>
        <c:axId val="96365952"/>
        <c:axId val="96376320"/>
      </c:barChart>
      <c:catAx>
        <c:axId val="96365952"/>
        <c:scaling>
          <c:orientation val="minMax"/>
        </c:scaling>
        <c:axPos val="b"/>
        <c:title>
          <c:tx>
            <c:rich>
              <a:bodyPr/>
              <a:lstStyle/>
              <a:p>
                <a:pPr>
                  <a:defRPr lang="ms-MY"/>
                </a:pPr>
                <a:r>
                  <a:rPr lang="en-US" sz="1200" b="1" i="0" baseline="0">
                    <a:effectLst/>
                    <a:latin typeface="Times New Roman" pitchFamily="18" charset="0"/>
                    <a:cs typeface="Times New Roman" pitchFamily="18" charset="0"/>
                  </a:rPr>
                  <a:t>Year</a:t>
                </a:r>
                <a:endParaRPr lang="ms-MY" sz="1200">
                  <a:effectLst/>
                  <a:latin typeface="Times New Roman" pitchFamily="18" charset="0"/>
                  <a:cs typeface="Times New Roman" pitchFamily="18" charset="0"/>
                </a:endParaRPr>
              </a:p>
            </c:rich>
          </c:tx>
          <c:layout>
            <c:manualLayout>
              <c:xMode val="edge"/>
              <c:yMode val="edge"/>
              <c:x val="0.48611220472441047"/>
              <c:y val="0.89907407407407602"/>
            </c:manualLayout>
          </c:layout>
        </c:title>
        <c:numFmt formatCode="General" sourceLinked="1"/>
        <c:tickLblPos val="nextTo"/>
        <c:txPr>
          <a:bodyPr/>
          <a:lstStyle/>
          <a:p>
            <a:pPr>
              <a:defRPr lang="ms-MY"/>
            </a:pPr>
            <a:endParaRPr lang="en-US"/>
          </a:p>
        </c:txPr>
        <c:crossAx val="96376320"/>
        <c:crosses val="autoZero"/>
        <c:auto val="1"/>
        <c:lblAlgn val="ctr"/>
        <c:lblOffset val="100"/>
      </c:catAx>
      <c:valAx>
        <c:axId val="96376320"/>
        <c:scaling>
          <c:orientation val="minMax"/>
        </c:scaling>
        <c:axPos val="l"/>
        <c:title>
          <c:tx>
            <c:rich>
              <a:bodyPr rot="-5400000" vert="horz"/>
              <a:lstStyle/>
              <a:p>
                <a:pPr>
                  <a:defRPr lang="ms-MY"/>
                </a:pPr>
                <a:r>
                  <a:rPr lang="en-US" sz="1200" b="1" i="0" baseline="0">
                    <a:effectLst/>
                    <a:latin typeface="Times New Roman" pitchFamily="18" charset="0"/>
                    <a:cs typeface="Times New Roman" pitchFamily="18" charset="0"/>
                  </a:rPr>
                  <a:t>No. of deposit account per 1000 person</a:t>
                </a:r>
                <a:endParaRPr lang="ms-MY" sz="1200">
                  <a:effectLst/>
                  <a:latin typeface="Times New Roman" pitchFamily="18" charset="0"/>
                  <a:cs typeface="Times New Roman" pitchFamily="18" charset="0"/>
                </a:endParaRPr>
              </a:p>
            </c:rich>
          </c:tx>
          <c:layout>
            <c:manualLayout>
              <c:xMode val="edge"/>
              <c:yMode val="edge"/>
              <c:x val="1.5967021297910371E-2"/>
              <c:y val="6.7361111111111344E-2"/>
            </c:manualLayout>
          </c:layout>
        </c:title>
        <c:numFmt formatCode="General" sourceLinked="1"/>
        <c:tickLblPos val="nextTo"/>
        <c:txPr>
          <a:bodyPr/>
          <a:lstStyle/>
          <a:p>
            <a:pPr>
              <a:defRPr lang="ms-MY"/>
            </a:pPr>
            <a:endParaRPr lang="en-US"/>
          </a:p>
        </c:txPr>
        <c:crossAx val="96365952"/>
        <c:crosses val="autoZero"/>
        <c:crossBetween val="between"/>
      </c:valAx>
    </c:plotArea>
    <c:legend>
      <c:legendPos val="t"/>
      <c:txPr>
        <a:bodyPr/>
        <a:lstStyle/>
        <a:p>
          <a:pPr>
            <a:defRPr lang="ms-MY"/>
          </a:pPr>
          <a:endParaRPr lang="en-US"/>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Sheet1!$B$240</c:f>
              <c:strCache>
                <c:ptCount val="1"/>
                <c:pt idx="0">
                  <c:v>Loan account per 1000 person’s Urban area.</c:v>
                </c:pt>
              </c:strCache>
            </c:strRef>
          </c:tx>
          <c:dLbls>
            <c:txPr>
              <a:bodyPr/>
              <a:lstStyle/>
              <a:p>
                <a:pPr>
                  <a:defRPr lang="ms-MY"/>
                </a:pPr>
                <a:endParaRPr lang="en-US"/>
              </a:p>
            </c:txPr>
            <c:showVal val="1"/>
          </c:dLbls>
          <c:cat>
            <c:numRef>
              <c:f>Sheet1!$A$241:$A$245</c:f>
              <c:numCache>
                <c:formatCode>General</c:formatCode>
                <c:ptCount val="5"/>
                <c:pt idx="0">
                  <c:v>2008</c:v>
                </c:pt>
                <c:pt idx="1">
                  <c:v>2009</c:v>
                </c:pt>
                <c:pt idx="2">
                  <c:v>2010</c:v>
                </c:pt>
                <c:pt idx="3">
                  <c:v>2011</c:v>
                </c:pt>
                <c:pt idx="4">
                  <c:v>2012</c:v>
                </c:pt>
              </c:numCache>
            </c:numRef>
          </c:cat>
          <c:val>
            <c:numRef>
              <c:f>Sheet1!$B$241:$B$245</c:f>
              <c:numCache>
                <c:formatCode>General</c:formatCode>
                <c:ptCount val="5"/>
                <c:pt idx="0">
                  <c:v>50</c:v>
                </c:pt>
                <c:pt idx="1">
                  <c:v>55</c:v>
                </c:pt>
                <c:pt idx="2">
                  <c:v>60</c:v>
                </c:pt>
                <c:pt idx="3">
                  <c:v>80</c:v>
                </c:pt>
                <c:pt idx="4">
                  <c:v>110</c:v>
                </c:pt>
              </c:numCache>
            </c:numRef>
          </c:val>
        </c:ser>
        <c:ser>
          <c:idx val="1"/>
          <c:order val="1"/>
          <c:tx>
            <c:strRef>
              <c:f>Sheet1!$C$240</c:f>
              <c:strCache>
                <c:ptCount val="1"/>
                <c:pt idx="0">
                  <c:v>Loan account per 1000 person’s Rural area.</c:v>
                </c:pt>
              </c:strCache>
            </c:strRef>
          </c:tx>
          <c:dLbls>
            <c:txPr>
              <a:bodyPr/>
              <a:lstStyle/>
              <a:p>
                <a:pPr>
                  <a:defRPr lang="ms-MY"/>
                </a:pPr>
                <a:endParaRPr lang="en-US"/>
              </a:p>
            </c:txPr>
            <c:showVal val="1"/>
          </c:dLbls>
          <c:cat>
            <c:numRef>
              <c:f>Sheet1!$A$241:$A$245</c:f>
              <c:numCache>
                <c:formatCode>General</c:formatCode>
                <c:ptCount val="5"/>
                <c:pt idx="0">
                  <c:v>2008</c:v>
                </c:pt>
                <c:pt idx="1">
                  <c:v>2009</c:v>
                </c:pt>
                <c:pt idx="2">
                  <c:v>2010</c:v>
                </c:pt>
                <c:pt idx="3">
                  <c:v>2011</c:v>
                </c:pt>
                <c:pt idx="4">
                  <c:v>2012</c:v>
                </c:pt>
              </c:numCache>
            </c:numRef>
          </c:cat>
          <c:val>
            <c:numRef>
              <c:f>Sheet1!$C$241:$C$245</c:f>
              <c:numCache>
                <c:formatCode>General</c:formatCode>
                <c:ptCount val="5"/>
                <c:pt idx="0">
                  <c:v>35</c:v>
                </c:pt>
                <c:pt idx="1">
                  <c:v>40</c:v>
                </c:pt>
                <c:pt idx="2">
                  <c:v>55</c:v>
                </c:pt>
                <c:pt idx="3">
                  <c:v>70</c:v>
                </c:pt>
                <c:pt idx="4">
                  <c:v>95</c:v>
                </c:pt>
              </c:numCache>
            </c:numRef>
          </c:val>
        </c:ser>
        <c:axId val="96393856"/>
        <c:axId val="96404224"/>
      </c:barChart>
      <c:catAx>
        <c:axId val="96393856"/>
        <c:scaling>
          <c:orientation val="minMax"/>
        </c:scaling>
        <c:axPos val="b"/>
        <c:title>
          <c:tx>
            <c:rich>
              <a:bodyPr/>
              <a:lstStyle/>
              <a:p>
                <a:pPr>
                  <a:defRPr lang="ms-MY"/>
                </a:pPr>
                <a:r>
                  <a:rPr lang="en-US" sz="1200" b="1" i="0" baseline="0">
                    <a:effectLst/>
                    <a:latin typeface="Times New Roman" pitchFamily="18" charset="0"/>
                    <a:cs typeface="Times New Roman" pitchFamily="18" charset="0"/>
                  </a:rPr>
                  <a:t>Year</a:t>
                </a:r>
                <a:endParaRPr lang="ms-MY" sz="1200">
                  <a:effectLst/>
                  <a:latin typeface="Times New Roman" pitchFamily="18" charset="0"/>
                  <a:cs typeface="Times New Roman" pitchFamily="18" charset="0"/>
                </a:endParaRPr>
              </a:p>
            </c:rich>
          </c:tx>
          <c:layout>
            <c:manualLayout>
              <c:xMode val="edge"/>
              <c:yMode val="edge"/>
              <c:x val="0.46732158480190056"/>
              <c:y val="0.88080399547943211"/>
            </c:manualLayout>
          </c:layout>
        </c:title>
        <c:numFmt formatCode="General" sourceLinked="1"/>
        <c:tickLblPos val="nextTo"/>
        <c:txPr>
          <a:bodyPr/>
          <a:lstStyle/>
          <a:p>
            <a:pPr>
              <a:defRPr lang="ms-MY"/>
            </a:pPr>
            <a:endParaRPr lang="en-US"/>
          </a:p>
        </c:txPr>
        <c:crossAx val="96404224"/>
        <c:crosses val="autoZero"/>
        <c:auto val="1"/>
        <c:lblAlgn val="ctr"/>
        <c:lblOffset val="100"/>
      </c:catAx>
      <c:valAx>
        <c:axId val="96404224"/>
        <c:scaling>
          <c:orientation val="minMax"/>
        </c:scaling>
        <c:axPos val="l"/>
        <c:title>
          <c:tx>
            <c:rich>
              <a:bodyPr rot="-5400000" vert="horz"/>
              <a:lstStyle/>
              <a:p>
                <a:pPr>
                  <a:defRPr lang="ms-MY"/>
                </a:pPr>
                <a:r>
                  <a:rPr lang="en-US" sz="1200" b="1" i="0" baseline="0">
                    <a:effectLst/>
                    <a:latin typeface="Times New Roman" pitchFamily="18" charset="0"/>
                    <a:cs typeface="Times New Roman" pitchFamily="18" charset="0"/>
                  </a:rPr>
                  <a:t>No. of loan account per 1000 person</a:t>
                </a:r>
                <a:endParaRPr lang="ms-MY" sz="1200">
                  <a:effectLst/>
                  <a:latin typeface="Times New Roman" pitchFamily="18" charset="0"/>
                  <a:cs typeface="Times New Roman" pitchFamily="18" charset="0"/>
                </a:endParaRPr>
              </a:p>
            </c:rich>
          </c:tx>
          <c:layout>
            <c:manualLayout>
              <c:xMode val="edge"/>
              <c:yMode val="edge"/>
              <c:x val="1.0158730158730159E-2"/>
              <c:y val="0.10288683095710777"/>
            </c:manualLayout>
          </c:layout>
        </c:title>
        <c:numFmt formatCode="General" sourceLinked="1"/>
        <c:tickLblPos val="nextTo"/>
        <c:txPr>
          <a:bodyPr/>
          <a:lstStyle/>
          <a:p>
            <a:pPr>
              <a:defRPr lang="ms-MY"/>
            </a:pPr>
            <a:endParaRPr lang="en-US"/>
          </a:p>
        </c:txPr>
        <c:crossAx val="96393856"/>
        <c:crosses val="autoZero"/>
        <c:crossBetween val="between"/>
      </c:valAx>
    </c:plotArea>
    <c:legend>
      <c:legendPos val="t"/>
      <c:txPr>
        <a:bodyPr/>
        <a:lstStyle/>
        <a:p>
          <a:pPr>
            <a:defRPr lang="ms-MY"/>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Nom13</b:Tag>
    <b:SourceType>JournalArticle</b:SourceType>
    <b:Guid>{14B3E5A2-3E55-4774-9ACE-5236633440DC}</b:Guid>
    <b:Author>
      <b:Author>
        <b:NameList>
          <b:Person>
            <b:Last>Noman</b:Last>
            <b:First>S.</b:First>
          </b:Person>
        </b:NameList>
      </b:Author>
    </b:Author>
    <b:Title>The Financial Inclusion: A District Wise Study on Bangladesh</b:Title>
    <b:JournalName>International Journal of Economics, Finance and Management</b:JournalName>
    <b:Year>2013</b:Year>
    <b:Pages>VOL. 2, NO. 4, Jun-July 2013</b:Pages>
    <b:RefOrder>2</b:RefOrder>
  </b:Source>
  <b:Source>
    <b:Tag>Lev051</b:Tag>
    <b:SourceType>JournalArticle</b:SourceType>
    <b:Guid>{B113EB64-3959-4C8A-A68D-41C872BE3452}</b:Guid>
    <b:Author>
      <b:Author>
        <b:NameList>
          <b:Person>
            <b:Last>Levine</b:Last>
            <b:First>R.</b:First>
          </b:Person>
        </b:NameList>
      </b:Author>
    </b:Author>
    <b:Title>Finance and growth</b:Title>
    <b:JournalName>Handbook of Economic Growth</b:JournalName>
    <b:Year>2005</b:Year>
    <b:Pages>Vol 1A, p.865-934</b:Pages>
    <b:RefOrder>3</b:RefOrder>
  </b:Source>
  <b:Source>
    <b:Tag>Kin931</b:Tag>
    <b:SourceType>JournalArticle</b:SourceType>
    <b:Guid>{A53374CC-1D24-4DB6-8010-B7956CB390C2}</b:Guid>
    <b:Author>
      <b:Author>
        <b:NameList>
          <b:Person>
            <b:Last>King</b:Last>
            <b:First>R.</b:First>
          </b:Person>
          <b:Person>
            <b:Last>Levine</b:Last>
            <b:First>R</b:First>
          </b:Person>
        </b:NameList>
      </b:Author>
    </b:Author>
    <b:Title>Finance, entrepreneurship and growth: Theory and evidence.</b:Title>
    <b:JournalName>Journal of Monetary Economics</b:JournalName>
    <b:Year>1993</b:Year>
    <b:Pages>32:513-42</b:Pages>
    <b:RefOrder>4</b:RefOrder>
  </b:Source>
  <b:Source>
    <b:Tag>Sin12</b:Tag>
    <b:SourceType>JournalArticle</b:SourceType>
    <b:Guid>{CC814129-3A96-401E-9471-A74A7FD2A6AC}</b:Guid>
    <b:Author>
      <b:Author>
        <b:NameList>
          <b:Person>
            <b:Last>Singh</b:Last>
            <b:First>J.</b:First>
          </b:Person>
          <b:Person>
            <b:Last>Yadav</b:Last>
            <b:First>P.</b:First>
          </b:Person>
        </b:NameList>
      </b:Author>
    </b:Author>
    <b:Title>Micro Finance As A Tool For Financial Inclusion &amp; Reduction Of Poverty</b:Title>
    <b:JournalName>Journal of Business Management &amp; Social Sciences Research (JBM&amp;SSR)</b:JournalName>
    <b:Year>2012</b:Year>
    <b:Pages>Volume 1, No.1, October 2012</b:Pages>
    <b:RefOrder>5</b:RefOrder>
  </b:Source>
  <b:Source>
    <b:Tag>Gho13</b:Tag>
    <b:SourceType>JournalArticle</b:SourceType>
    <b:Guid>{25E304F0-0B0A-4641-BCA5-D161DDB9EC75}</b:Guid>
    <b:Author>
      <b:Author>
        <b:NameList>
          <b:Person>
            <b:Last>Ghosh</b:Last>
            <b:First>J.</b:First>
          </b:Person>
        </b:NameList>
      </b:Author>
    </b:Author>
    <b:Title>Microfinance and the challenge of financial inclusion for development</b:Title>
    <b:JournalName>Cambridge Journal of Economics </b:JournalName>
    <b:Year>2013</b:Year>
    <b:Pages>1 of 17</b:Pages>
    <b:RefOrder>6</b:RefOrder>
  </b:Source>
  <b:Source>
    <b:Tag>Ndl13</b:Tag>
    <b:SourceType>JournalArticle</b:SourceType>
    <b:Guid>{71633F3A-ED0F-49C5-BA60-1C8C1C1EBC94}</b:Guid>
    <b:Author>
      <b:Author>
        <b:NameList>
          <b:Person>
            <b:Last>Ndlovu</b:Last>
            <b:First>I.</b:First>
          </b:Person>
        </b:NameList>
      </b:Author>
    </b:Author>
    <b:Title>Mobile Banking the Future to Rural Financial Inclusion: Case Study of Zimbabwe</b:Title>
    <b:JournalName>IOSR Journal Of Humanities And Social Science</b:JournalName>
    <b:Year>2013</b:Year>
    <b:Pages>Volume 9, PP 70-75</b:Pages>
    <b:RefOrder>7</b:RefOrder>
  </b:Source>
  <b:Source>
    <b:Tag>Kle11</b:Tag>
    <b:SourceType>Report</b:SourceType>
    <b:Guid>{17D89058-E567-4256-AB2E-ADE4F5F33529}</b:Guid>
    <b:Author>
      <b:Author>
        <b:NameList>
          <b:Person>
            <b:Last>Klein</b:Last>
            <b:First>M.</b:First>
          </b:Person>
          <b:Person>
            <b:Last>Mayer</b:Last>
            <b:First>C</b:First>
          </b:Person>
        </b:NameList>
      </b:Author>
    </b:Author>
    <b:Title>Mobile Banking and Financial Inclusion</b:Title>
    <b:Year>2011</b:Year>
    <b:Publisher>The World Bank, Financial and Private Sector Development</b:Publisher>
    <b:RefOrder>8</b:RefOrder>
  </b:Source>
  <b:Source>
    <b:Tag>Sar08</b:Tag>
    <b:SourceType>JournalArticle</b:SourceType>
    <b:Guid>{7E3C2CFB-4B0A-4CC1-B192-B26AC51F4E7A}</b:Guid>
    <b:Author>
      <b:Author>
        <b:NameList>
          <b:Person>
            <b:Last>Sarma</b:Last>
            <b:First>M.</b:First>
          </b:Person>
        </b:NameList>
      </b:Author>
    </b:Author>
    <b:Title>Financial Inclusion and Development: A Cross Country Analysis</b:Title>
    <b:Year>2008</b:Year>
    <b:JournalName>Journal of Financial Economics</b:JournalName>
    <b:Pages>Vol. 75, No. 1, pp. 230-250</b:Pages>
    <b:RefOrder>9</b:RefOrder>
  </b:Source>
  <b:Source>
    <b:Tag>Bec08</b:Tag>
    <b:SourceType>JournalArticle</b:SourceType>
    <b:Guid>{97C41CAA-E2A4-40B5-B085-8383B9141BD5}</b:Guid>
    <b:Author>
      <b:Author>
        <b:NameList>
          <b:Person>
            <b:Last>Beck</b:Last>
            <b:First>T.</b:First>
          </b:Person>
        </b:NameList>
      </b:Author>
    </b:Author>
    <b:Title>Access to Finance: An Unfinished Agenda</b:Title>
    <b:JournalName>World Bank Economic Review, 4(3): 297-927</b:JournalName>
    <b:Year>2008</b:Year>
    <b:Pages> 4(3): 297-927</b:Pages>
    <b:RefOrder>1</b:RefOrder>
  </b:Source>
  <b:Source>
    <b:Tag>Alo13</b:Tag>
    <b:SourceType>Report</b:SourceType>
    <b:Guid>{7D7CBE1F-C817-4AD5-9B06-D6FE30CC3E36}</b:Guid>
    <b:Author>
      <b:Author>
        <b:NameList>
          <b:Person>
            <b:Last>Alonso</b:Last>
            <b:First>J.</b:First>
          </b:Person>
        </b:NameList>
      </b:Author>
    </b:Author>
    <b:Title>Mobile banking in Mexico as a mechanism forfinancial inclusion: recent developments and a closerlook into the potential market</b:Title>
    <b:Year>2013</b:Year>
    <b:Publisher>BBVA</b:Publisher>
    <b:City>Mexico</b:City>
    <b:RefOrder>10</b:RefOrder>
  </b:Source>
  <b:Source>
    <b:Tag>Ahm12</b:Tag>
    <b:SourceType>JournalArticle</b:SourceType>
    <b:Guid>{C53E5BB9-9B45-4BA3-9DA4-5079D4745C3F}</b:Guid>
    <b:Author>
      <b:Author>
        <b:NameList>
          <b:Person>
            <b:Last>Ahmed</b:Last>
            <b:First>M.</b:First>
          </b:Person>
        </b:NameList>
      </b:Author>
    </b:Author>
    <b:Title>PROBLEMS AND PROSPECTS OF MOBILE BANKING IN BANGLADESH</b:Title>
    <b:JournalName>Journal of Economic Literature</b:JournalName>
    <b:Year>2012</b:Year>
    <b:Pages>Vol.05,Pp 60-78</b:Pages>
    <b:RefOrder>11</b:RefOrder>
  </b:Source>
  <b:Source>
    <b:Tag>Kab05</b:Tag>
    <b:SourceType>JournalArticle</b:SourceType>
    <b:Guid>{FE1B9356-DCC6-4135-94D5-487BA14F7DE8}</b:Guid>
    <b:Author>
      <b:Author>
        <b:NameList>
          <b:Person>
            <b:Last>Kaboski</b:Last>
            <b:First>J.</b:First>
            <b:Middle>P.</b:Middle>
          </b:Person>
          <b:Person>
            <b:Last>Townsend</b:Last>
            <b:First>R.</b:First>
            <b:Middle>M.</b:Middle>
          </b:Person>
        </b:NameList>
      </b:Author>
    </b:Author>
    <b:Title>Policies and impact: An analysis of village-level microfinance institutions</b:Title>
    <b:JournalName>Journal of the European Economic Association</b:JournalName>
    <b:Year>2005</b:Year>
    <b:Pages> 3(1):1-50</b:Pages>
    <b:RefOrder>12</b:RefOrder>
  </b:Source>
  <b:Source>
    <b:Tag>Aba</b:Tag>
    <b:SourceType>JournalArticle</b:SourceType>
    <b:Guid>{14968B90-E83B-441C-8E5A-1CD5F17A1325}</b:Guid>
    <b:Author>
      <b:Author>
        <b:NameList>
          <b:Person>
            <b:Last>Abagail</b:Last>
            <b:First>M</b:First>
            <b:Middle>W</b:Middle>
          </b:Person>
          <b:Person>
            <b:Last>Siegel</b:Last>
            <b:First>D</b:First>
            <b:Middle>D</b:Middle>
          </b:Person>
        </b:NameList>
      </b:Author>
    </b:Author>
    <b:Title>Corporate Social Responsibility and Financial Performance.</b:Title>
    <b:JournalName>Strategic Management Journal</b:JournalName>
    <b:Pages>603-609</b:Pages>
    <b:Volume>21 No.2</b:Volume>
    <b:RefOrder>2</b:RefOrder>
  </b:Source>
  <b:Source>
    <b:Tag>Bow75</b:Tag>
    <b:SourceType>JournalArticle</b:SourceType>
    <b:Guid>{85D916DD-6643-4AC5-9FE5-A50452C048A6}</b:Guid>
    <b:Author>
      <b:Author>
        <b:NameList>
          <b:Person>
            <b:Last>Bowman</b:Last>
            <b:First>E</b:First>
            <b:Middle>H</b:Middle>
          </b:Person>
          <b:Person>
            <b:Last>Haire</b:Last>
            <b:First>M</b:First>
          </b:Person>
        </b:NameList>
      </b:Author>
    </b:Author>
    <b:Title>A Strategic posture toward corporate social responsibility</b:Title>
    <b:JournalName>Caliofornia Management</b:JournalName>
    <b:Year>1975</b:Year>
    <b:Pages>49-58</b:Pages>
    <b:Volume>18,No.2</b:Volume>
    <b:RefOrder>3</b:RefOrder>
  </b:Source>
  <b:Source>
    <b:Tag>Bow751</b:Tag>
    <b:SourceType>JournalArticle</b:SourceType>
    <b:Guid>{F5FC9277-223E-4032-B8E9-52826E4C86D7}</b:Guid>
    <b:Author>
      <b:Author>
        <b:NameList>
          <b:Person>
            <b:Last>Bowman</b:Last>
            <b:First>E</b:First>
            <b:Middle>H</b:Middle>
          </b:Person>
          <b:Person>
            <b:Last>Haire</b:Last>
            <b:First>M</b:First>
          </b:Person>
        </b:NameList>
      </b:Author>
    </b:Author>
    <b:Title>a strategic posture toward corporate social responsibility</b:Title>
    <b:JournalName>California Management</b:JournalName>
    <b:Year>1975</b:Year>
    <b:Pages>49-58</b:Pages>
    <b:Volume>18, No.2</b:Volume>
    <b:RefOrder>4</b:RefOrder>
  </b:Source>
  <b:Source>
    <b:Tag>Bow97</b:Tag>
    <b:SourceType>JournalArticle</b:SourceType>
    <b:Guid>{C06D6EB7-D362-45F9-9CDA-A676ECD8ED50}</b:Guid>
    <b:Author>
      <b:Author>
        <b:NameList>
          <b:Person>
            <b:Last>Bowman</b:Last>
            <b:First>E</b:First>
            <b:Middle>H</b:Middle>
          </b:Person>
          <b:Person>
            <b:Last>M</b:Last>
            <b:First>Haire</b:First>
          </b:Person>
        </b:NameList>
      </b:Author>
    </b:Author>
    <b:Title>A Strategic posture toward corporate social responsibility</b:Title>
    <b:JournalName>California Management</b:JournalName>
    <b:Year>1997</b:Year>
    <b:Pages>49-58</b:Pages>
    <b:Volume>18</b:Volume>
    <b:Issue>2</b:Issue>
    <b:RefOrder>5</b:RefOrder>
  </b:Source>
  <b:Source>
    <b:Tag>Bow752</b:Tag>
    <b:SourceType>JournalArticle</b:SourceType>
    <b:Guid>{811DDF35-FA6D-4DAF-A9FF-CA9B3B25A943}</b:Guid>
    <b:Author>
      <b:Author>
        <b:NameList>
          <b:Person>
            <b:Last>Bowman</b:Last>
            <b:First>E</b:First>
            <b:Middle>H</b:Middle>
          </b:Person>
          <b:Person>
            <b:Last>M</b:Last>
            <b:First>Haire</b:First>
          </b:Person>
        </b:NameList>
      </b:Author>
    </b:Author>
    <b:Title>A strategic posture toward corporate social responsibility</b:Title>
    <b:JournalName>California Management</b:JournalName>
    <b:Year>1975</b:Year>
    <b:Pages>49-58</b:Pages>
    <b:Volume>18</b:Volume>
    <b:Issue>2</b:Issue>
    <b:RefOrder>1</b:RefOrder>
  </b:Source>
  <b:Source>
    <b:Tag>Placeholder1</b:Tag>
    <b:SourceType>JournalArticle</b:SourceType>
    <b:Guid>{0262FB5B-F8DB-47BB-824E-FE40167BFC8E}</b:Guid>
    <b:Title>A Strategic posture toward corporate social responsibility</b:Title>
    <b:JournalName>california Management</b:JournalName>
    <b:Year>1975</b:Year>
    <b:Pages>49-58</b:Pages>
    <b:Author>
      <b:Author>
        <b:NameList>
          <b:Person>
            <b:Last>Bowman</b:Last>
            <b:Middle>H</b:Middle>
            <b:First>E</b:First>
          </b:Person>
          <b:Person>
            <b:Last>Haire</b:Last>
            <b:First>M</b:First>
          </b:Person>
        </b:NameList>
      </b:Author>
    </b:Author>
    <b:Volume>18</b:Volume>
    <b:Issue>2</b:Issue>
    <b:RefOrder>1</b:RefOrder>
  </b:Source>
  <b:Source>
    <b:Tag>Bar05</b:Tag>
    <b:SourceType>JournalArticle</b:SourceType>
    <b:Guid>{9BD919C9-AC7A-46E7-AC5F-0B281954C67A}</b:Guid>
    <b:Title>Corporate Social Responsibility as a Conflict between shareholder</b:Title>
    <b:JournalName>Social Science and human Research</b:JournalName>
    <b:Year>2005</b:Year>
    <b:Pages>13-20</b:Pages>
    <b:Author>
      <b:Author>
        <b:NameList>
          <b:Person>
            <b:Last>Barnea</b:Last>
            <b:First>A</b:First>
          </b:Person>
          <b:Person>
            <b:Last>A</b:Last>
            <b:First>Rubin</b:First>
          </b:Person>
        </b:NameList>
      </b:Author>
    </b:Author>
    <b:RefOrder>2</b:RefOrder>
  </b:Source>
  <b:Source>
    <b:Tag>Bow53</b:Tag>
    <b:SourceType>JournalArticle</b:SourceType>
    <b:Guid>{8AE68C02-408D-4458-921A-728819B5603B}</b:Guid>
    <b:Title>Social Responsibility of the Business</b:Title>
    <b:JournalName>Californian Management Review</b:JournalName>
    <b:Year>1953</b:Year>
    <b:Pages>49-58</b:Pages>
    <b:Author>
      <b:Author>
        <b:NameList>
          <b:Person>
            <b:Last>Bowen</b:Last>
            <b:Middle>R</b:Middle>
            <b:First>H</b:First>
          </b:Person>
        </b:NameList>
      </b:Author>
    </b:Author>
    <b:Volume>18, No.3</b:Volume>
    <b:RefOrder>3</b:RefOrder>
  </b:Source>
  <b:Source>
    <b:Tag>Car79</b:Tag>
    <b:SourceType>JournalArticle</b:SourceType>
    <b:Guid>{2FC1D4FB-CA07-4FFA-82FE-D7418596F64C}</b:Guid>
    <b:Title>A Three Dimensional Conceptual Model of Corporate performance</b:Title>
    <b:JournalName>Academy of Management Review</b:JournalName>
    <b:Year>1979</b:Year>
    <b:Pages>499</b:Pages>
    <b:Author>
      <b:Author>
        <b:NameList>
          <b:Person>
            <b:Last>Carrol</b:Last>
            <b:Middle>B</b:Middle>
            <b:First>A</b:First>
          </b:Person>
        </b:NameList>
      </b:Author>
    </b:Author>
    <b:RefOrder>4</b:RefOrder>
  </b:Source>
  <b:Source>
    <b:Tag>Car91</b:Tag>
    <b:SourceType>JournalArticle</b:SourceType>
    <b:Guid>{3C604925-8E52-4EE3-8E49-32FD9549F525}</b:Guid>
    <b:Title>CSP Measurement: A Commentatory on Methods for Evaluating an Illusive Construct</b:Title>
    <b:JournalName>Research in Corporate Social Performance  and Policy</b:JournalName>
    <b:Year>1991</b:Year>
    <b:Pages>12</b:Pages>
    <b:Author>
      <b:Author>
        <b:NameList>
          <b:Person>
            <b:Last>Carroll</b:Last>
            <b:First>A</b:First>
          </b:Person>
        </b:NameList>
      </b:Author>
    </b:Author>
    <b:RefOrder>5</b:RefOrder>
  </b:Source>
  <b:Source>
    <b:Tag>Eur01</b:Tag>
    <b:SourceType>JournalArticle</b:SourceType>
    <b:Guid>{4E5E6146-A640-478A-8D06-B8220C26C2B4}</b:Guid>
    <b:Title>Promoting a European Framework for Corporate Social Responsibility</b:Title>
    <b:JournalName>Green Paper and COM</b:JournalName>
    <b:Year>2001</b:Year>
    <b:Pages>366</b:Pages>
    <b:Author>
      <b:Author>
        <b:Corporate>European Commission</b:Corporate>
      </b:Author>
    </b:Author>
    <b:RefOrder>6</b:RefOrder>
  </b:Source>
  <b:Source>
    <b:Tag>Eli05</b:Tag>
    <b:SourceType>JournalArticle</b:SourceType>
    <b:Guid>{81DD4530-93DF-46D1-AF05-3F71BC80EFEE}</b:Guid>
    <b:Title>Agency Costs, Leverage, and Corporate Social Responsibility: A test of causality.</b:Title>
    <b:JournalName>Financial Decision</b:JournalName>
    <b:Year>2005</b:Year>
    <b:Pages>Article 1</b:Pages>
    <b:Author>
      <b:Author>
        <b:NameList>
          <b:Person>
            <b:Last>Elizabath</b:Last>
            <b:First>W</b:First>
          </b:Person>
        </b:NameList>
      </b:Author>
    </b:Author>
    <b:RefOrder>7</b:RefOrder>
  </b:Source>
  <b:Source>
    <b:Tag>Fer10</b:Tag>
    <b:SourceType>JournalArticle</b:SourceType>
    <b:Guid>{87D12126-C53E-46CF-9349-3363BB4F3DC3}</b:Guid>
    <b:Title>Perception of Corporate Social Responsibility by Bangladeshi Managers: An Exploratory Study</b:Title>
    <b:JournalName>International Review of Business Research Papers</b:JournalName>
    <b:Year>2010</b:Year>
    <b:Pages>119-136</b:Pages>
    <b:Author>
      <b:Author>
        <b:NameList>
          <b:Person>
            <b:Last>Fernanda</b:Last>
            <b:Middle>Duartel</b:Middle>
            <b:First>P</b:First>
          </b:Person>
          <b:Person>
            <b:Last>S</b:Last>
            <b:First>Rahman</b:First>
          </b:Person>
        </b:NameList>
      </b:Author>
    </b:Author>
    <b:Volume>6, No.5</b:Volume>
    <b:RefOrder>8</b:RefOrder>
  </b:Source>
  <b:Source>
    <b:Tag>Fau07</b:Tag>
    <b:SourceType>JournalArticle</b:SourceType>
    <b:Guid>{29337066-6CD9-48C5-92F1-7AD29C341182}</b:Guid>
    <b:Title>The Link between Corporate Social Performance and Financial Performance: Evidence fron Indonesian Companies</b:Title>
    <b:JournalName>Social and Environmental Accounting</b:JournalName>
    <b:Year>2007</b:Year>
    <b:Pages>149-159</b:Pages>
    <b:Author>
      <b:Author>
        <b:NameList>
          <b:Person>
            <b:Last>Fauzi L</b:Last>
            <b:Middle>M</b:Middle>
            <b:First>S</b:First>
          </b:Person>
          <b:Person>
            <b:Last>A</b:Last>
            <b:Middle>Rahman</b:Middle>
            <b:First>A</b:First>
          </b:Person>
        </b:NameList>
      </b:Author>
    </b:Author>
    <b:Volume>1, No. 1</b:Volume>
    <b:RefOrder>9</b:RefOrder>
  </b:Source>
  <b:Source>
    <b:Tag>Hal14</b:Tag>
    <b:SourceType>JournalArticle</b:SourceType>
    <b:Guid>{00B56C33-AEAA-43A8-82BE-5A1FB2507D63}</b:Guid>
    <b:Title>An Insight into Corporate Social Responsibility Practices of Commercial Banks in Bangladesh</b:Title>
    <b:JournalName>Unpublished</b:JournalName>
    <b:Year>2014</b:Year>
    <b:Pages>1-5</b:Pages>
    <b:Author>
      <b:Author>
        <b:NameList>
          <b:Person>
            <b:Last>Haldar</b:Last>
            <b:Middle>K</b:Middle>
            <b:First>P</b:First>
          </b:Person>
          <b:Person>
            <b:Last>Rahman</b:Last>
          </b:Person>
        </b:NameList>
      </b:Author>
    </b:Author>
    <b:RefOrder>10</b:RefOrder>
  </b:Source>
  <b:Source>
    <b:Tag>Gra87</b:Tag>
    <b:SourceType>Book</b:SourceType>
    <b:Guid>{6EC5752D-8AC0-4FD2-8C2E-803CA4813D74}</b:Guid>
    <b:Title>Corporate Social Reporting: Accounting and Accountability</b:Title>
    <b:Year>1987</b:Year>
    <b:Author>
      <b:Author>
        <b:NameList>
          <b:Person>
            <b:Last>Gray R</b:Last>
            <b:Middle>D</b:Middle>
            <b:First>H</b:First>
          </b:Person>
          <b:Person>
            <b:Last>K</b:Last>
            <b:First>Maunders</b:First>
          </b:Person>
        </b:NameList>
      </b:Author>
    </b:Author>
    <b:City>London</b:City>
    <b:Publisher>Prentice-Hall International</b:Publisher>
    <b:RefOrder>11</b:RefOrder>
  </b:Source>
  <b:Source>
    <b:Tag>Gra94</b:Tag>
    <b:SourceType>JournalArticle</b:SourceType>
    <b:Guid>{2BB71250-CCFF-4B42-9AE3-A7EA19D21D6B}</b:Guid>
    <b:Title>Institutional Ownership and Corporate Social Performance</b:Title>
    <b:Year>1994</b:Year>
    <b:JournalName>Academy of Management Journal</b:JournalName>
    <b:Pages>1034-1046</b:Pages>
    <b:Author>
      <b:Author>
        <b:NameList>
          <b:Person>
            <b:Last>Graves</b:Last>
            <b:Middle>B</b:Middle>
            <b:First>S</b:First>
          </b:Person>
          <b:Person>
            <b:Last>S</b:Last>
            <b:Middle>Waddock</b:Middle>
            <b:First>A</b:First>
          </b:Person>
        </b:NameList>
      </b:Author>
    </b:Author>
    <b:Volume>37, No.4</b:Volume>
    <b:RefOrder>12</b:RefOrder>
  </b:Source>
  <b:Source>
    <b:Tag>Gri97</b:Tag>
    <b:SourceType>JournalArticle</b:SourceType>
    <b:Guid>{E3846D53-2F02-4045-909D-137C9B16CB3D}</b:Guid>
    <b:Title>The Corporate Social Performance and Corporate Financial Performance Debate: Twenty Five years of incomparable Research.</b:Title>
    <b:JournalName>Business and Society</b:JournalName>
    <b:Year>1997</b:Year>
    <b:Pages>5-31</b:Pages>
    <b:Author>
      <b:Author>
        <b:NameList>
          <b:Person>
            <b:Last>Griffin</b:Last>
            <b:First>J</b:First>
          </b:Person>
          <b:Person>
            <b:Last>J</b:Last>
            <b:Middle>Mahom</b:Middle>
            <b:First>F</b:First>
          </b:Person>
        </b:NameList>
      </b:Author>
    </b:Author>
    <b:Volume>36, No.2</b:Volume>
    <b:RefOrder>13</b:RefOrder>
  </b:Source>
  <b:Source>
    <b:Tag>Geo08</b:Tag>
    <b:SourceType>Report</b:SourceType>
    <b:Guid>{CBBB7BA5-6C9E-4CEC-8A71-FA75375B06D7}</b:Guid>
    <b:Title>Attaining sustainable growth through Corporate Social Responsibility</b:Title>
    <b:Year>2008</b:Year>
    <b:Author>
      <b:Author>
        <b:NameList>
          <b:Person>
            <b:Last>George</b:Last>
            <b:First>P</b:First>
          </b:Person>
          <b:Person>
            <b:Last>J</b:Last>
            <b:First>Hittner</b:First>
          </b:Person>
        </b:NameList>
      </b:Author>
    </b:Author>
    <b:Publisher>IBM</b:Publisher>
    <b:RefOrder>14</b:RefOrder>
  </b:Source>
  <b:Source>
    <b:Tag>Gut90</b:Tag>
    <b:SourceType>JournalArticle</b:SourceType>
    <b:Guid>{44D30601-7016-4A06-A33D-E0619FE011C8}</b:Guid>
    <b:Title>Corporate Social Disclosure Practice: A Comperative International Analysis</b:Title>
    <b:Year>1990</b:Year>
    <b:JournalName>Advances in public interest Accounting</b:JournalName>
    <b:Pages>159-175</b:Pages>
    <b:Author>
      <b:Author>
        <b:NameList>
          <b:Person>
            <b:Last>Guthrie</b:Last>
            <b:First>J</b:First>
          </b:Person>
          <b:Person>
            <b:Last>L</b:Last>
            <b:Middle>Parket</b:Middle>
            <b:First>D</b:First>
          </b:Person>
        </b:NameList>
      </b:Author>
    </b:Author>
    <b:Volume>3, No.1</b:Volume>
    <b:RefOrder>15</b:RefOrder>
  </b:Source>
  <b:Source>
    <b:Tag>Mao03</b:Tag>
    <b:SourceType>JournalArticle</b:SourceType>
    <b:Guid>{9AAD4743-A406-4422-9EBC-1C449F637707}</b:Guid>
    <b:Title>Interaction of Debt Agency Problems and Optimal Capital Structure: Theory and Evidence</b:Title>
    <b:JournalName>Journal of Financial Quantitative Analysis</b:JournalName>
    <b:Year>2003</b:Year>
    <b:Pages>399-423</b:Pages>
    <b:Author>
      <b:Author>
        <b:NameList>
          <b:Person>
            <b:Last>Mao</b:Last>
            <b:Middle>X</b:Middle>
            <b:First>C</b:First>
          </b:Person>
        </b:NameList>
      </b:Author>
    </b:Author>
    <b:Volume>38, No.6</b:Volume>
    <b:RefOrder>16</b:RefOrder>
  </b:Source>
  <b:Source>
    <b:Tag>Mye77</b:Tag>
    <b:SourceType>JournalArticle</b:SourceType>
    <b:Guid>{0174919C-ED8F-49BC-9730-7B83627B0756}</b:Guid>
    <b:Title>Determinants of Corporate  Borrowing</b:Title>
    <b:JournalName>Journal of Financial Economics</b:JournalName>
    <b:Year>1977</b:Year>
    <b:Pages>147-175</b:Pages>
    <b:Author>
      <b:Author>
        <b:NameList>
          <b:Person>
            <b:Last>Myers</b:Last>
            <b:First>S</b:First>
          </b:Person>
        </b:NameList>
      </b:Author>
    </b:Author>
    <b:Volume>5, No.3</b:Volume>
    <b:RefOrder>17</b:RefOrder>
  </b:Source>
  <b:Source>
    <b:Tag>McW01</b:Tag>
    <b:SourceType>JournalArticle</b:SourceType>
    <b:Guid>{2848FBB2-139C-4A6F-B482-4F0276DDF319}</b:Guid>
    <b:Title>corporate Social Responsibility:A theory of the firm perspective</b:Title>
    <b:JournalName>Academy of management Review</b:JournalName>
    <b:Year>2001</b:Year>
    <b:Pages>117-127</b:Pages>
    <b:Author>
      <b:Author>
        <b:NameList>
          <b:Person>
            <b:Last>Mc Williams</b:Last>
            <b:First>A</b:First>
          </b:Person>
          <b:Person>
            <b:Last>D</b:Last>
            <b:First>siegel</b:First>
          </b:Person>
        </b:NameList>
      </b:Author>
    </b:Author>
    <b:Volume>26,No.1</b:Volume>
    <b:RefOrder>18</b:RefOrder>
  </b:Source>
  <b:Source>
    <b:Tag>Mer06</b:Tag>
    <b:SourceType>JournalArticle</b:SourceType>
    <b:Guid>{16792B40-5946-48A4-9441-8A3240E4CBC3}</b:Guid>
    <b:Title>The Effects of CEO pay structure on Corporate Social Performance</b:Title>
    <b:JournalName>Journal of Management</b:JournalName>
    <b:Year>2006</b:Year>
    <b:Pages>329-342</b:Pages>
    <b:Author>
      <b:Author>
        <b:NameList>
          <b:Person>
            <b:Last>Merriman</b:Last>
          </b:Person>
          <b:Person>
            <b:Last>K</b:Last>
            <b:Middle>Gupta</b:Middle>
            <b:First>S</b:First>
          </b:Person>
        </b:NameList>
      </b:Author>
    </b:Author>
    <b:Volume>32, No.3</b:Volume>
    <b:RefOrder>19</b:RefOrder>
  </b:Source>
  <b:Source>
    <b:Tag>Noy08</b:Tag>
    <b:SourceType>InternetSite</b:SourceType>
    <b:Guid>{9BA5428A-DEC5-46B1-8162-92E80F980B97}</b:Guid>
    <b:Year>2008</b:Year>
    <b:Month>March</b:Month>
    <b:YearAccessed>2014</b:YearAccessed>
    <b:MonthAccessed>March</b:MonthAccessed>
    <b:DayAccessed>25</b:DayAccessed>
    <b:URL>www.banque france.fr discourase/disc081028.pdf</b:URL>
    <b:Author>
      <b:Author>
        <b:NameList>
          <b:Person>
            <b:Last>Noyer</b:Last>
            <b:First>C</b:First>
          </b:Person>
        </b:NameList>
      </b:Author>
    </b:Author>
    <b:RefOrder>20</b:RefOrder>
  </b:Source>
  <b:Source>
    <b:Tag>Wil13</b:Tag>
    <b:SourceType>JournalArticle</b:SourceType>
    <b:Guid>{1D119373-044F-472B-9B25-DB0A185AC6D3}</b:Guid>
    <b:Title>Corporate Social Responsibilty and Bank Performance</b:Title>
    <b:Year>2013</b:Year>
    <b:JournalName>Journal of Business Ethics</b:JournalName>
    <b:Pages>143-158</b:Pages>
    <b:Author>
      <b:Author>
        <b:NameList>
          <b:Person>
            <b:Last>William</b:Last>
            <b:First>P</b:First>
          </b:Person>
        </b:NameList>
      </b:Author>
    </b:Author>
    <b:Volume>93, No.1</b:Volume>
    <b:RefOrder>21</b:RefOrder>
  </b:Source>
  <b:Source>
    <b:Tag>She09</b:Tag>
    <b:SourceType>JournalArticle</b:SourceType>
    <b:Guid>{36E5E7C5-DA9C-4162-A5F4-AC8BF2A0EE50}</b:Guid>
    <b:Title>Ambition versus conscience, does corporate social responsibility pay off? the application of machine method</b:Title>
    <b:JournalName>Journal of Business Ethics</b:JournalName>
    <b:Year>2009</b:Year>
    <b:Pages>133-153</b:Pages>
    <b:Author>
      <b:Author>
        <b:NameList>
          <b:Person>
            <b:Last>Shen</b:Last>
            <b:Middle>H</b:Middle>
            <b:First>C</b:First>
          </b:Person>
          <b:Person>
            <b:Last>Y</b:Last>
            <b:First>Chang</b:First>
          </b:Person>
        </b:NameList>
      </b:Author>
    </b:Author>
    <b:Volume>88, No.1</b:Volume>
    <b:RefOrder>22</b:RefOrder>
  </b:Source>
  <b:Source>
    <b:Tag>Sha11</b:Tag>
    <b:SourceType>JournalArticle</b:SourceType>
    <b:Guid>{7A0D0D7C-D237-43BC-B6E6-3433CA0207D1}</b:Guid>
    <b:Title>CSR Practices and CSR Reporting in Indian Banking Sector</b:Title>
    <b:JournalName>International Journal of Advanced Economic and Business Management</b:JournalName>
    <b:Year>2011</b:Year>
    <b:Pages>72-80</b:Pages>
    <b:Author>
      <b:Author>
        <b:NameList>
          <b:Person>
            <b:Last>Sharma</b:Last>
          </b:Person>
          <b:Person>
            <b:Last>Nishi</b:Last>
          </b:Person>
        </b:NameList>
      </b:Author>
    </b:Author>
    <b:Volume>1, No.2</b:Volume>
    <b:RefOrder>23</b:RefOrder>
  </b:Source>
  <b:Source>
    <b:Tag>Sim02</b:Tag>
    <b:SourceType>JournalArticle</b:SourceType>
    <b:Guid>{280AD70C-3FA5-4D2B-AFE5-306B4AFABC3F}</b:Guid>
    <b:Title>The Link Between Corporate Social and Financial Performance: Evidence from the Banking Industry</b:Title>
    <b:JournalName>Journal of Business Ethics</b:JournalName>
    <b:Year>2002</b:Year>
    <b:Pages>97-109</b:Pages>
    <b:Author>
      <b:Author>
        <b:NameList>
          <b:Person>
            <b:Last>Simpson</b:Last>
            <b:Middle>G</b:Middle>
            <b:First>W</b:First>
          </b:Person>
          <b:Person>
            <b:Last>T</b:Last>
            <b:First>Kohers</b:First>
          </b:Person>
        </b:NameList>
      </b:Author>
    </b:Author>
    <b:Volume>35, No.7</b:Volume>
    <b:RefOrder>24</b:RefOrder>
  </b:Source>
  <b:Source>
    <b:Tag>Ven07</b:Tag>
    <b:SourceType>JournalArticle</b:SourceType>
    <b:Guid>{7D14BFF5-2D82-41F1-B7B0-87DFBFF98011}</b:Guid>
    <b:Title>Social Responsibility as a displacement of Capitalism: evidence from banks in Brazil</b:Title>
    <b:JournalName>Electronic Journal of Business Ethics and Organisational Studies</b:JournalName>
    <b:Year>2007</b:Year>
    <b:Pages>35-47</b:Pages>
    <b:Author>
      <b:Author>
        <b:NameList>
          <b:Person>
            <b:Last>Ventura E</b:Last>
            <b:Middle>F</b:Middle>
            <b:First>C</b:First>
          </b:Person>
          <b:Person>
            <b:Last>M</b:Last>
            <b:Middle>F Vieira</b:Middle>
            <b:First>M</b:First>
          </b:Person>
        </b:NameList>
      </b:Author>
    </b:Author>
    <b:Volume>12, No.1</b:Volume>
    <b:RefOrder>25</b:RefOrder>
  </b:Source>
  <b:Source>
    <b:Tag>Wad97</b:Tag>
    <b:SourceType>JournalArticle</b:SourceType>
    <b:Guid>{30B30332-76CF-417A-A9F7-72C87741527F}</b:Guid>
    <b:Title>The Corporate Social Performance-Financial Performance Link</b:Title>
    <b:JournalName>Strategic Management Journal</b:JournalName>
    <b:Year>1997</b:Year>
    <b:Pages>303-319</b:Pages>
    <b:Author>
      <b:Author>
        <b:NameList>
          <b:Person>
            <b:Last>Waddock</b:Last>
            <b:Middle>A</b:Middle>
            <b:First>S</b:First>
          </b:Person>
          <b:Person>
            <b:Last>S</b:Last>
            <b:Middle>Graves</b:Middle>
            <b:First>B</b:First>
          </b:Person>
        </b:NameList>
      </b:Author>
    </b:Author>
    <b:Volume>18, No.5</b:Volume>
    <b:RefOrder>26</b:RefOrder>
  </b:Source>
  <b:Source>
    <b:Tag>Woo95</b:Tag>
    <b:SourceType>JournalArticle</b:SourceType>
    <b:Guid>{AA12D2EE-4A07-4D3B-A64B-DB21DC84B578}</b:Guid>
    <b:Title>Stakeholder Mismatching: A Theoritical Problem in Empirical Research on Corporate Social Performance</b:Title>
    <b:JournalName>International Journal of Organisational Analysis</b:JournalName>
    <b:Year>1995</b:Year>
    <b:Pages>229-267</b:Pages>
    <b:Author>
      <b:Author>
        <b:NameList>
          <b:Person>
            <b:Last>Wood</b:Last>
            <b:Middle>J</b:Middle>
            <b:First>D</b:First>
          </b:Person>
          <b:Person>
            <b:Last>R</b:Last>
            <b:Middle>Jones</b:Middle>
            <b:First>E</b:First>
          </b:Person>
        </b:NameList>
      </b:Author>
    </b:Author>
    <b:Volume>3, No.2</b:Volume>
    <b:RefOrder>27</b:RefOrder>
  </b:Source>
  <b:Source>
    <b:Tag>www</b:Tag>
    <b:SourceType>InternetSite</b:SourceType>
    <b:Guid>{4870991B-1365-4F56-AFC7-70779423E2EF}</b:Guid>
    <b:URL>www.BB.BD.org/DOS/Publication</b:URL>
    <b:RefOrder>28</b:RefOrder>
  </b:Source>
  <b:Source>
    <b:Tag>DON00</b:Tag>
    <b:SourceType>JournalArticle</b:SourceType>
    <b:Guid>{E7F6581E-EF8B-4DD7-8A3A-2D129D044AA4}</b:Guid>
    <b:Author>
      <b:Author>
        <b:NameList>
          <b:Person>
            <b:Last>DONALD</b:Last>
            <b:First>S.</b:First>
          </b:Person>
        </b:NameList>
      </b:Author>
    </b:Author>
    <b:Title>Corporate Social Responsibility and Financial Performance: Correlation or Misspecification</b:Title>
    <b:JournalName>Source: Strategic Management Journal</b:JournalName>
    <b:Year>2000</b:Year>
    <b:Pages> Vol. 21, No. 5</b:Pages>
    <b:RefOrder>1</b:RefOrder>
  </b:Source>
  <b:Source>
    <b:Tag>McW011</b:Tag>
    <b:SourceType>JournalArticle</b:SourceType>
    <b:Guid>{57C4D497-9A31-4C88-819D-0513037B5126}</b:Guid>
    <b:Author>
      <b:Author>
        <b:NameList>
          <b:Person>
            <b:Last>McWilliams</b:Last>
            <b:First>A.</b:First>
          </b:Person>
          <b:Person>
            <b:Last>Siegel</b:Last>
            <b:First>D.</b:First>
          </b:Person>
        </b:NameList>
      </b:Author>
    </b:Author>
    <b:Title>‘Corporate social responsibility and financial performance: Correlation or misspecification?’ </b:Title>
    <b:JournalName> Strategic Management Journal </b:JournalName>
    <b:Year>2001</b:Year>
    <b:Pages>21: 603–609.</b:Pages>
    <b:RefOrder>2</b:RefOrder>
  </b:Source>
  <b:Source>
    <b:Tag>Placeholder2</b:Tag>
    <b:SourceType>Report</b:SourceType>
    <b:Guid>{66B7AB43-8053-4EFE-8010-EB26981284FF}</b:Guid>
    <b:Author>
      <b:Author>
        <b:NameList>
          <b:Person>
            <b:Last>George</b:Last>
            <b:First>P.</b:First>
          </b:Person>
          <b:Person>
            <b:Last>Hittner</b:Last>
            <b:First>J.</b:First>
          </b:Person>
        </b:NameList>
      </b:Author>
    </b:Author>
    <b:Title>Attaining sustainable growth through corporate social responsibility</b:Title>
    <b:Year>2008</b:Year>
    <b:Publisher>IBM Global Services</b:Publisher>
    <b:City>Somers, NY</b:City>
    <b:RefOrder>3</b:RefOrder>
  </b:Source>
  <b:Source>
    <b:Tag>Placeholder3</b:Tag>
    <b:SourceType>JournalArticle</b:SourceType>
    <b:Guid>{B36A13AE-BA3F-4526-B06B-8BF416468620}</b:Guid>
    <b:Author>
      <b:Author>
        <b:NameList>
          <b:Person>
            <b:Last>Guthrie</b:Last>
            <b:First>,</b:First>
            <b:Middle>J.</b:Middle>
          </b:Person>
          <b:Person>
            <b:Last>Parker</b:Last>
            <b:First>L.D.</b:First>
          </b:Person>
        </b:NameList>
      </b:Author>
    </b:Author>
    <b:Title>Corporate social disclosure practice: a comparative international analysis</b:Title>
    <b:Year> 1990</b:Year>
    <b:JournalName>Advance in Public Interest Accounting </b:JournalName>
    <b:Pages> 3, 159-75.</b:Pages>
    <b:RefOrder>4</b:RefOrder>
  </b:Source>
  <b:Source>
    <b:Tag>Web05</b:Tag>
    <b:SourceType>JournalArticle</b:SourceType>
    <b:Guid>{820E943E-716E-4342-9621-27594CA4BA1B}</b:Guid>
    <b:Author>
      <b:Author>
        <b:NameList>
          <b:Person>
            <b:Last>Webb</b:Last>
            <b:First>E.</b:First>
          </b:Person>
        </b:NameList>
      </b:Author>
    </b:Author>
    <b:Title>Agency Costs, Leverage, and Corporate Social Responsibility: A Test of Causality</b:Title>
    <b:JournalName>Financial Decisions</b:JournalName>
    <b:Year>2005</b:Year>
    <b:Pages>Financial Decisions, Fall 2005, Article 1</b:Pages>
    <b:RefOrder>5</b:RefOrder>
  </b:Source>
  <b:Source>
    <b:Tag>Sal</b:Tag>
    <b:SourceType>JournalArticle</b:SourceType>
    <b:Guid>{B2B0CC03-F78E-4B07-B995-A8C2A5E3E1B7}</b:Guid>
    <b:Author>
      <b:Author>
        <b:NameList>
          <b:Person>
            <b:Last>Saleha</b:Last>
            <b:First>M.</b:First>
          </b:Person>
          <b:Person>
            <b:Last>Zulkiflib</b:Last>
            <b:First>N.</b:First>
          </b:Person>
          <b:Person>
            <b:Last>Muhamadc</b:Last>
            <b:First>R.</b:First>
          </b:Person>
        </b:NameList>
      </b:Author>
    </b:Author>
    <b:Title>An Empirical Examination of the Relationship between Corporate Social Responsibility Disclosure and Financial Performance in an Emerging Market</b:Title>
    <b:RefOrder>6</b:RefOrder>
  </b:Source>
  <b:Source>
    <b:Tag>Par13</b:Tag>
    <b:SourceType>JournalArticle</b:SourceType>
    <b:Guid>{A3F68B8B-5E10-4AC5-875C-3B970FE1F632}</b:Guid>
    <b:Author>
      <b:Author>
        <b:NameList>
          <b:Person>
            <b:Last>Park</b:Last>
          </b:Person>
        </b:NameList>
      </b:Author>
    </b:Author>
    <b:Title>Corporate Social Responsibility and Bank performance</b:Title>
    <b:Year>2013</b:Year>
    <b:RefOrder>7</b:RefOrder>
  </b:Source>
  <b:Source>
    <b:Tag>Fog75</b:Tag>
    <b:SourceType>JournalArticle</b:SourceType>
    <b:Guid>{6706E4B0-7C3A-4D94-9BBF-6B003AE169F8}</b:Guid>
    <b:Author>
      <b:Author>
        <b:NameList>
          <b:Person>
            <b:Last>Fogler</b:Last>
            <b:First>R.</b:First>
            <b:Middle>H.</b:Middle>
          </b:Person>
          <b:Person>
            <b:Last>Nutt</b:Last>
            <b:First>F.</b:First>
          </b:Person>
        </b:NameList>
      </b:Author>
    </b:Author>
    <b:Title>A Note on Social Responsibility and Stock Valuation</b:Title>
    <b:Year>1975</b:Year>
    <b:JournalName>Acad. Manage. J.</b:JournalName>
    <b:Pages>18(1): pp 155-160.</b:Pages>
    <b:RefOrder>5</b:RefOrder>
  </b:Source>
  <b:Source>
    <b:Tag>Ull85</b:Tag>
    <b:SourceType>JournalArticle</b:SourceType>
    <b:Guid>{D63D5C56-9BFC-4543-BBB9-323BC2B04C6D}</b:Guid>
    <b:Author>
      <b:Author>
        <b:NameList>
          <b:Person>
            <b:Last>Ullmann</b:Last>
            <b:First>A.</b:First>
            <b:Middle>A.</b:Middle>
          </b:Person>
        </b:NameList>
      </b:Author>
    </b:Author>
    <b:Title>Data in Search of a Theory: A Critical Examination of the Relationships among Social Performance, Social Disclosure, and Economic Performance of U.S. Firms.</b:Title>
    <b:JournalName>Acad.Manage. Review</b:JournalName>
    <b:Year>1985</b:Year>
    <b:Pages>10: pp 540-557</b:Pages>
    <b:RefOrder>1</b:RefOrder>
  </b:Source>
  <b:Source>
    <b:Tag>Placeholder4</b:Tag>
    <b:SourceType>JournalArticle</b:SourceType>
    <b:Guid>{B379F4F8-7F38-46E2-82DB-B5ED252A3AE7}</b:Guid>
    <b:Author>
      <b:Author>
        <b:NameList>
          <b:Person>
            <b:Last>Waddock</b:Last>
            <b:First>SA</b:First>
          </b:Person>
          <b:Person>
            <b:Last>Samuel</b:Last>
            <b:First>BG</b:First>
          </b:Person>
        </b:NameList>
      </b:Author>
    </b:Author>
    <b:Title>The corporation social performance – financial performance Link</b:Title>
    <b:JournalName>Strategic.Management. J.</b:JournalName>
    <b:Year>1997</b:Year>
    <b:Pages>18 (4): pp 303-319</b:Pages>
    <b:RefOrder>2</b:RefOrder>
  </b:Source>
  <b:Source>
    <b:Tag>Sta98</b:Tag>
    <b:SourceType>JournalArticle</b:SourceType>
    <b:Guid>{DF29CDA7-9327-4928-8E32-CC62F643AC92}</b:Guid>
    <b:Author>
      <b:Author>
        <b:NameList>
          <b:Person>
            <b:Last>Stanwick</b:Last>
            <b:First>P.</b:First>
            <b:Middle>A.</b:Middle>
          </b:Person>
          <b:Person>
            <b:Last>Sarah</b:Last>
            <b:First>D.</b:First>
            <b:Middle>S.</b:Middle>
          </b:Person>
        </b:NameList>
      </b:Author>
    </b:Author>
    <b:Title>The Relationship between Corporate Social Performance and Organizational Size, Financial Performance, and Environmental Performance: An Empirical Examination</b:Title>
    <b:JournalName>Journal of Business Ethics</b:JournalName>
    <b:Year>1998</b:Year>
    <b:Pages>17 (2), pp 195-204</b:Pages>
    <b:RefOrder>3</b:RefOrder>
  </b:Source>
  <b:Source>
    <b:Tag>Hul08</b:Tag>
    <b:SourceType>JournalArticle</b:SourceType>
    <b:Guid>{FF17E3C7-8962-4D83-8BD4-D7C4D111FBAA}</b:Guid>
    <b:Author>
      <b:Author>
        <b:NameList>
          <b:Person>
            <b:Last>Hull</b:Last>
            <b:First>CE</b:First>
          </b:Person>
          <b:Person>
            <b:Last>Rothenberg</b:Last>
            <b:First>S</b:First>
          </b:Person>
        </b:NameList>
      </b:Author>
    </b:Author>
    <b:Title>Firm performance: The interactions of corporate social performance with innovation and industry differentiation</b:Title>
    <b:JournalName>Strategic Manage. J.</b:JournalName>
    <b:Year>2008</b:Year>
    <b:Pages>29: pp 781-789.</b:Pages>
    <b:RefOrder>4</b:RefOrder>
  </b:Source>
</b:Sources>
</file>

<file path=customXml/itemProps1.xml><?xml version="1.0" encoding="utf-8"?>
<ds:datastoreItem xmlns:ds="http://schemas.openxmlformats.org/officeDocument/2006/customXml" ds:itemID="{F0CAB8CF-DB6E-482F-A827-356B0D33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2028</TotalTime>
  <Pages>12</Pages>
  <Words>3969</Words>
  <Characters>22626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S.M.Rahman</dc:creator>
  <cp:lastModifiedBy>Acer</cp:lastModifiedBy>
  <cp:revision>240</cp:revision>
  <dcterms:created xsi:type="dcterms:W3CDTF">2015-11-08T05:19:00Z</dcterms:created>
  <dcterms:modified xsi:type="dcterms:W3CDTF">2016-08-15T05:05:00Z</dcterms:modified>
</cp:coreProperties>
</file>