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96A" w:rsidRPr="00F01DEB" w:rsidRDefault="001D596A">
      <w:pPr>
        <w:bidi w:val="0"/>
        <w:rPr>
          <w:rFonts w:ascii="Times New Roman" w:hAnsi="Times New Roman" w:cs="Times New Roman"/>
          <w:u w:val="single"/>
        </w:rPr>
      </w:pPr>
    </w:p>
    <w:p w:rsidR="001D596A" w:rsidRPr="00F01DEB" w:rsidRDefault="001D596A" w:rsidP="001D596A">
      <w:pPr>
        <w:bidi w:val="0"/>
        <w:rPr>
          <w:rFonts w:ascii="Times New Roman" w:hAnsi="Times New Roman" w:cs="Times New Roman"/>
          <w:u w:val="single"/>
        </w:rPr>
      </w:pPr>
    </w:p>
    <w:p w:rsidR="001D596A" w:rsidRPr="00F01DEB" w:rsidRDefault="001D596A" w:rsidP="001D596A">
      <w:pPr>
        <w:bidi w:val="0"/>
        <w:rPr>
          <w:rFonts w:ascii="Times New Roman" w:hAnsi="Times New Roman" w:cs="Times New Roman"/>
          <w:u w:val="single"/>
        </w:rPr>
      </w:pPr>
    </w:p>
    <w:p w:rsidR="001D596A" w:rsidRPr="00F01DEB" w:rsidRDefault="001D596A" w:rsidP="001D596A">
      <w:pPr>
        <w:bidi w:val="0"/>
        <w:rPr>
          <w:rFonts w:ascii="Times New Roman" w:hAnsi="Times New Roman" w:cs="Times New Roman"/>
          <w:u w:val="single"/>
        </w:rPr>
      </w:pPr>
    </w:p>
    <w:p w:rsidR="001D596A" w:rsidRPr="00F01DEB" w:rsidRDefault="001D596A" w:rsidP="001D596A">
      <w:pPr>
        <w:bidi w:val="0"/>
        <w:rPr>
          <w:rFonts w:ascii="Times New Roman" w:hAnsi="Times New Roman" w:cs="Times New Roman"/>
          <w:u w:val="single"/>
        </w:rPr>
      </w:pPr>
    </w:p>
    <w:p w:rsidR="001D596A" w:rsidRPr="00F01DEB" w:rsidRDefault="001D596A" w:rsidP="001D596A">
      <w:pPr>
        <w:bidi w:val="0"/>
        <w:rPr>
          <w:rFonts w:ascii="Times New Roman" w:hAnsi="Times New Roman" w:cs="Times New Roman"/>
          <w:u w:val="single"/>
        </w:rPr>
      </w:pPr>
    </w:p>
    <w:p w:rsidR="001D596A" w:rsidRPr="00F01DEB" w:rsidRDefault="001D596A" w:rsidP="001D596A">
      <w:pPr>
        <w:bidi w:val="0"/>
        <w:rPr>
          <w:rFonts w:ascii="Times New Roman" w:hAnsi="Times New Roman" w:cs="Times New Roman"/>
          <w:u w:val="single"/>
        </w:rPr>
      </w:pPr>
    </w:p>
    <w:p w:rsidR="001D596A" w:rsidRPr="00F01DEB" w:rsidRDefault="001D596A" w:rsidP="001D596A">
      <w:pPr>
        <w:bidi w:val="0"/>
        <w:rPr>
          <w:rFonts w:ascii="Times New Roman" w:hAnsi="Times New Roman" w:cs="Times New Roman"/>
          <w:u w:val="single"/>
        </w:rPr>
      </w:pPr>
    </w:p>
    <w:p w:rsidR="001D596A" w:rsidRPr="00F01DEB" w:rsidRDefault="001D596A" w:rsidP="002D0898">
      <w:pPr>
        <w:bidi w:val="0"/>
        <w:jc w:val="center"/>
        <w:rPr>
          <w:rFonts w:ascii="Times New Roman" w:hAnsi="Times New Roman" w:cs="Times New Roman"/>
        </w:rPr>
      </w:pPr>
      <w:r w:rsidRPr="00F01DEB">
        <w:rPr>
          <w:rFonts w:ascii="Times New Roman" w:hAnsi="Times New Roman" w:cs="Times New Roman"/>
          <w:u w:val="single"/>
        </w:rPr>
        <w:t>Performance Effects of Working Capital in Emerging Markets</w:t>
      </w: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3C33C7" w:rsidRDefault="003C33C7" w:rsidP="001D596A">
      <w:pPr>
        <w:bidi w:val="0"/>
        <w:rPr>
          <w:rFonts w:ascii="Times New Roman" w:hAnsi="Times New Roman" w:cs="Times New Roman"/>
        </w:rPr>
      </w:pPr>
    </w:p>
    <w:p w:rsidR="001D596A" w:rsidRDefault="00E67571" w:rsidP="003C33C7">
      <w:pPr>
        <w:bidi w:val="0"/>
        <w:rPr>
          <w:rFonts w:ascii="Times New Roman" w:hAnsi="Times New Roman" w:cs="Times New Roman"/>
        </w:rPr>
      </w:pPr>
      <w:r>
        <w:rPr>
          <w:rFonts w:ascii="Times New Roman" w:hAnsi="Times New Roman" w:cs="Times New Roman"/>
        </w:rPr>
        <w:t>Keyw</w:t>
      </w:r>
      <w:r w:rsidR="000135B8" w:rsidRPr="00F01DEB">
        <w:rPr>
          <w:rFonts w:ascii="Times New Roman" w:hAnsi="Times New Roman" w:cs="Times New Roman"/>
        </w:rPr>
        <w:t>ords: Working Capital, Tobin’s Q, Debt ratio, Profitability, Cash Conversion Cycle, GCC countries</w:t>
      </w:r>
      <w:r w:rsidR="003C33C7">
        <w:rPr>
          <w:rFonts w:ascii="Times New Roman" w:hAnsi="Times New Roman" w:cs="Times New Roman"/>
        </w:rPr>
        <w:t>, Firm Value</w:t>
      </w:r>
    </w:p>
    <w:p w:rsidR="003C33C7" w:rsidRDefault="003C33C7" w:rsidP="003C33C7">
      <w:pPr>
        <w:bidi w:val="0"/>
        <w:rPr>
          <w:rFonts w:ascii="Times New Roman" w:hAnsi="Times New Roman" w:cs="Times New Roman"/>
        </w:rPr>
      </w:pPr>
    </w:p>
    <w:p w:rsidR="003C33C7" w:rsidRDefault="003C33C7" w:rsidP="003C33C7">
      <w:pPr>
        <w:bidi w:val="0"/>
        <w:rPr>
          <w:rFonts w:ascii="Times New Roman" w:hAnsi="Times New Roman" w:cs="Times New Roman"/>
        </w:rPr>
      </w:pPr>
    </w:p>
    <w:p w:rsidR="003C33C7" w:rsidRPr="00F01DEB" w:rsidRDefault="003C33C7" w:rsidP="003C33C7">
      <w:pPr>
        <w:bidi w:val="0"/>
        <w:rPr>
          <w:rFonts w:ascii="Times New Roman" w:hAnsi="Times New Roman" w:cs="Times New Roman"/>
        </w:rPr>
      </w:pPr>
      <w:r>
        <w:rPr>
          <w:rFonts w:ascii="Times New Roman" w:hAnsi="Times New Roman" w:cs="Times New Roman"/>
        </w:rPr>
        <w:t xml:space="preserve">JEL: G3, G31, </w:t>
      </w: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rPr>
          <w:rFonts w:ascii="Times New Roman" w:hAnsi="Times New Roman" w:cs="Times New Roman"/>
        </w:rPr>
      </w:pPr>
    </w:p>
    <w:p w:rsidR="001D596A" w:rsidRPr="00F01DEB" w:rsidRDefault="001D596A" w:rsidP="001D596A">
      <w:pPr>
        <w:bidi w:val="0"/>
        <w:spacing w:line="276" w:lineRule="auto"/>
        <w:contextualSpacing/>
        <w:rPr>
          <w:rFonts w:ascii="Times New Roman" w:hAnsi="Times New Roman" w:cs="Times New Roman"/>
        </w:rPr>
      </w:pPr>
      <w:r w:rsidRPr="00F01DEB">
        <w:rPr>
          <w:rFonts w:ascii="Times New Roman" w:hAnsi="Times New Roman" w:cs="Times New Roman"/>
        </w:rPr>
        <w:t>Turki Alshammari</w:t>
      </w:r>
    </w:p>
    <w:p w:rsidR="001D596A" w:rsidRPr="00F01DEB" w:rsidRDefault="001D596A" w:rsidP="001D596A">
      <w:pPr>
        <w:bidi w:val="0"/>
        <w:spacing w:line="276" w:lineRule="auto"/>
        <w:contextualSpacing/>
        <w:rPr>
          <w:rFonts w:ascii="Times New Roman" w:hAnsi="Times New Roman" w:cs="Times New Roman"/>
        </w:rPr>
      </w:pPr>
      <w:r w:rsidRPr="00F01DEB">
        <w:rPr>
          <w:rFonts w:ascii="Times New Roman" w:hAnsi="Times New Roman" w:cs="Times New Roman"/>
        </w:rPr>
        <w:t>Kuwait University</w:t>
      </w:r>
    </w:p>
    <w:p w:rsidR="001D596A" w:rsidRPr="00F01DEB" w:rsidRDefault="001D596A" w:rsidP="001D596A">
      <w:pPr>
        <w:bidi w:val="0"/>
        <w:spacing w:line="276" w:lineRule="auto"/>
        <w:contextualSpacing/>
        <w:rPr>
          <w:rFonts w:ascii="Times New Roman" w:hAnsi="Times New Roman" w:cs="Times New Roman"/>
        </w:rPr>
      </w:pPr>
      <w:r w:rsidRPr="00F01DEB">
        <w:rPr>
          <w:rFonts w:ascii="Times New Roman" w:hAnsi="Times New Roman" w:cs="Times New Roman"/>
        </w:rPr>
        <w:t>College of Business Administration</w:t>
      </w:r>
    </w:p>
    <w:p w:rsidR="001D596A" w:rsidRPr="00F01DEB" w:rsidRDefault="000A2D1A" w:rsidP="001D596A">
      <w:pPr>
        <w:bidi w:val="0"/>
        <w:rPr>
          <w:rFonts w:ascii="Times New Roman" w:hAnsi="Times New Roman" w:cs="Times New Roman"/>
        </w:rPr>
      </w:pPr>
      <w:hyperlink r:id="rId8" w:history="1">
        <w:r w:rsidR="001D596A" w:rsidRPr="00F01DEB">
          <w:rPr>
            <w:rStyle w:val="Hyperlink"/>
            <w:rFonts w:ascii="Times New Roman" w:hAnsi="Times New Roman" w:cs="Times New Roman"/>
          </w:rPr>
          <w:t>Latasi3@yahoo.com</w:t>
        </w:r>
      </w:hyperlink>
    </w:p>
    <w:p w:rsidR="000135B8" w:rsidRPr="00F01DEB" w:rsidRDefault="000135B8" w:rsidP="001D596A">
      <w:pPr>
        <w:bidi w:val="0"/>
        <w:rPr>
          <w:rFonts w:ascii="Times New Roman" w:hAnsi="Times New Roman" w:cs="Times New Roman"/>
          <w:u w:val="single"/>
        </w:rPr>
      </w:pPr>
    </w:p>
    <w:p w:rsidR="000135B8" w:rsidRPr="00F01DEB" w:rsidRDefault="000135B8" w:rsidP="000135B8">
      <w:pPr>
        <w:bidi w:val="0"/>
        <w:rPr>
          <w:rFonts w:ascii="Times New Roman" w:hAnsi="Times New Roman" w:cs="Times New Roman"/>
          <w:u w:val="single"/>
        </w:rPr>
      </w:pPr>
    </w:p>
    <w:p w:rsidR="000135B8" w:rsidRPr="00F01DEB" w:rsidRDefault="000135B8" w:rsidP="000135B8">
      <w:pPr>
        <w:bidi w:val="0"/>
        <w:rPr>
          <w:rFonts w:ascii="Times New Roman" w:hAnsi="Times New Roman" w:cs="Times New Roman"/>
          <w:u w:val="single"/>
        </w:rPr>
      </w:pPr>
    </w:p>
    <w:p w:rsidR="00F01DEB" w:rsidRDefault="00F01DEB">
      <w:pPr>
        <w:bidi w:val="0"/>
        <w:rPr>
          <w:rFonts w:ascii="Times New Roman" w:hAnsi="Times New Roman" w:cs="Times New Roman"/>
          <w:u w:val="single"/>
        </w:rPr>
      </w:pPr>
      <w:r>
        <w:rPr>
          <w:rFonts w:ascii="Times New Roman" w:hAnsi="Times New Roman" w:cs="Times New Roman"/>
          <w:u w:val="single"/>
        </w:rPr>
        <w:br w:type="page"/>
      </w:r>
    </w:p>
    <w:p w:rsidR="000135B8" w:rsidRPr="00F01DEB" w:rsidRDefault="000135B8" w:rsidP="000135B8">
      <w:pPr>
        <w:bidi w:val="0"/>
        <w:rPr>
          <w:rFonts w:ascii="Times New Roman" w:hAnsi="Times New Roman" w:cs="Times New Roman"/>
          <w:u w:val="single"/>
        </w:rPr>
      </w:pPr>
    </w:p>
    <w:p w:rsidR="000135B8" w:rsidRPr="00F01DEB" w:rsidRDefault="000135B8" w:rsidP="000135B8">
      <w:pPr>
        <w:bidi w:val="0"/>
        <w:rPr>
          <w:rFonts w:ascii="Times New Roman" w:hAnsi="Times New Roman" w:cs="Times New Roman"/>
          <w:u w:val="single"/>
        </w:rPr>
      </w:pPr>
    </w:p>
    <w:p w:rsidR="000135B8" w:rsidRPr="00F01DEB" w:rsidRDefault="000135B8" w:rsidP="000135B8">
      <w:pPr>
        <w:bidi w:val="0"/>
        <w:rPr>
          <w:rFonts w:ascii="Times New Roman" w:hAnsi="Times New Roman" w:cs="Times New Roman"/>
          <w:u w:val="single"/>
        </w:rPr>
      </w:pPr>
    </w:p>
    <w:p w:rsidR="000135B8" w:rsidRPr="00F01DEB" w:rsidRDefault="000135B8" w:rsidP="00F01DEB">
      <w:pPr>
        <w:bidi w:val="0"/>
        <w:spacing w:line="240" w:lineRule="auto"/>
        <w:jc w:val="center"/>
        <w:rPr>
          <w:rFonts w:ascii="Times New Roman" w:hAnsi="Times New Roman" w:cs="Times New Roman"/>
        </w:rPr>
      </w:pPr>
      <w:r w:rsidRPr="00F01DEB">
        <w:rPr>
          <w:rFonts w:ascii="Times New Roman" w:hAnsi="Times New Roman" w:cs="Times New Roman"/>
          <w:u w:val="single"/>
        </w:rPr>
        <w:t>Abstract</w:t>
      </w:r>
    </w:p>
    <w:p w:rsidR="000135B8" w:rsidRPr="00F01DEB" w:rsidRDefault="000135B8" w:rsidP="00F01DEB">
      <w:pPr>
        <w:bidi w:val="0"/>
        <w:spacing w:line="240" w:lineRule="auto"/>
        <w:rPr>
          <w:rFonts w:ascii="Times New Roman" w:hAnsi="Times New Roman" w:cs="Times New Roman"/>
          <w:i/>
          <w:iCs/>
        </w:rPr>
      </w:pPr>
    </w:p>
    <w:p w:rsidR="000135B8" w:rsidRPr="00F01DEB" w:rsidRDefault="000135B8" w:rsidP="00F01DEB">
      <w:pPr>
        <w:bidi w:val="0"/>
        <w:spacing w:line="240" w:lineRule="auto"/>
        <w:rPr>
          <w:rFonts w:ascii="Times New Roman" w:hAnsi="Times New Roman" w:cs="Times New Roman"/>
          <w:i/>
          <w:iCs/>
        </w:rPr>
      </w:pPr>
      <w:r w:rsidRPr="00F01DEB">
        <w:rPr>
          <w:rFonts w:ascii="Times New Roman" w:hAnsi="Times New Roman" w:cs="Times New Roman"/>
          <w:i/>
          <w:iCs/>
        </w:rPr>
        <w:t xml:space="preserve">This paper strives to provide evidence of the effect of working capital policies on corporate profitability in a new and different setting, </w:t>
      </w:r>
      <w:r w:rsidR="008D3639" w:rsidRPr="00F01DEB">
        <w:rPr>
          <w:rFonts w:ascii="Times New Roman" w:hAnsi="Times New Roman" w:cs="Times New Roman"/>
          <w:i/>
          <w:iCs/>
        </w:rPr>
        <w:t xml:space="preserve">the </w:t>
      </w:r>
      <w:r w:rsidRPr="00F01DEB">
        <w:rPr>
          <w:rFonts w:ascii="Times New Roman" w:hAnsi="Times New Roman" w:cs="Times New Roman"/>
          <w:i/>
          <w:iCs/>
        </w:rPr>
        <w:t>Gulf Cooperation Council (GCC) countries. As the corporate private sector receives lavish subsidies from local oil-rich governments, both the theoretical propositions and the worldwide accepted evidence</w:t>
      </w:r>
      <w:r w:rsidR="009F19AE" w:rsidRPr="00F01DEB">
        <w:rPr>
          <w:rFonts w:ascii="Times New Roman" w:hAnsi="Times New Roman" w:cs="Times New Roman"/>
          <w:i/>
          <w:iCs/>
        </w:rPr>
        <w:t xml:space="preserve"> are glitched</w:t>
      </w:r>
      <w:r w:rsidRPr="00F01DEB">
        <w:rPr>
          <w:rFonts w:ascii="Times New Roman" w:hAnsi="Times New Roman" w:cs="Times New Roman"/>
          <w:i/>
          <w:iCs/>
        </w:rPr>
        <w:t xml:space="preserve">. </w:t>
      </w:r>
      <w:r w:rsidR="00EE593C" w:rsidRPr="00F01DEB">
        <w:rPr>
          <w:rFonts w:ascii="Times New Roman" w:hAnsi="Times New Roman" w:cs="Times New Roman"/>
          <w:i/>
          <w:iCs/>
        </w:rPr>
        <w:t>Employing a set of pooled regression models, t</w:t>
      </w:r>
      <w:r w:rsidRPr="00F01DEB">
        <w:rPr>
          <w:rFonts w:ascii="Times New Roman" w:hAnsi="Times New Roman" w:cs="Times New Roman"/>
          <w:i/>
          <w:iCs/>
        </w:rPr>
        <w:t xml:space="preserve">his paper documents a </w:t>
      </w:r>
      <w:r w:rsidR="009F19AE" w:rsidRPr="00F01DEB">
        <w:rPr>
          <w:rFonts w:ascii="Times New Roman" w:hAnsi="Times New Roman" w:cs="Times New Roman"/>
          <w:i/>
          <w:iCs/>
        </w:rPr>
        <w:t>trivial</w:t>
      </w:r>
      <w:r w:rsidRPr="00F01DEB">
        <w:rPr>
          <w:rFonts w:ascii="Times New Roman" w:hAnsi="Times New Roman" w:cs="Times New Roman"/>
          <w:i/>
          <w:iCs/>
        </w:rPr>
        <w:t xml:space="preserve">, if any, association between the </w:t>
      </w:r>
      <w:r w:rsidR="00EE593C" w:rsidRPr="00F01DEB">
        <w:rPr>
          <w:rFonts w:ascii="Times New Roman" w:hAnsi="Times New Roman" w:cs="Times New Roman"/>
          <w:i/>
          <w:iCs/>
        </w:rPr>
        <w:t xml:space="preserve">efficiency of working capital management </w:t>
      </w:r>
      <w:r w:rsidRPr="00F01DEB">
        <w:rPr>
          <w:rFonts w:ascii="Times New Roman" w:hAnsi="Times New Roman" w:cs="Times New Roman"/>
          <w:i/>
          <w:iCs/>
        </w:rPr>
        <w:t>and the corporate profitability for a set of nonfinancial firms in all the GCC countries. The results are robust to the econometric model, the profitability measure, and the country.</w:t>
      </w:r>
      <w:r w:rsidRPr="00F01DEB">
        <w:rPr>
          <w:rFonts w:ascii="Times New Roman" w:hAnsi="Times New Roman" w:cs="Times New Roman"/>
          <w:i/>
          <w:iCs/>
        </w:rPr>
        <w:br w:type="page"/>
      </w:r>
    </w:p>
    <w:p w:rsidR="00735B45" w:rsidRPr="00F01DEB" w:rsidRDefault="00735B45" w:rsidP="00F01DEB">
      <w:pPr>
        <w:pStyle w:val="ListParagraph"/>
        <w:numPr>
          <w:ilvl w:val="0"/>
          <w:numId w:val="2"/>
        </w:numPr>
        <w:bidi w:val="0"/>
        <w:spacing w:line="240" w:lineRule="auto"/>
        <w:rPr>
          <w:rFonts w:ascii="Times New Roman" w:hAnsi="Times New Roman" w:cs="Times New Roman"/>
          <w:u w:val="single"/>
        </w:rPr>
      </w:pPr>
      <w:r w:rsidRPr="00F01DEB">
        <w:rPr>
          <w:rFonts w:ascii="Times New Roman" w:hAnsi="Times New Roman" w:cs="Times New Roman"/>
          <w:u w:val="single"/>
        </w:rPr>
        <w:lastRenderedPageBreak/>
        <w:t>Introduction</w:t>
      </w:r>
    </w:p>
    <w:p w:rsidR="00C16C7C" w:rsidRPr="00F01DEB" w:rsidRDefault="00E81C8C" w:rsidP="00F01DEB">
      <w:pPr>
        <w:bidi w:val="0"/>
        <w:spacing w:line="240" w:lineRule="auto"/>
        <w:rPr>
          <w:rFonts w:ascii="Times New Roman" w:hAnsi="Times New Roman" w:cs="Times New Roman"/>
        </w:rPr>
      </w:pPr>
      <w:r>
        <w:rPr>
          <w:rFonts w:ascii="Times New Roman" w:hAnsi="Times New Roman" w:cs="Times New Roman"/>
        </w:rPr>
        <w:t>F</w:t>
      </w:r>
      <w:r w:rsidR="00C16C7C" w:rsidRPr="00F01DEB">
        <w:rPr>
          <w:rFonts w:ascii="Times New Roman" w:hAnsi="Times New Roman" w:cs="Times New Roman"/>
        </w:rPr>
        <w:t>irm managers</w:t>
      </w:r>
      <w:r w:rsidR="001D596A" w:rsidRPr="00F01DEB">
        <w:rPr>
          <w:rFonts w:ascii="Times New Roman" w:hAnsi="Times New Roman" w:cs="Times New Roman"/>
        </w:rPr>
        <w:t xml:space="preserve"> are </w:t>
      </w:r>
      <w:r w:rsidR="00C16C7C" w:rsidRPr="00F01DEB">
        <w:rPr>
          <w:rFonts w:ascii="Times New Roman" w:hAnsi="Times New Roman" w:cs="Times New Roman"/>
        </w:rPr>
        <w:t xml:space="preserve">usually very much occupied with day to day activities such as arranging trade payables with the longest time possible, selling on credit with the shortest time possible, </w:t>
      </w:r>
      <w:r w:rsidR="003837D0" w:rsidRPr="00F01DEB">
        <w:rPr>
          <w:rFonts w:ascii="Times New Roman" w:hAnsi="Times New Roman" w:cs="Times New Roman"/>
        </w:rPr>
        <w:t xml:space="preserve">deciding the optimal level of </w:t>
      </w:r>
      <w:r w:rsidR="00C16C7C" w:rsidRPr="00F01DEB">
        <w:rPr>
          <w:rFonts w:ascii="Times New Roman" w:hAnsi="Times New Roman" w:cs="Times New Roman"/>
        </w:rPr>
        <w:t>invest</w:t>
      </w:r>
      <w:r w:rsidR="003837D0" w:rsidRPr="00F01DEB">
        <w:rPr>
          <w:rFonts w:ascii="Times New Roman" w:hAnsi="Times New Roman" w:cs="Times New Roman"/>
        </w:rPr>
        <w:t>ment</w:t>
      </w:r>
      <w:r w:rsidR="00C16C7C" w:rsidRPr="00F01DEB">
        <w:rPr>
          <w:rFonts w:ascii="Times New Roman" w:hAnsi="Times New Roman" w:cs="Times New Roman"/>
        </w:rPr>
        <w:t xml:space="preserve"> in inventory, minimizing the time </w:t>
      </w:r>
      <w:r w:rsidR="003837D0" w:rsidRPr="00F01DEB">
        <w:rPr>
          <w:rFonts w:ascii="Times New Roman" w:hAnsi="Times New Roman" w:cs="Times New Roman"/>
        </w:rPr>
        <w:t xml:space="preserve">at which </w:t>
      </w:r>
      <w:r w:rsidR="00C16C7C" w:rsidRPr="00F01DEB">
        <w:rPr>
          <w:rFonts w:ascii="Times New Roman" w:hAnsi="Times New Roman" w:cs="Times New Roman"/>
        </w:rPr>
        <w:t xml:space="preserve">funds are tied up in assets, …etc. </w:t>
      </w:r>
      <w:r w:rsidR="00890CE0" w:rsidRPr="00F01DEB">
        <w:rPr>
          <w:rFonts w:ascii="Times New Roman" w:hAnsi="Times New Roman" w:cs="Times New Roman"/>
        </w:rPr>
        <w:t>All these activities fall into the working capital manageme</w:t>
      </w:r>
      <w:r w:rsidR="003837D0" w:rsidRPr="00F01DEB">
        <w:rPr>
          <w:rFonts w:ascii="Times New Roman" w:hAnsi="Times New Roman" w:cs="Times New Roman"/>
        </w:rPr>
        <w:t xml:space="preserve">nt which tends to be about 60% </w:t>
      </w:r>
      <w:r w:rsidR="00890CE0" w:rsidRPr="00F01DEB">
        <w:rPr>
          <w:rFonts w:ascii="Times New Roman" w:hAnsi="Times New Roman" w:cs="Times New Roman"/>
        </w:rPr>
        <w:t>of the daily managers</w:t>
      </w:r>
      <w:r w:rsidR="008D3639" w:rsidRPr="00F01DEB">
        <w:rPr>
          <w:rFonts w:ascii="Times New Roman" w:hAnsi="Times New Roman" w:cs="Times New Roman"/>
        </w:rPr>
        <w:t>’</w:t>
      </w:r>
      <w:r w:rsidR="00890CE0" w:rsidRPr="00F01DEB">
        <w:rPr>
          <w:rFonts w:ascii="Times New Roman" w:hAnsi="Times New Roman" w:cs="Times New Roman"/>
        </w:rPr>
        <w:t xml:space="preserve"> </w:t>
      </w:r>
      <w:r w:rsidR="003837D0" w:rsidRPr="00F01DEB">
        <w:rPr>
          <w:rFonts w:ascii="Times New Roman" w:hAnsi="Times New Roman" w:cs="Times New Roman"/>
        </w:rPr>
        <w:t xml:space="preserve">business </w:t>
      </w:r>
      <w:r w:rsidR="00890CE0" w:rsidRPr="00F01DEB">
        <w:rPr>
          <w:rFonts w:ascii="Times New Roman" w:hAnsi="Times New Roman" w:cs="Times New Roman"/>
        </w:rPr>
        <w:t>practices.</w:t>
      </w:r>
      <w:r w:rsidR="009449AA" w:rsidRPr="00F01DEB">
        <w:rPr>
          <w:rFonts w:ascii="Times New Roman" w:hAnsi="Times New Roman" w:cs="Times New Roman"/>
        </w:rPr>
        <w:t xml:space="preserve"> </w:t>
      </w:r>
    </w:p>
    <w:p w:rsidR="00762753" w:rsidRPr="00F01DEB" w:rsidRDefault="00C16C7C" w:rsidP="00F01DEB">
      <w:pPr>
        <w:bidi w:val="0"/>
        <w:spacing w:line="240" w:lineRule="auto"/>
        <w:rPr>
          <w:rFonts w:ascii="Times New Roman" w:hAnsi="Times New Roman" w:cs="Times New Roman"/>
        </w:rPr>
      </w:pPr>
      <w:r w:rsidRPr="00F01DEB">
        <w:rPr>
          <w:rFonts w:ascii="Times New Roman" w:hAnsi="Times New Roman" w:cs="Times New Roman"/>
        </w:rPr>
        <w:t>Since working capital management</w:t>
      </w:r>
      <w:r w:rsidR="007057BE" w:rsidRPr="00F01DEB">
        <w:rPr>
          <w:rFonts w:ascii="Times New Roman" w:hAnsi="Times New Roman" w:cs="Times New Roman"/>
        </w:rPr>
        <w:t xml:space="preserve"> </w:t>
      </w:r>
      <w:r w:rsidRPr="00F01DEB">
        <w:rPr>
          <w:rFonts w:ascii="Times New Roman" w:hAnsi="Times New Roman" w:cs="Times New Roman"/>
        </w:rPr>
        <w:t>necess</w:t>
      </w:r>
      <w:r w:rsidR="007057BE" w:rsidRPr="00F01DEB">
        <w:rPr>
          <w:rFonts w:ascii="Times New Roman" w:hAnsi="Times New Roman" w:cs="Times New Roman"/>
        </w:rPr>
        <w:t>itates huge investments in current assets</w:t>
      </w:r>
      <w:r w:rsidR="009449AA" w:rsidRPr="00F01DEB">
        <w:rPr>
          <w:rStyle w:val="FootnoteReference"/>
          <w:rFonts w:ascii="Times New Roman" w:hAnsi="Times New Roman" w:cs="Times New Roman"/>
        </w:rPr>
        <w:footnoteReference w:id="1"/>
      </w:r>
      <w:r w:rsidR="00B23294" w:rsidRPr="00F01DEB">
        <w:rPr>
          <w:rFonts w:ascii="Times New Roman" w:hAnsi="Times New Roman" w:cs="Times New Roman"/>
        </w:rPr>
        <w:t xml:space="preserve">, efficient management of working capital enables managers to arrange funding properly, trimly and timely without resorting to any long term and more expensive financing.  This is accomplished by freeing some funding that is tied up in working capital items, hence increasing the firm’s free cash flow which </w:t>
      </w:r>
      <w:r w:rsidR="00762753" w:rsidRPr="00F01DEB">
        <w:rPr>
          <w:rFonts w:ascii="Times New Roman" w:hAnsi="Times New Roman" w:cs="Times New Roman"/>
        </w:rPr>
        <w:t xml:space="preserve">tends to be positively </w:t>
      </w:r>
      <w:r w:rsidR="00B23294" w:rsidRPr="00F01DEB">
        <w:rPr>
          <w:rFonts w:ascii="Times New Roman" w:hAnsi="Times New Roman" w:cs="Times New Roman"/>
        </w:rPr>
        <w:t>reflected on a firm</w:t>
      </w:r>
      <w:r w:rsidR="001D596A" w:rsidRPr="00F01DEB">
        <w:rPr>
          <w:rFonts w:ascii="Times New Roman" w:hAnsi="Times New Roman" w:cs="Times New Roman"/>
        </w:rPr>
        <w:t xml:space="preserve"> value</w:t>
      </w:r>
      <w:r w:rsidR="00B23294" w:rsidRPr="00F01DEB">
        <w:rPr>
          <w:rFonts w:ascii="Times New Roman" w:hAnsi="Times New Roman" w:cs="Times New Roman"/>
        </w:rPr>
        <w:t>. In addition, profitability is enhanced as optimization of working capital requires good business practices and routines such as minimizing credit losses</w:t>
      </w:r>
      <w:r w:rsidR="00762753" w:rsidRPr="00F01DEB">
        <w:rPr>
          <w:rFonts w:ascii="Times New Roman" w:hAnsi="Times New Roman" w:cs="Times New Roman"/>
        </w:rPr>
        <w:t xml:space="preserve">. Consequently, the </w:t>
      </w:r>
      <w:r w:rsidR="0010589C" w:rsidRPr="00F01DEB">
        <w:rPr>
          <w:rFonts w:ascii="Times New Roman" w:hAnsi="Times New Roman" w:cs="Times New Roman"/>
        </w:rPr>
        <w:t xml:space="preserve">theoretical </w:t>
      </w:r>
      <w:r w:rsidR="00762753" w:rsidRPr="00F01DEB">
        <w:rPr>
          <w:rFonts w:ascii="Times New Roman" w:hAnsi="Times New Roman" w:cs="Times New Roman"/>
        </w:rPr>
        <w:t xml:space="preserve">propositions predict that an </w:t>
      </w:r>
      <w:r w:rsidR="0010589C" w:rsidRPr="00F01DEB">
        <w:rPr>
          <w:rFonts w:ascii="Times New Roman" w:hAnsi="Times New Roman" w:cs="Times New Roman"/>
        </w:rPr>
        <w:t xml:space="preserve">efficient working capital management </w:t>
      </w:r>
      <w:r w:rsidR="00762753" w:rsidRPr="00F01DEB">
        <w:rPr>
          <w:rFonts w:ascii="Times New Roman" w:hAnsi="Times New Roman" w:cs="Times New Roman"/>
        </w:rPr>
        <w:t xml:space="preserve">should lead to a better profitability, hence, a higher firm value. </w:t>
      </w:r>
    </w:p>
    <w:p w:rsidR="00762753" w:rsidRPr="00F01DEB" w:rsidRDefault="00501D84" w:rsidP="00F01DEB">
      <w:pPr>
        <w:bidi w:val="0"/>
        <w:spacing w:line="240" w:lineRule="auto"/>
        <w:rPr>
          <w:rFonts w:ascii="Times New Roman" w:hAnsi="Times New Roman" w:cs="Times New Roman"/>
        </w:rPr>
      </w:pPr>
      <w:r w:rsidRPr="00F01DEB">
        <w:rPr>
          <w:rFonts w:ascii="Times New Roman" w:hAnsi="Times New Roman" w:cs="Times New Roman"/>
        </w:rPr>
        <w:t>However, that</w:t>
      </w:r>
      <w:r w:rsidR="00F72E6B" w:rsidRPr="00F01DEB">
        <w:rPr>
          <w:rFonts w:ascii="Times New Roman" w:hAnsi="Times New Roman" w:cs="Times New Roman"/>
        </w:rPr>
        <w:t xml:space="preserve"> </w:t>
      </w:r>
      <w:r w:rsidR="00C82A3B" w:rsidRPr="00F01DEB">
        <w:rPr>
          <w:rFonts w:ascii="Times New Roman" w:hAnsi="Times New Roman" w:cs="Times New Roman"/>
        </w:rPr>
        <w:t xml:space="preserve">relation </w:t>
      </w:r>
      <w:r w:rsidR="00762753" w:rsidRPr="00F01DEB">
        <w:rPr>
          <w:rFonts w:ascii="Times New Roman" w:hAnsi="Times New Roman" w:cs="Times New Roman"/>
        </w:rPr>
        <w:t xml:space="preserve">between </w:t>
      </w:r>
      <w:r w:rsidR="000147AA" w:rsidRPr="00F01DEB">
        <w:rPr>
          <w:rFonts w:ascii="Times New Roman" w:hAnsi="Times New Roman" w:cs="Times New Roman"/>
        </w:rPr>
        <w:t>virtuous</w:t>
      </w:r>
      <w:r w:rsidR="00762753" w:rsidRPr="00F01DEB">
        <w:rPr>
          <w:rFonts w:ascii="Times New Roman" w:hAnsi="Times New Roman" w:cs="Times New Roman"/>
        </w:rPr>
        <w:t xml:space="preserve"> management of working capital and</w:t>
      </w:r>
      <w:r w:rsidR="009449AA" w:rsidRPr="00F01DEB">
        <w:rPr>
          <w:rFonts w:ascii="Times New Roman" w:hAnsi="Times New Roman" w:cs="Times New Roman"/>
        </w:rPr>
        <w:t xml:space="preserve"> corporate </w:t>
      </w:r>
      <w:r w:rsidR="00762753" w:rsidRPr="00F01DEB">
        <w:rPr>
          <w:rFonts w:ascii="Times New Roman" w:hAnsi="Times New Roman" w:cs="Times New Roman"/>
        </w:rPr>
        <w:t xml:space="preserve">profitability might </w:t>
      </w:r>
      <w:r w:rsidR="00C82A3B" w:rsidRPr="00F01DEB">
        <w:rPr>
          <w:rFonts w:ascii="Times New Roman" w:hAnsi="Times New Roman" w:cs="Times New Roman"/>
        </w:rPr>
        <w:t xml:space="preserve">glitch if </w:t>
      </w:r>
      <w:r w:rsidR="008D3639" w:rsidRPr="00F01DEB">
        <w:rPr>
          <w:rFonts w:ascii="Times New Roman" w:hAnsi="Times New Roman" w:cs="Times New Roman"/>
        </w:rPr>
        <w:t xml:space="preserve">a </w:t>
      </w:r>
      <w:r w:rsidR="00C82A3B" w:rsidRPr="00F01DEB">
        <w:rPr>
          <w:rFonts w:ascii="Times New Roman" w:hAnsi="Times New Roman" w:cs="Times New Roman"/>
        </w:rPr>
        <w:t>different setting exists w</w:t>
      </w:r>
      <w:r w:rsidR="00F72E6B" w:rsidRPr="00F01DEB">
        <w:rPr>
          <w:rFonts w:ascii="Times New Roman" w:hAnsi="Times New Roman" w:cs="Times New Roman"/>
        </w:rPr>
        <w:t xml:space="preserve">here corporate </w:t>
      </w:r>
      <w:r w:rsidR="00762753" w:rsidRPr="00F01DEB">
        <w:rPr>
          <w:rFonts w:ascii="Times New Roman" w:hAnsi="Times New Roman" w:cs="Times New Roman"/>
        </w:rPr>
        <w:t xml:space="preserve">managers </w:t>
      </w:r>
      <w:r w:rsidR="00F72E6B" w:rsidRPr="00F01DEB">
        <w:rPr>
          <w:rFonts w:ascii="Times New Roman" w:hAnsi="Times New Roman" w:cs="Times New Roman"/>
        </w:rPr>
        <w:t>practices differ</w:t>
      </w:r>
      <w:r w:rsidR="00C82A3B" w:rsidRPr="00F01DEB">
        <w:rPr>
          <w:rFonts w:ascii="Times New Roman" w:hAnsi="Times New Roman" w:cs="Times New Roman"/>
        </w:rPr>
        <w:t xml:space="preserve"> </w:t>
      </w:r>
      <w:r w:rsidRPr="00F01DEB">
        <w:rPr>
          <w:rFonts w:ascii="Times New Roman" w:hAnsi="Times New Roman" w:cs="Times New Roman"/>
        </w:rPr>
        <w:t xml:space="preserve">from those of universal practices </w:t>
      </w:r>
      <w:r w:rsidR="00762753" w:rsidRPr="00F01DEB">
        <w:rPr>
          <w:rFonts w:ascii="Times New Roman" w:hAnsi="Times New Roman" w:cs="Times New Roman"/>
        </w:rPr>
        <w:t xml:space="preserve">due to </w:t>
      </w:r>
      <w:r w:rsidRPr="00F01DEB">
        <w:rPr>
          <w:rFonts w:ascii="Times New Roman" w:hAnsi="Times New Roman" w:cs="Times New Roman"/>
        </w:rPr>
        <w:t xml:space="preserve">a </w:t>
      </w:r>
      <w:r w:rsidR="00762753" w:rsidRPr="00F01DEB">
        <w:rPr>
          <w:rFonts w:ascii="Times New Roman" w:hAnsi="Times New Roman" w:cs="Times New Roman"/>
        </w:rPr>
        <w:t xml:space="preserve">different business environment. </w:t>
      </w:r>
      <w:r w:rsidR="00256343" w:rsidRPr="00F01DEB">
        <w:rPr>
          <w:rFonts w:ascii="Times New Roman" w:hAnsi="Times New Roman" w:cs="Times New Roman"/>
        </w:rPr>
        <w:t>T</w:t>
      </w:r>
      <w:r w:rsidR="00762753" w:rsidRPr="00F01DEB">
        <w:rPr>
          <w:rFonts w:ascii="Times New Roman" w:hAnsi="Times New Roman" w:cs="Times New Roman"/>
        </w:rPr>
        <w:t>he Gulf Cooperation Council (GCC)</w:t>
      </w:r>
      <w:r w:rsidR="00762753" w:rsidRPr="00F01DEB">
        <w:rPr>
          <w:rStyle w:val="FootnoteReference"/>
          <w:rFonts w:ascii="Times New Roman" w:hAnsi="Times New Roman" w:cs="Times New Roman"/>
        </w:rPr>
        <w:footnoteReference w:id="2"/>
      </w:r>
      <w:r w:rsidR="00762753" w:rsidRPr="00F01DEB">
        <w:rPr>
          <w:rFonts w:ascii="Times New Roman" w:hAnsi="Times New Roman" w:cs="Times New Roman"/>
        </w:rPr>
        <w:t xml:space="preserve"> </w:t>
      </w:r>
      <w:r w:rsidR="00256343" w:rsidRPr="00F01DEB">
        <w:rPr>
          <w:rFonts w:ascii="Times New Roman" w:hAnsi="Times New Roman" w:cs="Times New Roman"/>
        </w:rPr>
        <w:t xml:space="preserve">that is comprised of Kuwait, Kingdom of Saudi Arabia, Qatar, Bahrain, United Arab Emirates and Oman, might provide an example of how business practices </w:t>
      </w:r>
      <w:r w:rsidR="001D596A" w:rsidRPr="00F01DEB">
        <w:rPr>
          <w:rFonts w:ascii="Times New Roman" w:hAnsi="Times New Roman" w:cs="Times New Roman"/>
        </w:rPr>
        <w:t xml:space="preserve">of </w:t>
      </w:r>
      <w:r w:rsidR="00256343" w:rsidRPr="00F01DEB">
        <w:rPr>
          <w:rFonts w:ascii="Times New Roman" w:hAnsi="Times New Roman" w:cs="Times New Roman"/>
        </w:rPr>
        <w:t xml:space="preserve">working capital management might have weak effect on profitability. </w:t>
      </w:r>
      <w:r w:rsidR="00762753" w:rsidRPr="00F01DEB">
        <w:rPr>
          <w:rFonts w:ascii="Times New Roman" w:hAnsi="Times New Roman" w:cs="Times New Roman"/>
        </w:rPr>
        <w:t xml:space="preserve">A common major matter among </w:t>
      </w:r>
      <w:r w:rsidR="009449AA" w:rsidRPr="00F01DEB">
        <w:rPr>
          <w:rFonts w:ascii="Times New Roman" w:hAnsi="Times New Roman" w:cs="Times New Roman"/>
        </w:rPr>
        <w:t xml:space="preserve">oil-rich </w:t>
      </w:r>
      <w:r w:rsidR="00762753" w:rsidRPr="00F01DEB">
        <w:rPr>
          <w:rFonts w:ascii="Times New Roman" w:hAnsi="Times New Roman" w:cs="Times New Roman"/>
        </w:rPr>
        <w:t>GCC countries is that they all benefit financially from a</w:t>
      </w:r>
      <w:r w:rsidRPr="00F01DEB">
        <w:rPr>
          <w:rFonts w:ascii="Times New Roman" w:hAnsi="Times New Roman" w:cs="Times New Roman"/>
        </w:rPr>
        <w:t>ny</w:t>
      </w:r>
      <w:r w:rsidR="00762753" w:rsidRPr="00F01DEB">
        <w:rPr>
          <w:rFonts w:ascii="Times New Roman" w:hAnsi="Times New Roman" w:cs="Times New Roman"/>
        </w:rPr>
        <w:t xml:space="preserve"> rise in oil prices</w:t>
      </w:r>
      <w:r w:rsidRPr="00F01DEB">
        <w:rPr>
          <w:rFonts w:ascii="Times New Roman" w:hAnsi="Times New Roman" w:cs="Times New Roman"/>
        </w:rPr>
        <w:t xml:space="preserve"> (i.e. government expenditures are a function of oil prices)</w:t>
      </w:r>
      <w:r w:rsidR="00762753" w:rsidRPr="00F01DEB">
        <w:rPr>
          <w:rFonts w:ascii="Times New Roman" w:hAnsi="Times New Roman" w:cs="Times New Roman"/>
        </w:rPr>
        <w:t xml:space="preserve">. Consequently, the whole economy benefits with all its sectors, including the private sector that is composed of all business concerns. Given the case of </w:t>
      </w:r>
      <w:r w:rsidR="00350774" w:rsidRPr="00F01DEB">
        <w:rPr>
          <w:rFonts w:ascii="Times New Roman" w:hAnsi="Times New Roman" w:cs="Times New Roman"/>
        </w:rPr>
        <w:t xml:space="preserve">the </w:t>
      </w:r>
      <w:r w:rsidR="00762753" w:rsidRPr="00F01DEB">
        <w:rPr>
          <w:rFonts w:ascii="Times New Roman" w:hAnsi="Times New Roman" w:cs="Times New Roman"/>
        </w:rPr>
        <w:t xml:space="preserve">government snuggling of the private sector, </w:t>
      </w:r>
      <w:r w:rsidRPr="00F01DEB">
        <w:rPr>
          <w:rFonts w:ascii="Times New Roman" w:hAnsi="Times New Roman" w:cs="Times New Roman"/>
        </w:rPr>
        <w:t xml:space="preserve">firm managers </w:t>
      </w:r>
      <w:r w:rsidR="00256343" w:rsidRPr="00F01DEB">
        <w:rPr>
          <w:rFonts w:ascii="Times New Roman" w:hAnsi="Times New Roman" w:cs="Times New Roman"/>
        </w:rPr>
        <w:t>consider working capital management as of vivacious importance</w:t>
      </w:r>
      <w:r w:rsidR="00256343" w:rsidRPr="00F01DEB">
        <w:rPr>
          <w:rStyle w:val="FootnoteReference"/>
          <w:rFonts w:ascii="Times New Roman" w:hAnsi="Times New Roman" w:cs="Times New Roman"/>
        </w:rPr>
        <w:footnoteReference w:id="3"/>
      </w:r>
      <w:r w:rsidR="00256343" w:rsidRPr="00F01DEB">
        <w:rPr>
          <w:rFonts w:ascii="Times New Roman" w:hAnsi="Times New Roman" w:cs="Times New Roman"/>
        </w:rPr>
        <w:t xml:space="preserve">, hence, managers are more inclined to </w:t>
      </w:r>
      <w:r w:rsidRPr="00F01DEB">
        <w:rPr>
          <w:rFonts w:ascii="Times New Roman" w:hAnsi="Times New Roman" w:cs="Times New Roman"/>
        </w:rPr>
        <w:t xml:space="preserve">implore government subsidies as a safe short-term financing instead of worrying about the optimal business practices of working capital. Consequently, </w:t>
      </w:r>
      <w:r w:rsidR="00762753" w:rsidRPr="00F01DEB">
        <w:rPr>
          <w:rFonts w:ascii="Times New Roman" w:hAnsi="Times New Roman" w:cs="Times New Roman"/>
        </w:rPr>
        <w:t>one would speculate a weak</w:t>
      </w:r>
      <w:r w:rsidRPr="00F01DEB">
        <w:rPr>
          <w:rFonts w:ascii="Times New Roman" w:hAnsi="Times New Roman" w:cs="Times New Roman"/>
        </w:rPr>
        <w:t>, if any,</w:t>
      </w:r>
      <w:r w:rsidR="00762753" w:rsidRPr="00F01DEB">
        <w:rPr>
          <w:rFonts w:ascii="Times New Roman" w:hAnsi="Times New Roman" w:cs="Times New Roman"/>
        </w:rPr>
        <w:t xml:space="preserve"> effect of working capital management on corporate performance. </w:t>
      </w:r>
      <w:r w:rsidR="009449AA" w:rsidRPr="00F01DEB">
        <w:rPr>
          <w:rFonts w:ascii="Times New Roman" w:hAnsi="Times New Roman" w:cs="Times New Roman"/>
        </w:rPr>
        <w:t>In other words</w:t>
      </w:r>
      <w:r w:rsidR="00762753" w:rsidRPr="00F01DEB">
        <w:rPr>
          <w:rFonts w:ascii="Times New Roman" w:hAnsi="Times New Roman" w:cs="Times New Roman"/>
        </w:rPr>
        <w:t>, working capital management is not priced by investors in the financial market, hence, one would expect a weak or minimal effect of cash conversion cycle</w:t>
      </w:r>
      <w:r w:rsidRPr="00F01DEB">
        <w:rPr>
          <w:rFonts w:ascii="Times New Roman" w:hAnsi="Times New Roman" w:cs="Times New Roman"/>
        </w:rPr>
        <w:t xml:space="preserve"> on profitability.</w:t>
      </w:r>
    </w:p>
    <w:p w:rsidR="00F2331A" w:rsidRPr="00F01DEB" w:rsidRDefault="00C82A3B" w:rsidP="00F01DEB">
      <w:pPr>
        <w:bidi w:val="0"/>
        <w:spacing w:line="240" w:lineRule="auto"/>
        <w:rPr>
          <w:rFonts w:ascii="Times New Roman" w:hAnsi="Times New Roman" w:cs="Times New Roman"/>
        </w:rPr>
      </w:pPr>
      <w:r w:rsidRPr="00F01DEB">
        <w:rPr>
          <w:rFonts w:ascii="Times New Roman" w:hAnsi="Times New Roman" w:cs="Times New Roman"/>
        </w:rPr>
        <w:t>Therefore, t</w:t>
      </w:r>
      <w:r w:rsidR="00F2331A" w:rsidRPr="00F01DEB">
        <w:rPr>
          <w:rFonts w:ascii="Times New Roman" w:hAnsi="Times New Roman" w:cs="Times New Roman"/>
        </w:rPr>
        <w:t xml:space="preserve">his paper investigates the effect of </w:t>
      </w:r>
      <w:r w:rsidR="00234AE4" w:rsidRPr="00F01DEB">
        <w:rPr>
          <w:rFonts w:ascii="Times New Roman" w:hAnsi="Times New Roman" w:cs="Times New Roman"/>
        </w:rPr>
        <w:t xml:space="preserve">the working capital </w:t>
      </w:r>
      <w:r w:rsidR="00F2331A" w:rsidRPr="00F01DEB">
        <w:rPr>
          <w:rFonts w:ascii="Times New Roman" w:hAnsi="Times New Roman" w:cs="Times New Roman"/>
        </w:rPr>
        <w:t xml:space="preserve">polices on the performance of the nonfinancial firms in the </w:t>
      </w:r>
      <w:r w:rsidR="00234AE4" w:rsidRPr="00F01DEB">
        <w:rPr>
          <w:rFonts w:ascii="Times New Roman" w:hAnsi="Times New Roman" w:cs="Times New Roman"/>
        </w:rPr>
        <w:t>GCC</w:t>
      </w:r>
      <w:r w:rsidR="00F2331A" w:rsidRPr="00F01DEB">
        <w:rPr>
          <w:rFonts w:ascii="Times New Roman" w:hAnsi="Times New Roman" w:cs="Times New Roman"/>
        </w:rPr>
        <w:t xml:space="preserve"> countries</w:t>
      </w:r>
      <w:r w:rsidR="00501D84" w:rsidRPr="00F01DEB">
        <w:rPr>
          <w:rFonts w:ascii="Times New Roman" w:hAnsi="Times New Roman" w:cs="Times New Roman"/>
        </w:rPr>
        <w:t xml:space="preserve"> that </w:t>
      </w:r>
      <w:r w:rsidR="00F2331A" w:rsidRPr="00F01DEB">
        <w:rPr>
          <w:rFonts w:ascii="Times New Roman" w:hAnsi="Times New Roman" w:cs="Times New Roman"/>
        </w:rPr>
        <w:t>share joint and coordinated economic policies</w:t>
      </w:r>
      <w:r w:rsidR="00501D84" w:rsidRPr="00F01DEB">
        <w:rPr>
          <w:rFonts w:ascii="Times New Roman" w:hAnsi="Times New Roman" w:cs="Times New Roman"/>
        </w:rPr>
        <w:t xml:space="preserve">, </w:t>
      </w:r>
      <w:r w:rsidR="00F2331A" w:rsidRPr="00F01DEB">
        <w:rPr>
          <w:rFonts w:ascii="Times New Roman" w:hAnsi="Times New Roman" w:cs="Times New Roman"/>
        </w:rPr>
        <w:t xml:space="preserve">hence represent </w:t>
      </w:r>
      <w:r w:rsidR="00981BBD" w:rsidRPr="00F01DEB">
        <w:rPr>
          <w:rFonts w:ascii="Times New Roman" w:hAnsi="Times New Roman" w:cs="Times New Roman"/>
        </w:rPr>
        <w:t>an</w:t>
      </w:r>
      <w:r w:rsidR="00F2331A" w:rsidRPr="00F01DEB">
        <w:rPr>
          <w:rFonts w:ascii="Times New Roman" w:hAnsi="Times New Roman" w:cs="Times New Roman"/>
        </w:rPr>
        <w:t xml:space="preserve"> expedient setting to test the predictions of the </w:t>
      </w:r>
      <w:r w:rsidR="00256343" w:rsidRPr="00F01DEB">
        <w:rPr>
          <w:rFonts w:ascii="Times New Roman" w:hAnsi="Times New Roman" w:cs="Times New Roman"/>
        </w:rPr>
        <w:t xml:space="preserve">theoretical propositions </w:t>
      </w:r>
      <w:r w:rsidR="00F2331A" w:rsidRPr="00F01DEB">
        <w:rPr>
          <w:rFonts w:ascii="Times New Roman" w:hAnsi="Times New Roman" w:cs="Times New Roman"/>
        </w:rPr>
        <w:t>with respect to working capital literature.</w:t>
      </w:r>
      <w:r w:rsidR="00723A3D" w:rsidRPr="00F01DEB">
        <w:rPr>
          <w:rFonts w:ascii="Times New Roman" w:hAnsi="Times New Roman" w:cs="Times New Roman"/>
        </w:rPr>
        <w:t xml:space="preserve"> </w:t>
      </w:r>
    </w:p>
    <w:p w:rsidR="00350774" w:rsidRPr="00F01DEB" w:rsidRDefault="008D3639" w:rsidP="00F01DEB">
      <w:pPr>
        <w:pStyle w:val="ListParagraph"/>
        <w:numPr>
          <w:ilvl w:val="0"/>
          <w:numId w:val="2"/>
        </w:numPr>
        <w:bidi w:val="0"/>
        <w:spacing w:line="240" w:lineRule="auto"/>
        <w:rPr>
          <w:rFonts w:ascii="Times New Roman" w:hAnsi="Times New Roman" w:cs="Times New Roman"/>
        </w:rPr>
      </w:pPr>
      <w:r w:rsidRPr="00F01DEB">
        <w:rPr>
          <w:rFonts w:ascii="Times New Roman" w:hAnsi="Times New Roman" w:cs="Times New Roman"/>
          <w:u w:val="single"/>
        </w:rPr>
        <w:t>Literature R</w:t>
      </w:r>
      <w:r w:rsidR="00F2331A" w:rsidRPr="00F01DEB">
        <w:rPr>
          <w:rFonts w:ascii="Times New Roman" w:hAnsi="Times New Roman" w:cs="Times New Roman"/>
          <w:u w:val="single"/>
        </w:rPr>
        <w:t>eview and Hypothesis Development</w:t>
      </w:r>
      <w:r w:rsidR="00F2331A" w:rsidRPr="00F01DEB">
        <w:rPr>
          <w:rFonts w:ascii="Times New Roman" w:hAnsi="Times New Roman" w:cs="Times New Roman"/>
        </w:rPr>
        <w:t xml:space="preserve"> </w:t>
      </w:r>
    </w:p>
    <w:p w:rsidR="00F01DEB" w:rsidRDefault="00513B14" w:rsidP="00513B14">
      <w:pPr>
        <w:bidi w:val="0"/>
        <w:spacing w:line="240" w:lineRule="auto"/>
        <w:contextualSpacing/>
        <w:rPr>
          <w:rFonts w:ascii="Times New Roman" w:hAnsi="Times New Roman" w:cs="Times New Roman"/>
        </w:rPr>
      </w:pPr>
      <w:r>
        <w:rPr>
          <w:rFonts w:ascii="Times New Roman" w:hAnsi="Times New Roman" w:cs="Times New Roman"/>
        </w:rPr>
        <w:t>T</w:t>
      </w:r>
      <w:r w:rsidR="00BE2654" w:rsidRPr="00F01DEB">
        <w:rPr>
          <w:rFonts w:ascii="Times New Roman" w:hAnsi="Times New Roman" w:cs="Times New Roman"/>
        </w:rPr>
        <w:t>he optimal level of working capital and the way is managed should have direct impact on a firm</w:t>
      </w:r>
      <w:r w:rsidR="00F2331A" w:rsidRPr="00F01DEB">
        <w:rPr>
          <w:rFonts w:ascii="Times New Roman" w:hAnsi="Times New Roman" w:cs="Times New Roman"/>
        </w:rPr>
        <w:t xml:space="preserve"> </w:t>
      </w:r>
      <w:r w:rsidR="00BE2654" w:rsidRPr="00F01DEB">
        <w:rPr>
          <w:rFonts w:ascii="Times New Roman" w:hAnsi="Times New Roman" w:cs="Times New Roman"/>
        </w:rPr>
        <w:t xml:space="preserve">performance.  </w:t>
      </w:r>
      <w:r w:rsidR="00054227" w:rsidRPr="00F01DEB">
        <w:rPr>
          <w:rFonts w:ascii="Times New Roman" w:hAnsi="Times New Roman" w:cs="Times New Roman"/>
        </w:rPr>
        <w:t xml:space="preserve">Studies that empirically examine the relation between working capital policies and the firm performance are enormous. </w:t>
      </w:r>
    </w:p>
    <w:p w:rsidR="007708C3" w:rsidRPr="00F01DEB" w:rsidRDefault="00054227" w:rsidP="00F01DEB">
      <w:pPr>
        <w:bidi w:val="0"/>
        <w:spacing w:line="240" w:lineRule="auto"/>
        <w:contextualSpacing/>
        <w:rPr>
          <w:rFonts w:ascii="Times New Roman" w:hAnsi="Times New Roman" w:cs="Times New Roman"/>
        </w:rPr>
      </w:pPr>
      <w:r w:rsidRPr="00F01DEB">
        <w:rPr>
          <w:rFonts w:ascii="Times New Roman" w:hAnsi="Times New Roman" w:cs="Times New Roman"/>
        </w:rPr>
        <w:t xml:space="preserve">In a study of the relation between working capital management and </w:t>
      </w:r>
      <w:r w:rsidR="00575044" w:rsidRPr="00F01DEB">
        <w:rPr>
          <w:rFonts w:ascii="Times New Roman" w:hAnsi="Times New Roman" w:cs="Times New Roman"/>
        </w:rPr>
        <w:t xml:space="preserve">corporate </w:t>
      </w:r>
      <w:r w:rsidRPr="00F01DEB">
        <w:rPr>
          <w:rFonts w:ascii="Times New Roman" w:hAnsi="Times New Roman" w:cs="Times New Roman"/>
        </w:rPr>
        <w:t>p</w:t>
      </w:r>
      <w:r w:rsidR="00575044" w:rsidRPr="00F01DEB">
        <w:rPr>
          <w:rFonts w:ascii="Times New Roman" w:hAnsi="Times New Roman" w:cs="Times New Roman"/>
        </w:rPr>
        <w:t xml:space="preserve">rofitability </w:t>
      </w:r>
      <w:r w:rsidRPr="00F01DEB">
        <w:rPr>
          <w:rFonts w:ascii="Times New Roman" w:hAnsi="Times New Roman" w:cs="Times New Roman"/>
        </w:rPr>
        <w:t xml:space="preserve">for </w:t>
      </w:r>
      <w:r w:rsidR="00575044" w:rsidRPr="00F01DEB">
        <w:rPr>
          <w:rFonts w:ascii="Times New Roman" w:hAnsi="Times New Roman" w:cs="Times New Roman"/>
        </w:rPr>
        <w:t xml:space="preserve">firms listed in Athens stock exchange </w:t>
      </w:r>
      <w:r w:rsidRPr="00F01DEB">
        <w:rPr>
          <w:rFonts w:ascii="Times New Roman" w:hAnsi="Times New Roman" w:cs="Times New Roman"/>
        </w:rPr>
        <w:t>for the period of 200</w:t>
      </w:r>
      <w:r w:rsidR="00575044" w:rsidRPr="00F01DEB">
        <w:rPr>
          <w:rFonts w:ascii="Times New Roman" w:hAnsi="Times New Roman" w:cs="Times New Roman"/>
        </w:rPr>
        <w:t>1</w:t>
      </w:r>
      <w:r w:rsidRPr="00F01DEB">
        <w:rPr>
          <w:rFonts w:ascii="Times New Roman" w:hAnsi="Times New Roman" w:cs="Times New Roman"/>
        </w:rPr>
        <w:t>-200</w:t>
      </w:r>
      <w:r w:rsidR="00575044" w:rsidRPr="00F01DEB">
        <w:rPr>
          <w:rFonts w:ascii="Times New Roman" w:hAnsi="Times New Roman" w:cs="Times New Roman"/>
        </w:rPr>
        <w:t>4</w:t>
      </w:r>
      <w:r w:rsidRPr="00F01DEB">
        <w:rPr>
          <w:rFonts w:ascii="Times New Roman" w:hAnsi="Times New Roman" w:cs="Times New Roman"/>
        </w:rPr>
        <w:t xml:space="preserve">, </w:t>
      </w:r>
      <w:proofErr w:type="spellStart"/>
      <w:r w:rsidR="00575044" w:rsidRPr="00F01DEB">
        <w:rPr>
          <w:rFonts w:ascii="Times New Roman" w:hAnsi="Times New Roman" w:cs="Times New Roman"/>
        </w:rPr>
        <w:t>Lazaridis</w:t>
      </w:r>
      <w:proofErr w:type="spellEnd"/>
      <w:r w:rsidR="00575044" w:rsidRPr="00F01DEB">
        <w:rPr>
          <w:rFonts w:ascii="Times New Roman" w:hAnsi="Times New Roman" w:cs="Times New Roman"/>
        </w:rPr>
        <w:t xml:space="preserve"> et al </w:t>
      </w:r>
      <w:r w:rsidRPr="00F01DEB">
        <w:rPr>
          <w:rFonts w:ascii="Times New Roman" w:hAnsi="Times New Roman" w:cs="Times New Roman"/>
        </w:rPr>
        <w:t>(20</w:t>
      </w:r>
      <w:r w:rsidR="00575044" w:rsidRPr="00F01DEB">
        <w:rPr>
          <w:rFonts w:ascii="Times New Roman" w:hAnsi="Times New Roman" w:cs="Times New Roman"/>
        </w:rPr>
        <w:t>06</w:t>
      </w:r>
      <w:r w:rsidRPr="00F01DEB">
        <w:rPr>
          <w:rFonts w:ascii="Times New Roman" w:hAnsi="Times New Roman" w:cs="Times New Roman"/>
        </w:rPr>
        <w:t>)</w:t>
      </w:r>
      <w:r w:rsidR="00D33116" w:rsidRPr="00F01DEB">
        <w:rPr>
          <w:rFonts w:ascii="Times New Roman" w:hAnsi="Times New Roman" w:cs="Times New Roman"/>
        </w:rPr>
        <w:t xml:space="preserve"> </w:t>
      </w:r>
      <w:r w:rsidR="00650D27" w:rsidRPr="00F01DEB">
        <w:rPr>
          <w:rFonts w:ascii="Times New Roman" w:hAnsi="Times New Roman" w:cs="Times New Roman"/>
        </w:rPr>
        <w:t>employ</w:t>
      </w:r>
      <w:r w:rsidR="00D33116" w:rsidRPr="00F01DEB">
        <w:rPr>
          <w:rFonts w:ascii="Times New Roman" w:hAnsi="Times New Roman" w:cs="Times New Roman"/>
        </w:rPr>
        <w:t xml:space="preserve"> several regression models and document</w:t>
      </w:r>
      <w:r w:rsidR="00650D27" w:rsidRPr="00F01DEB">
        <w:rPr>
          <w:rFonts w:ascii="Times New Roman" w:hAnsi="Times New Roman" w:cs="Times New Roman"/>
        </w:rPr>
        <w:t xml:space="preserve"> a </w:t>
      </w:r>
      <w:r w:rsidR="00D33116" w:rsidRPr="00F01DEB">
        <w:rPr>
          <w:rFonts w:ascii="Times New Roman" w:hAnsi="Times New Roman" w:cs="Times New Roman"/>
        </w:rPr>
        <w:t xml:space="preserve">negative </w:t>
      </w:r>
      <w:r w:rsidR="00650D27" w:rsidRPr="00F01DEB">
        <w:rPr>
          <w:rFonts w:ascii="Times New Roman" w:hAnsi="Times New Roman" w:cs="Times New Roman"/>
        </w:rPr>
        <w:t>relation between cash conversion cycle a</w:t>
      </w:r>
      <w:r w:rsidR="00D33116" w:rsidRPr="00F01DEB">
        <w:rPr>
          <w:rFonts w:ascii="Times New Roman" w:hAnsi="Times New Roman" w:cs="Times New Roman"/>
        </w:rPr>
        <w:t>nd the accounting profitability. They also find a negative relation between corporate profitability and the level of accounts receivables as well as with the inventory number of days.</w:t>
      </w:r>
    </w:p>
    <w:p w:rsidR="000902E9" w:rsidRPr="00F01DEB" w:rsidRDefault="000902E9" w:rsidP="00F01DEB">
      <w:pPr>
        <w:bidi w:val="0"/>
        <w:spacing w:line="240" w:lineRule="auto"/>
        <w:contextualSpacing/>
        <w:rPr>
          <w:rFonts w:ascii="Times New Roman" w:hAnsi="Times New Roman" w:cs="Times New Roman"/>
        </w:rPr>
      </w:pPr>
      <w:proofErr w:type="spellStart"/>
      <w:r w:rsidRPr="00F01DEB">
        <w:rPr>
          <w:rFonts w:ascii="Times New Roman" w:hAnsi="Times New Roman" w:cs="Times New Roman"/>
        </w:rPr>
        <w:lastRenderedPageBreak/>
        <w:t>Teruel</w:t>
      </w:r>
      <w:proofErr w:type="spellEnd"/>
      <w:r w:rsidRPr="00F01DEB">
        <w:rPr>
          <w:rFonts w:ascii="Times New Roman" w:hAnsi="Times New Roman" w:cs="Times New Roman"/>
        </w:rPr>
        <w:t xml:space="preserve"> et all (2007) examine the relationship between the cash conversion cycle and profitability for a panel of 8,872 Spanish small to medium‐sized enterprises (SMEs) during the period of 1996-2002. As they consider the possible presence of the endogeneity problem, they conclude that SMEs managers can create value to their projects simply by </w:t>
      </w:r>
      <w:r w:rsidR="00DE0F87" w:rsidRPr="00F01DEB">
        <w:rPr>
          <w:rFonts w:ascii="Times New Roman" w:hAnsi="Times New Roman" w:cs="Times New Roman"/>
        </w:rPr>
        <w:t>cutting down their inventory level, the number of days for which the account receivable are outstanding and by shortening the cash conversion cycle.</w:t>
      </w:r>
    </w:p>
    <w:p w:rsidR="00D33116" w:rsidRPr="00F01DEB" w:rsidRDefault="00D33116" w:rsidP="00F01DEB">
      <w:pPr>
        <w:bidi w:val="0"/>
        <w:spacing w:line="240" w:lineRule="auto"/>
        <w:contextualSpacing/>
        <w:rPr>
          <w:rFonts w:ascii="Times New Roman" w:hAnsi="Times New Roman" w:cs="Times New Roman"/>
        </w:rPr>
      </w:pPr>
      <w:proofErr w:type="spellStart"/>
      <w:r w:rsidRPr="00F01DEB">
        <w:rPr>
          <w:rFonts w:ascii="Times New Roman" w:hAnsi="Times New Roman" w:cs="Times New Roman"/>
        </w:rPr>
        <w:t>Mansoori</w:t>
      </w:r>
      <w:proofErr w:type="spellEnd"/>
      <w:r w:rsidRPr="00F01DEB">
        <w:rPr>
          <w:rFonts w:ascii="Times New Roman" w:hAnsi="Times New Roman" w:cs="Times New Roman"/>
        </w:rPr>
        <w:t xml:space="preserve"> et al (2012) </w:t>
      </w:r>
      <w:r w:rsidR="00C80A96" w:rsidRPr="00F01DEB">
        <w:rPr>
          <w:rFonts w:ascii="Times New Roman" w:hAnsi="Times New Roman" w:cs="Times New Roman"/>
        </w:rPr>
        <w:t xml:space="preserve">employ pooled data analysis to </w:t>
      </w:r>
      <w:r w:rsidRPr="00F01DEB">
        <w:rPr>
          <w:rFonts w:ascii="Times New Roman" w:hAnsi="Times New Roman" w:cs="Times New Roman"/>
        </w:rPr>
        <w:t xml:space="preserve">examine the </w:t>
      </w:r>
      <w:r w:rsidR="00C80A96" w:rsidRPr="00F01DEB">
        <w:rPr>
          <w:rFonts w:ascii="Times New Roman" w:hAnsi="Times New Roman" w:cs="Times New Roman"/>
        </w:rPr>
        <w:t xml:space="preserve">effect of working capital on firm profitability for Singapore firms for the period of 2004-2001. They also conclude that managers can boost their firms’ profitability by </w:t>
      </w:r>
      <w:r w:rsidR="00350774" w:rsidRPr="00F01DEB">
        <w:rPr>
          <w:rFonts w:ascii="Times New Roman" w:hAnsi="Times New Roman" w:cs="Times New Roman"/>
        </w:rPr>
        <w:t xml:space="preserve">similarly </w:t>
      </w:r>
      <w:r w:rsidR="00C80A96" w:rsidRPr="00F01DEB">
        <w:rPr>
          <w:rFonts w:ascii="Times New Roman" w:hAnsi="Times New Roman" w:cs="Times New Roman"/>
        </w:rPr>
        <w:t>managing their working capital more efficiently. This can be carried out by having less cash conversion cycle, shortening receivables conversion period a</w:t>
      </w:r>
      <w:r w:rsidR="007064FA" w:rsidRPr="00F01DEB">
        <w:rPr>
          <w:rFonts w:ascii="Times New Roman" w:hAnsi="Times New Roman" w:cs="Times New Roman"/>
        </w:rPr>
        <w:t>nd inventory conversion period.</w:t>
      </w:r>
    </w:p>
    <w:p w:rsidR="007064FA" w:rsidRPr="00F01DEB" w:rsidRDefault="00350774" w:rsidP="00F01DEB">
      <w:pPr>
        <w:bidi w:val="0"/>
        <w:spacing w:line="240" w:lineRule="auto"/>
        <w:contextualSpacing/>
        <w:rPr>
          <w:rFonts w:ascii="Times New Roman" w:hAnsi="Times New Roman" w:cs="Times New Roman"/>
        </w:rPr>
      </w:pPr>
      <w:r w:rsidRPr="00F01DEB">
        <w:rPr>
          <w:rFonts w:ascii="Times New Roman" w:hAnsi="Times New Roman" w:cs="Times New Roman"/>
        </w:rPr>
        <w:t>On the other hand</w:t>
      </w:r>
      <w:r w:rsidR="007064FA" w:rsidRPr="00F01DEB">
        <w:rPr>
          <w:rFonts w:ascii="Times New Roman" w:hAnsi="Times New Roman" w:cs="Times New Roman"/>
        </w:rPr>
        <w:t xml:space="preserve">, </w:t>
      </w:r>
      <w:proofErr w:type="spellStart"/>
      <w:r w:rsidR="009C3261" w:rsidRPr="00F01DEB">
        <w:rPr>
          <w:rFonts w:ascii="Times New Roman" w:hAnsi="Times New Roman" w:cs="Times New Roman"/>
        </w:rPr>
        <w:t>Thuvarakan</w:t>
      </w:r>
      <w:proofErr w:type="spellEnd"/>
      <w:r w:rsidR="009C3261" w:rsidRPr="00F01DEB">
        <w:rPr>
          <w:rFonts w:ascii="Times New Roman" w:hAnsi="Times New Roman" w:cs="Times New Roman"/>
        </w:rPr>
        <w:t xml:space="preserve"> (2013) investigates the impact of working capital management on corporate profitability of UK manufacturing, telecommunication, and construction firms for the period of 2007-2001. He documents no </w:t>
      </w:r>
      <w:r w:rsidRPr="00F01DEB">
        <w:rPr>
          <w:rFonts w:ascii="Times New Roman" w:hAnsi="Times New Roman" w:cs="Times New Roman"/>
        </w:rPr>
        <w:t xml:space="preserve">significant </w:t>
      </w:r>
      <w:r w:rsidR="009C3261" w:rsidRPr="00F01DEB">
        <w:rPr>
          <w:rFonts w:ascii="Times New Roman" w:hAnsi="Times New Roman" w:cs="Times New Roman"/>
        </w:rPr>
        <w:t xml:space="preserve">relationship between cash conversion cycle and profitability. Furthermore, he </w:t>
      </w:r>
      <w:r w:rsidR="008D3639" w:rsidRPr="00F01DEB">
        <w:rPr>
          <w:rFonts w:ascii="Times New Roman" w:hAnsi="Times New Roman" w:cs="Times New Roman"/>
        </w:rPr>
        <w:t>finds positive</w:t>
      </w:r>
      <w:r w:rsidR="009C3261" w:rsidRPr="00F01DEB">
        <w:rPr>
          <w:rFonts w:ascii="Times New Roman" w:hAnsi="Times New Roman" w:cs="Times New Roman"/>
        </w:rPr>
        <w:t xml:space="preserve"> relation between receivable days and profitability.</w:t>
      </w:r>
    </w:p>
    <w:p w:rsidR="00525B7E" w:rsidRPr="00F01DEB" w:rsidRDefault="00350774" w:rsidP="00F01DEB">
      <w:pPr>
        <w:bidi w:val="0"/>
        <w:spacing w:line="240" w:lineRule="auto"/>
        <w:contextualSpacing/>
        <w:rPr>
          <w:rFonts w:ascii="Times New Roman" w:hAnsi="Times New Roman" w:cs="Times New Roman"/>
        </w:rPr>
      </w:pPr>
      <w:r w:rsidRPr="00F01DEB">
        <w:rPr>
          <w:rFonts w:ascii="Times New Roman" w:hAnsi="Times New Roman" w:cs="Times New Roman"/>
        </w:rPr>
        <w:t xml:space="preserve">Similarly, </w:t>
      </w:r>
      <w:proofErr w:type="spellStart"/>
      <w:r w:rsidR="00525B7E" w:rsidRPr="00F01DEB">
        <w:rPr>
          <w:rFonts w:ascii="Times New Roman" w:hAnsi="Times New Roman" w:cs="Times New Roman"/>
        </w:rPr>
        <w:t>Oseifuah</w:t>
      </w:r>
      <w:proofErr w:type="spellEnd"/>
      <w:r w:rsidR="00525B7E" w:rsidRPr="00F01DEB">
        <w:rPr>
          <w:rFonts w:ascii="Times New Roman" w:hAnsi="Times New Roman" w:cs="Times New Roman"/>
        </w:rPr>
        <w:t xml:space="preserve"> et al (2017) investigate the relationship between </w:t>
      </w:r>
      <w:r w:rsidR="008C7E01" w:rsidRPr="00F01DEB">
        <w:rPr>
          <w:rFonts w:ascii="Times New Roman" w:hAnsi="Times New Roman" w:cs="Times New Roman"/>
        </w:rPr>
        <w:t xml:space="preserve">working capital management efficiency and the accounting profitability (i.e. ROA) </w:t>
      </w:r>
      <w:r w:rsidR="00762DA7" w:rsidRPr="00F01DEB">
        <w:rPr>
          <w:rFonts w:ascii="Times New Roman" w:hAnsi="Times New Roman" w:cs="Times New Roman"/>
        </w:rPr>
        <w:t>as well as the market value of</w:t>
      </w:r>
      <w:r w:rsidR="008C7E01" w:rsidRPr="00F01DEB">
        <w:rPr>
          <w:rFonts w:ascii="Times New Roman" w:hAnsi="Times New Roman" w:cs="Times New Roman"/>
        </w:rPr>
        <w:t xml:space="preserve"> firms listed in Johannesburg stock exchange for the period of 2003-2012. They document an insignificant relationship between the cash conversion cycle and the ROA. </w:t>
      </w:r>
    </w:p>
    <w:p w:rsidR="00F576FC" w:rsidRPr="00F01DEB" w:rsidRDefault="00F576FC" w:rsidP="00F01DEB">
      <w:pPr>
        <w:bidi w:val="0"/>
        <w:spacing w:line="240" w:lineRule="auto"/>
        <w:contextualSpacing/>
        <w:rPr>
          <w:rFonts w:ascii="Times New Roman" w:hAnsi="Times New Roman" w:cs="Times New Roman"/>
        </w:rPr>
      </w:pPr>
      <w:r w:rsidRPr="00F01DEB">
        <w:rPr>
          <w:rFonts w:ascii="Times New Roman" w:hAnsi="Times New Roman" w:cs="Times New Roman"/>
        </w:rPr>
        <w:t xml:space="preserve">Abdulrahman et al (2010) also employ panel data analysis to inspect the relation between working capital and firm performance for manufacturing firms listed in Karachi stock exchange for the period of 1998-2007. They </w:t>
      </w:r>
      <w:r w:rsidR="00AE324C" w:rsidRPr="00F01DEB">
        <w:rPr>
          <w:rFonts w:ascii="Times New Roman" w:hAnsi="Times New Roman" w:cs="Times New Roman"/>
        </w:rPr>
        <w:t xml:space="preserve">find evidence that managing </w:t>
      </w:r>
      <w:r w:rsidRPr="00F01DEB">
        <w:rPr>
          <w:rFonts w:ascii="Times New Roman" w:hAnsi="Times New Roman" w:cs="Times New Roman"/>
        </w:rPr>
        <w:t xml:space="preserve">working capital </w:t>
      </w:r>
      <w:r w:rsidR="00AE324C" w:rsidRPr="00F01DEB">
        <w:rPr>
          <w:rFonts w:ascii="Times New Roman" w:hAnsi="Times New Roman" w:cs="Times New Roman"/>
        </w:rPr>
        <w:t xml:space="preserve">efficiently </w:t>
      </w:r>
      <w:r w:rsidRPr="00F01DEB">
        <w:rPr>
          <w:rFonts w:ascii="Times New Roman" w:hAnsi="Times New Roman" w:cs="Times New Roman"/>
        </w:rPr>
        <w:t>can boost the operating profitability of firms</w:t>
      </w:r>
      <w:r w:rsidR="00AE324C" w:rsidRPr="00F01DEB">
        <w:rPr>
          <w:rFonts w:ascii="Times New Roman" w:hAnsi="Times New Roman" w:cs="Times New Roman"/>
        </w:rPr>
        <w:t xml:space="preserve"> as they proof</w:t>
      </w:r>
      <w:r w:rsidRPr="00F01DEB">
        <w:rPr>
          <w:rFonts w:ascii="Times New Roman" w:hAnsi="Times New Roman" w:cs="Times New Roman"/>
        </w:rPr>
        <w:t xml:space="preserve"> a significant negative effect of cash conversion cycle </w:t>
      </w:r>
      <w:r w:rsidR="00AE324C" w:rsidRPr="00F01DEB">
        <w:rPr>
          <w:rFonts w:ascii="Times New Roman" w:hAnsi="Times New Roman" w:cs="Times New Roman"/>
        </w:rPr>
        <w:t xml:space="preserve">on </w:t>
      </w:r>
      <w:r w:rsidRPr="00F01DEB">
        <w:rPr>
          <w:rFonts w:ascii="Times New Roman" w:hAnsi="Times New Roman" w:cs="Times New Roman"/>
        </w:rPr>
        <w:t>firm’s operating profitability.</w:t>
      </w:r>
    </w:p>
    <w:p w:rsidR="00F576FC" w:rsidRPr="00F01DEB" w:rsidRDefault="00981BBD" w:rsidP="00F01DEB">
      <w:pPr>
        <w:bidi w:val="0"/>
        <w:spacing w:line="240" w:lineRule="auto"/>
        <w:contextualSpacing/>
        <w:rPr>
          <w:rFonts w:ascii="Times New Roman" w:hAnsi="Times New Roman" w:cs="Times New Roman"/>
        </w:rPr>
      </w:pPr>
      <w:proofErr w:type="spellStart"/>
      <w:r w:rsidRPr="00F01DEB">
        <w:rPr>
          <w:rFonts w:ascii="Times New Roman" w:hAnsi="Times New Roman" w:cs="Times New Roman"/>
        </w:rPr>
        <w:t>Wasiuzzaman</w:t>
      </w:r>
      <w:proofErr w:type="spellEnd"/>
      <w:r w:rsidRPr="00F01DEB">
        <w:rPr>
          <w:rFonts w:ascii="Times New Roman" w:hAnsi="Times New Roman" w:cs="Times New Roman"/>
        </w:rPr>
        <w:t xml:space="preserve"> (2015) </w:t>
      </w:r>
      <w:r w:rsidR="00350774" w:rsidRPr="00F01DEB">
        <w:rPr>
          <w:rFonts w:ascii="Times New Roman" w:hAnsi="Times New Roman" w:cs="Times New Roman"/>
        </w:rPr>
        <w:t xml:space="preserve">employs several regression models to </w:t>
      </w:r>
      <w:r w:rsidR="005506FE" w:rsidRPr="00F01DEB">
        <w:rPr>
          <w:rFonts w:ascii="Times New Roman" w:hAnsi="Times New Roman" w:cs="Times New Roman"/>
        </w:rPr>
        <w:t xml:space="preserve">investigate the relationship between working capital efficiency and firm value </w:t>
      </w:r>
      <w:r w:rsidR="00350774" w:rsidRPr="00F01DEB">
        <w:rPr>
          <w:rFonts w:ascii="Times New Roman" w:hAnsi="Times New Roman" w:cs="Times New Roman"/>
        </w:rPr>
        <w:t xml:space="preserve">and </w:t>
      </w:r>
      <w:r w:rsidR="005506FE" w:rsidRPr="00F01DEB">
        <w:rPr>
          <w:rFonts w:ascii="Times New Roman" w:hAnsi="Times New Roman" w:cs="Times New Roman"/>
        </w:rPr>
        <w:t>the influence of financing constraints on this relationship for 192 Malaysian</w:t>
      </w:r>
      <w:r w:rsidR="00A86466" w:rsidRPr="00F01DEB">
        <w:rPr>
          <w:rFonts w:ascii="Times New Roman" w:hAnsi="Times New Roman" w:cs="Times New Roman"/>
        </w:rPr>
        <w:t xml:space="preserve"> firms o</w:t>
      </w:r>
      <w:r w:rsidR="00350774" w:rsidRPr="00F01DEB">
        <w:rPr>
          <w:rFonts w:ascii="Times New Roman" w:hAnsi="Times New Roman" w:cs="Times New Roman"/>
        </w:rPr>
        <w:t>ve</w:t>
      </w:r>
      <w:r w:rsidR="00A86466" w:rsidRPr="00F01DEB">
        <w:rPr>
          <w:rFonts w:ascii="Times New Roman" w:hAnsi="Times New Roman" w:cs="Times New Roman"/>
        </w:rPr>
        <w:t>r the period of 1999-2008</w:t>
      </w:r>
      <w:r w:rsidR="005506FE" w:rsidRPr="00F01DEB">
        <w:rPr>
          <w:rFonts w:ascii="Times New Roman" w:hAnsi="Times New Roman" w:cs="Times New Roman"/>
        </w:rPr>
        <w:t xml:space="preserve">. </w:t>
      </w:r>
      <w:r w:rsidR="00A86466" w:rsidRPr="00F01DEB">
        <w:rPr>
          <w:rFonts w:ascii="Times New Roman" w:hAnsi="Times New Roman" w:cs="Times New Roman"/>
        </w:rPr>
        <w:t xml:space="preserve">As predicted by theory, he documents negative impact of the net working capital on Malaysian firm values. He also documents a higher impact of cash on firm value. </w:t>
      </w:r>
    </w:p>
    <w:p w:rsidR="002C3825" w:rsidRPr="00F01DEB" w:rsidRDefault="002C3825" w:rsidP="00F01DEB">
      <w:pPr>
        <w:bidi w:val="0"/>
        <w:spacing w:line="240" w:lineRule="auto"/>
        <w:contextualSpacing/>
        <w:rPr>
          <w:rFonts w:ascii="Times New Roman" w:hAnsi="Times New Roman" w:cs="Times New Roman"/>
        </w:rPr>
      </w:pPr>
      <w:proofErr w:type="spellStart"/>
      <w:r w:rsidRPr="00F01DEB">
        <w:rPr>
          <w:rFonts w:ascii="Times New Roman" w:hAnsi="Times New Roman" w:cs="Times New Roman"/>
        </w:rPr>
        <w:t>Haron</w:t>
      </w:r>
      <w:proofErr w:type="spellEnd"/>
      <w:r w:rsidR="00350774" w:rsidRPr="00F01DEB">
        <w:rPr>
          <w:rFonts w:ascii="Times New Roman" w:hAnsi="Times New Roman" w:cs="Times New Roman"/>
        </w:rPr>
        <w:t xml:space="preserve"> et al</w:t>
      </w:r>
      <w:r w:rsidRPr="00F01DEB">
        <w:rPr>
          <w:rFonts w:ascii="Times New Roman" w:hAnsi="Times New Roman" w:cs="Times New Roman"/>
        </w:rPr>
        <w:t xml:space="preserve"> (2016) </w:t>
      </w:r>
      <w:r w:rsidR="00350774" w:rsidRPr="00F01DEB">
        <w:rPr>
          <w:rFonts w:ascii="Times New Roman" w:hAnsi="Times New Roman" w:cs="Times New Roman"/>
        </w:rPr>
        <w:t xml:space="preserve">examine </w:t>
      </w:r>
      <w:r w:rsidRPr="00F01DEB">
        <w:rPr>
          <w:rFonts w:ascii="Times New Roman" w:hAnsi="Times New Roman" w:cs="Times New Roman"/>
        </w:rPr>
        <w:t xml:space="preserve">the determinants of working capital management of 57 Malaysian firms for the period of 2002-2012, where they divide the whole period into three different periods relative to the 2008 </w:t>
      </w:r>
      <w:r w:rsidR="00350774" w:rsidRPr="00F01DEB">
        <w:rPr>
          <w:rFonts w:ascii="Times New Roman" w:hAnsi="Times New Roman" w:cs="Times New Roman"/>
        </w:rPr>
        <w:t xml:space="preserve">financial </w:t>
      </w:r>
      <w:r w:rsidRPr="00F01DEB">
        <w:rPr>
          <w:rFonts w:ascii="Times New Roman" w:hAnsi="Times New Roman" w:cs="Times New Roman"/>
        </w:rPr>
        <w:t xml:space="preserve">crises.  As they employ </w:t>
      </w:r>
      <w:r w:rsidR="00086C60" w:rsidRPr="00F01DEB">
        <w:rPr>
          <w:rFonts w:ascii="Times New Roman" w:hAnsi="Times New Roman" w:cs="Times New Roman"/>
        </w:rPr>
        <w:t xml:space="preserve">different </w:t>
      </w:r>
      <w:r w:rsidRPr="00F01DEB">
        <w:rPr>
          <w:rFonts w:ascii="Times New Roman" w:hAnsi="Times New Roman" w:cs="Times New Roman"/>
        </w:rPr>
        <w:t xml:space="preserve">pooled regression models, they </w:t>
      </w:r>
      <w:r w:rsidR="00086C60" w:rsidRPr="00F01DEB">
        <w:rPr>
          <w:rFonts w:ascii="Times New Roman" w:hAnsi="Times New Roman" w:cs="Times New Roman"/>
        </w:rPr>
        <w:t>find that profitability and firm size consistently and significantly affect the cash conversion cycle, which emphasizes the importance of working capital manag</w:t>
      </w:r>
      <w:r w:rsidR="00AB439B" w:rsidRPr="00F01DEB">
        <w:rPr>
          <w:rFonts w:ascii="Times New Roman" w:hAnsi="Times New Roman" w:cs="Times New Roman"/>
        </w:rPr>
        <w:t>ement irrespective of the time.</w:t>
      </w:r>
    </w:p>
    <w:p w:rsidR="00DE0F87" w:rsidRPr="00F01DEB" w:rsidRDefault="00DE0F87" w:rsidP="00F01DEB">
      <w:pPr>
        <w:bidi w:val="0"/>
        <w:spacing w:line="240" w:lineRule="auto"/>
        <w:contextualSpacing/>
        <w:rPr>
          <w:rFonts w:ascii="Times New Roman" w:hAnsi="Times New Roman" w:cs="Times New Roman"/>
        </w:rPr>
      </w:pPr>
      <w:proofErr w:type="spellStart"/>
      <w:r w:rsidRPr="00F01DEB">
        <w:rPr>
          <w:rFonts w:ascii="Times New Roman" w:hAnsi="Times New Roman" w:cs="Times New Roman"/>
        </w:rPr>
        <w:t>Kieschnick</w:t>
      </w:r>
      <w:proofErr w:type="spellEnd"/>
      <w:r w:rsidRPr="00F01DEB">
        <w:rPr>
          <w:rFonts w:ascii="Times New Roman" w:hAnsi="Times New Roman" w:cs="Times New Roman"/>
        </w:rPr>
        <w:t xml:space="preserve"> et al. (2013) </w:t>
      </w:r>
      <w:r w:rsidR="00DC7BC4" w:rsidRPr="00F01DEB">
        <w:rPr>
          <w:rFonts w:ascii="Times New Roman" w:hAnsi="Times New Roman" w:cs="Times New Roman"/>
        </w:rPr>
        <w:t>investigate the relationship between corporate working capital management and shareholders’ wealth for a set of US firms during the period of 1990-2006.</w:t>
      </w:r>
      <w:r w:rsidR="00AE324C" w:rsidRPr="00F01DEB">
        <w:rPr>
          <w:rFonts w:ascii="Times New Roman" w:hAnsi="Times New Roman" w:cs="Times New Roman"/>
        </w:rPr>
        <w:t xml:space="preserve"> T</w:t>
      </w:r>
      <w:r w:rsidR="00DC7BC4" w:rsidRPr="00F01DEB">
        <w:rPr>
          <w:rFonts w:ascii="Times New Roman" w:hAnsi="Times New Roman" w:cs="Times New Roman"/>
        </w:rPr>
        <w:t xml:space="preserve">hey confirm that the value of the dollar held in cash worth more than the dollar held in net operating working capital, for the average firm. Additionally, they find that a dollar invested in account receivables worth more than a dollar invested in inventory, for the average firm. </w:t>
      </w:r>
    </w:p>
    <w:p w:rsidR="009A6DDD" w:rsidRPr="00F01DEB" w:rsidRDefault="009A6DDD" w:rsidP="00513B14">
      <w:pPr>
        <w:bidi w:val="0"/>
        <w:spacing w:line="240" w:lineRule="auto"/>
        <w:contextualSpacing/>
        <w:rPr>
          <w:rFonts w:ascii="Times New Roman" w:hAnsi="Times New Roman" w:cs="Times New Roman"/>
        </w:rPr>
      </w:pPr>
      <w:r w:rsidRPr="00F01DEB">
        <w:rPr>
          <w:rFonts w:ascii="Times New Roman" w:hAnsi="Times New Roman" w:cs="Times New Roman"/>
        </w:rPr>
        <w:t xml:space="preserve">Shin et al (1998) analyze the working capital efficiency by investigating the relation between net trade cycle and profitability for about 2950 US firms during the period 1975-1994. </w:t>
      </w:r>
      <w:r w:rsidR="0038544C" w:rsidRPr="00F01DEB">
        <w:rPr>
          <w:rFonts w:ascii="Times New Roman" w:hAnsi="Times New Roman" w:cs="Times New Roman"/>
        </w:rPr>
        <w:t xml:space="preserve">They document a negative relationship between </w:t>
      </w:r>
      <w:r w:rsidR="00350774" w:rsidRPr="00F01DEB">
        <w:rPr>
          <w:rFonts w:ascii="Times New Roman" w:hAnsi="Times New Roman" w:cs="Times New Roman"/>
        </w:rPr>
        <w:t xml:space="preserve">the </w:t>
      </w:r>
      <w:r w:rsidR="0038544C" w:rsidRPr="00F01DEB">
        <w:rPr>
          <w:rFonts w:ascii="Times New Roman" w:hAnsi="Times New Roman" w:cs="Times New Roman"/>
        </w:rPr>
        <w:t>firm net trade cycle and firm profitability measured either in accounting standards or in market-based standards which also confirms the idea that one way to create sharehold</w:t>
      </w:r>
      <w:r w:rsidR="00350774" w:rsidRPr="00F01DEB">
        <w:rPr>
          <w:rFonts w:ascii="Times New Roman" w:hAnsi="Times New Roman" w:cs="Times New Roman"/>
        </w:rPr>
        <w:t xml:space="preserve">er </w:t>
      </w:r>
      <w:r w:rsidR="0038544C" w:rsidRPr="00F01DEB">
        <w:rPr>
          <w:rFonts w:ascii="Times New Roman" w:hAnsi="Times New Roman" w:cs="Times New Roman"/>
        </w:rPr>
        <w:t>value is by efficiently managing working capital.</w:t>
      </w:r>
    </w:p>
    <w:p w:rsidR="0038544C" w:rsidRPr="00F01DEB" w:rsidRDefault="0038544C" w:rsidP="00513B14">
      <w:pPr>
        <w:bidi w:val="0"/>
        <w:spacing w:line="240" w:lineRule="auto"/>
        <w:contextualSpacing/>
        <w:rPr>
          <w:rFonts w:ascii="Times New Roman" w:hAnsi="Times New Roman" w:cs="Times New Roman"/>
        </w:rPr>
      </w:pPr>
      <w:proofErr w:type="spellStart"/>
      <w:r w:rsidRPr="00F01DEB">
        <w:rPr>
          <w:rFonts w:ascii="Times New Roman" w:hAnsi="Times New Roman" w:cs="Times New Roman"/>
        </w:rPr>
        <w:t>Deloof</w:t>
      </w:r>
      <w:proofErr w:type="spellEnd"/>
      <w:r w:rsidRPr="00F01DEB">
        <w:rPr>
          <w:rFonts w:ascii="Times New Roman" w:hAnsi="Times New Roman" w:cs="Times New Roman"/>
        </w:rPr>
        <w:t xml:space="preserve"> (2003) examines the relation between working capital efficiency and firm profitability for 1009 Belgium firms for the period of 1992-1996. </w:t>
      </w:r>
      <w:r w:rsidR="0010589C" w:rsidRPr="00F01DEB">
        <w:rPr>
          <w:rFonts w:ascii="Times New Roman" w:hAnsi="Times New Roman" w:cs="Times New Roman"/>
        </w:rPr>
        <w:t xml:space="preserve">He finds evidence of a negative association between firm profitability and </w:t>
      </w:r>
      <w:r w:rsidR="00350774" w:rsidRPr="00F01DEB">
        <w:rPr>
          <w:rFonts w:ascii="Times New Roman" w:hAnsi="Times New Roman" w:cs="Times New Roman"/>
        </w:rPr>
        <w:t xml:space="preserve">each of </w:t>
      </w:r>
      <w:r w:rsidR="0010589C" w:rsidRPr="00F01DEB">
        <w:rPr>
          <w:rFonts w:ascii="Times New Roman" w:hAnsi="Times New Roman" w:cs="Times New Roman"/>
        </w:rPr>
        <w:t xml:space="preserve">the number of days in accounts receivables, the number of days in inventories and the number of days in account payables of Belgium firms. </w:t>
      </w:r>
    </w:p>
    <w:p w:rsidR="00AB439B" w:rsidRPr="00F01DEB" w:rsidRDefault="00513B14" w:rsidP="00513B14">
      <w:pPr>
        <w:bidi w:val="0"/>
        <w:spacing w:line="240" w:lineRule="auto"/>
        <w:contextualSpacing/>
        <w:rPr>
          <w:rFonts w:ascii="Times New Roman" w:hAnsi="Times New Roman" w:cs="Times New Roman"/>
        </w:rPr>
      </w:pPr>
      <w:r>
        <w:rPr>
          <w:rFonts w:ascii="Times New Roman" w:hAnsi="Times New Roman" w:cs="Times New Roman"/>
        </w:rPr>
        <w:t>As t</w:t>
      </w:r>
      <w:r w:rsidR="00AB439B" w:rsidRPr="00F01DEB">
        <w:rPr>
          <w:rFonts w:ascii="Times New Roman" w:hAnsi="Times New Roman" w:cs="Times New Roman"/>
        </w:rPr>
        <w:t>he previous literature concludes a positive relation</w:t>
      </w:r>
      <w:r w:rsidR="007417B4" w:rsidRPr="00F01DEB">
        <w:rPr>
          <w:rFonts w:ascii="Times New Roman" w:hAnsi="Times New Roman" w:cs="Times New Roman"/>
        </w:rPr>
        <w:t>ship</w:t>
      </w:r>
      <w:r w:rsidR="00AB439B" w:rsidRPr="00F01DEB">
        <w:rPr>
          <w:rFonts w:ascii="Times New Roman" w:hAnsi="Times New Roman" w:cs="Times New Roman"/>
        </w:rPr>
        <w:t xml:space="preserve"> between corporate accounting performance and the efficiency of working capital management</w:t>
      </w:r>
      <w:r>
        <w:rPr>
          <w:rFonts w:ascii="Times New Roman" w:hAnsi="Times New Roman" w:cs="Times New Roman"/>
        </w:rPr>
        <w:t>, t</w:t>
      </w:r>
      <w:r w:rsidR="00AB439B" w:rsidRPr="00F01DEB">
        <w:rPr>
          <w:rFonts w:ascii="Times New Roman" w:hAnsi="Times New Roman" w:cs="Times New Roman"/>
        </w:rPr>
        <w:t xml:space="preserve">his paper investigates the relation </w:t>
      </w:r>
      <w:r w:rsidR="007F2886" w:rsidRPr="00F01DEB">
        <w:rPr>
          <w:rFonts w:ascii="Times New Roman" w:hAnsi="Times New Roman" w:cs="Times New Roman"/>
        </w:rPr>
        <w:t xml:space="preserve">between working capital efficiency and corporate profitability </w:t>
      </w:r>
      <w:r w:rsidR="00AB439B" w:rsidRPr="00F01DEB">
        <w:rPr>
          <w:rFonts w:ascii="Times New Roman" w:hAnsi="Times New Roman" w:cs="Times New Roman"/>
        </w:rPr>
        <w:t>in a different setting</w:t>
      </w:r>
      <w:r w:rsidR="00247E98" w:rsidRPr="00F01DEB">
        <w:rPr>
          <w:rFonts w:ascii="Times New Roman" w:hAnsi="Times New Roman" w:cs="Times New Roman"/>
        </w:rPr>
        <w:t>, in GCC countries,</w:t>
      </w:r>
      <w:r w:rsidR="00AB439B" w:rsidRPr="00F01DEB">
        <w:rPr>
          <w:rFonts w:ascii="Times New Roman" w:hAnsi="Times New Roman" w:cs="Times New Roman"/>
        </w:rPr>
        <w:t xml:space="preserve"> where corporate sector depends highly on government supports and subsidies.  That is, most firms in GCC countries prosper once the country budget flourish</w:t>
      </w:r>
      <w:r w:rsidR="00247E98" w:rsidRPr="00F01DEB">
        <w:rPr>
          <w:rFonts w:ascii="Times New Roman" w:hAnsi="Times New Roman" w:cs="Times New Roman"/>
        </w:rPr>
        <w:t>es</w:t>
      </w:r>
      <w:r w:rsidR="009449AA" w:rsidRPr="00F01DEB">
        <w:rPr>
          <w:rFonts w:ascii="Times New Roman" w:hAnsi="Times New Roman" w:cs="Times New Roman"/>
        </w:rPr>
        <w:t xml:space="preserve"> due to a rise in oil price, which </w:t>
      </w:r>
      <w:r w:rsidR="00C82A3B" w:rsidRPr="00F01DEB">
        <w:rPr>
          <w:rFonts w:ascii="Times New Roman" w:hAnsi="Times New Roman" w:cs="Times New Roman"/>
        </w:rPr>
        <w:t xml:space="preserve">tends to boost government expenditures in terms of more development projects that are usually carried out by private sector, and vice versa. </w:t>
      </w:r>
      <w:r w:rsidR="00A66E47" w:rsidRPr="00F01DEB">
        <w:rPr>
          <w:rFonts w:ascii="Times New Roman" w:hAnsi="Times New Roman" w:cs="Times New Roman"/>
        </w:rPr>
        <w:t xml:space="preserve">As GCC governments embrace their private sector, firm managers are </w:t>
      </w:r>
      <w:r w:rsidR="007F2886" w:rsidRPr="00F01DEB">
        <w:rPr>
          <w:rFonts w:ascii="Times New Roman" w:hAnsi="Times New Roman" w:cs="Times New Roman"/>
        </w:rPr>
        <w:t xml:space="preserve">less inclined to </w:t>
      </w:r>
      <w:r w:rsidR="00A66E47" w:rsidRPr="00F01DEB">
        <w:rPr>
          <w:rFonts w:ascii="Times New Roman" w:hAnsi="Times New Roman" w:cs="Times New Roman"/>
        </w:rPr>
        <w:t xml:space="preserve">the universal proper practices of working capital management. </w:t>
      </w:r>
      <w:r w:rsidR="00C82A3B" w:rsidRPr="00F01DEB">
        <w:rPr>
          <w:rFonts w:ascii="Times New Roman" w:hAnsi="Times New Roman" w:cs="Times New Roman"/>
        </w:rPr>
        <w:t xml:space="preserve">Hence, </w:t>
      </w:r>
      <w:r w:rsidR="007F2886" w:rsidRPr="00F01DEB">
        <w:rPr>
          <w:rFonts w:ascii="Times New Roman" w:hAnsi="Times New Roman" w:cs="Times New Roman"/>
        </w:rPr>
        <w:t xml:space="preserve">this paper </w:t>
      </w:r>
      <w:r w:rsidR="007F2886" w:rsidRPr="00F01DEB">
        <w:rPr>
          <w:rFonts w:ascii="Times New Roman" w:hAnsi="Times New Roman" w:cs="Times New Roman"/>
        </w:rPr>
        <w:lastRenderedPageBreak/>
        <w:t xml:space="preserve">conjectures a weak, if any, relationship between the efficiency of working capital management, as indicated by the length of the cash conversion cycle and both the corporate accounting profitability and the corporate market-based profitability, for a set of nonfinancial GCC firms. This is due mainly to the negligence of market investors to the role of the working capital in generating yields to firms in terms of more cash flows. </w:t>
      </w:r>
      <w:r w:rsidR="00A66E47" w:rsidRPr="00F01DEB">
        <w:rPr>
          <w:rFonts w:ascii="Times New Roman" w:hAnsi="Times New Roman" w:cs="Times New Roman"/>
        </w:rPr>
        <w:t>T</w:t>
      </w:r>
      <w:r w:rsidR="001532FD" w:rsidRPr="00F01DEB">
        <w:rPr>
          <w:rFonts w:ascii="Times New Roman" w:hAnsi="Times New Roman" w:cs="Times New Roman"/>
        </w:rPr>
        <w:t xml:space="preserve">his study </w:t>
      </w:r>
      <w:r w:rsidR="00A66E47" w:rsidRPr="00F01DEB">
        <w:rPr>
          <w:rFonts w:ascii="Times New Roman" w:hAnsi="Times New Roman" w:cs="Times New Roman"/>
        </w:rPr>
        <w:t xml:space="preserve">also </w:t>
      </w:r>
      <w:r w:rsidR="001532FD" w:rsidRPr="00F01DEB">
        <w:rPr>
          <w:rFonts w:ascii="Times New Roman" w:hAnsi="Times New Roman" w:cs="Times New Roman"/>
        </w:rPr>
        <w:t xml:space="preserve">strives to use more recent data </w:t>
      </w:r>
      <w:r w:rsidR="00A66E47" w:rsidRPr="00F01DEB">
        <w:rPr>
          <w:rFonts w:ascii="Times New Roman" w:hAnsi="Times New Roman" w:cs="Times New Roman"/>
        </w:rPr>
        <w:t>of</w:t>
      </w:r>
      <w:r w:rsidR="001532FD" w:rsidRPr="00F01DEB">
        <w:rPr>
          <w:rFonts w:ascii="Times New Roman" w:hAnsi="Times New Roman" w:cs="Times New Roman"/>
        </w:rPr>
        <w:t xml:space="preserve"> a market-based </w:t>
      </w:r>
      <w:r w:rsidR="00A66E47" w:rsidRPr="00F01DEB">
        <w:rPr>
          <w:rFonts w:ascii="Times New Roman" w:hAnsi="Times New Roman" w:cs="Times New Roman"/>
        </w:rPr>
        <w:t xml:space="preserve">performance </w:t>
      </w:r>
      <w:r w:rsidR="001532FD" w:rsidRPr="00F01DEB">
        <w:rPr>
          <w:rFonts w:ascii="Times New Roman" w:hAnsi="Times New Roman" w:cs="Times New Roman"/>
        </w:rPr>
        <w:t xml:space="preserve">measure in six different </w:t>
      </w:r>
      <w:r w:rsidR="00A66E47" w:rsidRPr="00F01DEB">
        <w:rPr>
          <w:rFonts w:ascii="Times New Roman" w:hAnsi="Times New Roman" w:cs="Times New Roman"/>
        </w:rPr>
        <w:t xml:space="preserve">GCC </w:t>
      </w:r>
      <w:r w:rsidR="001532FD" w:rsidRPr="00F01DEB">
        <w:rPr>
          <w:rFonts w:ascii="Times New Roman" w:hAnsi="Times New Roman" w:cs="Times New Roman"/>
        </w:rPr>
        <w:t>countries.</w:t>
      </w:r>
      <w:r w:rsidR="00C245E4" w:rsidRPr="00F01DEB">
        <w:rPr>
          <w:rFonts w:ascii="Times New Roman" w:hAnsi="Times New Roman" w:cs="Times New Roman"/>
        </w:rPr>
        <w:t xml:space="preserve"> On the other hand, the literature of valuing the efficiency of working capital is already scarce and mostly devoted to developed countries. This paper adds </w:t>
      </w:r>
      <w:r w:rsidR="00A66E47" w:rsidRPr="00F01DEB">
        <w:rPr>
          <w:rFonts w:ascii="Times New Roman" w:hAnsi="Times New Roman" w:cs="Times New Roman"/>
        </w:rPr>
        <w:t xml:space="preserve">decently </w:t>
      </w:r>
      <w:r w:rsidR="00C245E4" w:rsidRPr="00F01DEB">
        <w:rPr>
          <w:rFonts w:ascii="Times New Roman" w:hAnsi="Times New Roman" w:cs="Times New Roman"/>
        </w:rPr>
        <w:t>to fill the gap for emerging markets.</w:t>
      </w:r>
    </w:p>
    <w:p w:rsidR="00C245E4" w:rsidRPr="00F01DEB" w:rsidRDefault="008C7E01" w:rsidP="00F01DEB">
      <w:pPr>
        <w:bidi w:val="0"/>
        <w:spacing w:line="240" w:lineRule="auto"/>
        <w:contextualSpacing/>
        <w:rPr>
          <w:rFonts w:ascii="Times New Roman" w:hAnsi="Times New Roman" w:cs="Times New Roman"/>
        </w:rPr>
      </w:pPr>
      <w:r w:rsidRPr="00F01DEB">
        <w:rPr>
          <w:rFonts w:ascii="Times New Roman" w:hAnsi="Times New Roman" w:cs="Times New Roman"/>
        </w:rPr>
        <w:t>Therefore, the following hypothesis is formulated:</w:t>
      </w:r>
    </w:p>
    <w:p w:rsidR="008C7E01" w:rsidRPr="00F01DEB" w:rsidRDefault="008C7E01" w:rsidP="00F01DEB">
      <w:pPr>
        <w:bidi w:val="0"/>
        <w:spacing w:line="240" w:lineRule="auto"/>
        <w:contextualSpacing/>
        <w:rPr>
          <w:rFonts w:ascii="Times New Roman" w:hAnsi="Times New Roman" w:cs="Times New Roman"/>
        </w:rPr>
      </w:pPr>
      <w:r w:rsidRPr="00F01DEB">
        <w:rPr>
          <w:rFonts w:ascii="Times New Roman" w:hAnsi="Times New Roman" w:cs="Times New Roman"/>
          <w:i/>
          <w:iCs/>
        </w:rPr>
        <w:t>Hypothsis1</w:t>
      </w:r>
      <w:r w:rsidRPr="00F01DEB">
        <w:rPr>
          <w:rFonts w:ascii="Times New Roman" w:hAnsi="Times New Roman" w:cs="Times New Roman"/>
        </w:rPr>
        <w:t xml:space="preserve">: There is a </w:t>
      </w:r>
      <w:r w:rsidR="007F2886" w:rsidRPr="00F01DEB">
        <w:rPr>
          <w:rFonts w:ascii="Times New Roman" w:hAnsi="Times New Roman" w:cs="Times New Roman"/>
        </w:rPr>
        <w:t>significant and robust</w:t>
      </w:r>
      <w:r w:rsidRPr="00F01DEB">
        <w:rPr>
          <w:rFonts w:ascii="Times New Roman" w:hAnsi="Times New Roman" w:cs="Times New Roman"/>
        </w:rPr>
        <w:t xml:space="preserve"> negative relationship between cash conversion cycle and corporate profitability for nonfinancial firms in GCC countries. </w:t>
      </w:r>
    </w:p>
    <w:p w:rsidR="00116E13" w:rsidRPr="00F01DEB" w:rsidRDefault="00AB439B" w:rsidP="00F01DEB">
      <w:pPr>
        <w:pStyle w:val="ListParagraph"/>
        <w:numPr>
          <w:ilvl w:val="0"/>
          <w:numId w:val="2"/>
        </w:numPr>
        <w:bidi w:val="0"/>
        <w:spacing w:line="240" w:lineRule="auto"/>
        <w:ind w:left="0" w:firstLine="0"/>
        <w:rPr>
          <w:rFonts w:ascii="Times New Roman" w:hAnsi="Times New Roman" w:cs="Times New Roman"/>
        </w:rPr>
      </w:pPr>
      <w:r w:rsidRPr="00F01DEB">
        <w:rPr>
          <w:rFonts w:ascii="Times New Roman" w:hAnsi="Times New Roman" w:cs="Times New Roman"/>
          <w:u w:val="single"/>
        </w:rPr>
        <w:t>Methodology</w:t>
      </w:r>
    </w:p>
    <w:p w:rsidR="00AB439B" w:rsidRPr="00F01DEB" w:rsidRDefault="00357C65" w:rsidP="00F01DEB">
      <w:pPr>
        <w:bidi w:val="0"/>
        <w:spacing w:line="240" w:lineRule="auto"/>
        <w:contextualSpacing/>
        <w:rPr>
          <w:rFonts w:ascii="Times New Roman" w:hAnsi="Times New Roman" w:cs="Times New Roman"/>
        </w:rPr>
      </w:pPr>
      <w:proofErr w:type="gramStart"/>
      <w:r w:rsidRPr="00F01DEB">
        <w:rPr>
          <w:rFonts w:ascii="Times New Roman" w:hAnsi="Times New Roman" w:cs="Times New Roman"/>
        </w:rPr>
        <w:t>On the basis of</w:t>
      </w:r>
      <w:proofErr w:type="gramEnd"/>
      <w:r w:rsidRPr="00F01DEB">
        <w:rPr>
          <w:rFonts w:ascii="Times New Roman" w:hAnsi="Times New Roman" w:cs="Times New Roman"/>
        </w:rPr>
        <w:t xml:space="preserve"> the hypothesized argument that the efficient working capital can create value to shareholders, </w:t>
      </w:r>
      <w:r w:rsidR="00AB439B" w:rsidRPr="00F01DEB">
        <w:rPr>
          <w:rFonts w:ascii="Times New Roman" w:hAnsi="Times New Roman" w:cs="Times New Roman"/>
        </w:rPr>
        <w:t xml:space="preserve">this paper intends to investigate the relationship between </w:t>
      </w:r>
      <w:r w:rsidR="00116E13" w:rsidRPr="00F01DEB">
        <w:rPr>
          <w:rFonts w:ascii="Times New Roman" w:hAnsi="Times New Roman" w:cs="Times New Roman"/>
        </w:rPr>
        <w:t xml:space="preserve">working capital </w:t>
      </w:r>
      <w:r w:rsidR="003837D0" w:rsidRPr="00F01DEB">
        <w:rPr>
          <w:rFonts w:ascii="Times New Roman" w:hAnsi="Times New Roman" w:cs="Times New Roman"/>
        </w:rPr>
        <w:t xml:space="preserve">management </w:t>
      </w:r>
      <w:r w:rsidR="00116E13" w:rsidRPr="00F01DEB">
        <w:rPr>
          <w:rFonts w:ascii="Times New Roman" w:hAnsi="Times New Roman" w:cs="Times New Roman"/>
        </w:rPr>
        <w:t xml:space="preserve">and firm performance, </w:t>
      </w:r>
      <w:r w:rsidRPr="00F01DEB">
        <w:rPr>
          <w:rFonts w:ascii="Times New Roman" w:hAnsi="Times New Roman" w:cs="Times New Roman"/>
        </w:rPr>
        <w:t xml:space="preserve">hence, </w:t>
      </w:r>
      <w:r w:rsidR="00116E13" w:rsidRPr="00F01DEB">
        <w:rPr>
          <w:rFonts w:ascii="Times New Roman" w:hAnsi="Times New Roman" w:cs="Times New Roman"/>
        </w:rPr>
        <w:t xml:space="preserve">the following model </w:t>
      </w:r>
      <w:r w:rsidR="001532FD" w:rsidRPr="00F01DEB">
        <w:rPr>
          <w:rFonts w:ascii="Times New Roman" w:hAnsi="Times New Roman" w:cs="Times New Roman"/>
        </w:rPr>
        <w:t>is to be tested</w:t>
      </w:r>
      <w:r w:rsidR="00D940D8" w:rsidRPr="00F01DEB">
        <w:rPr>
          <w:rFonts w:ascii="Times New Roman" w:hAnsi="Times New Roman" w:cs="Times New Roman"/>
        </w:rPr>
        <w:t>:</w:t>
      </w:r>
    </w:p>
    <w:p w:rsidR="001532FD" w:rsidRPr="00F01DEB" w:rsidRDefault="001532FD" w:rsidP="00F01DEB">
      <w:pPr>
        <w:bidi w:val="0"/>
        <w:spacing w:line="240" w:lineRule="auto"/>
        <w:contextualSpacing/>
        <w:rPr>
          <w:rFonts w:ascii="Times New Roman" w:hAnsi="Times New Roman" w:cs="Times New Roman"/>
        </w:rPr>
      </w:pPr>
      <w:r w:rsidRPr="00F01DEB">
        <w:rPr>
          <w:rFonts w:ascii="Times New Roman" w:hAnsi="Times New Roman" w:cs="Times New Roman"/>
        </w:rPr>
        <w:t>Performance = f {</w:t>
      </w:r>
      <w:r w:rsidR="003B4810" w:rsidRPr="00F01DEB">
        <w:rPr>
          <w:rFonts w:ascii="Times New Roman" w:hAnsi="Times New Roman" w:cs="Times New Roman"/>
        </w:rPr>
        <w:t xml:space="preserve">a </w:t>
      </w:r>
      <w:r w:rsidRPr="00F01DEB">
        <w:rPr>
          <w:rFonts w:ascii="Times New Roman" w:hAnsi="Times New Roman" w:cs="Times New Roman"/>
        </w:rPr>
        <w:t>working capital measure + control variables}</w:t>
      </w:r>
    </w:p>
    <w:p w:rsidR="0054183D" w:rsidRPr="00F01DEB" w:rsidRDefault="001532FD" w:rsidP="00F01DEB">
      <w:pPr>
        <w:bidi w:val="0"/>
        <w:spacing w:line="240" w:lineRule="auto"/>
        <w:contextualSpacing/>
        <w:rPr>
          <w:rFonts w:ascii="Times New Roman" w:hAnsi="Times New Roman" w:cs="Times New Roman"/>
        </w:rPr>
      </w:pPr>
      <w:r w:rsidRPr="00F01DEB">
        <w:rPr>
          <w:rFonts w:ascii="Times New Roman" w:hAnsi="Times New Roman" w:cs="Times New Roman"/>
        </w:rPr>
        <w:t xml:space="preserve">As the literature is full </w:t>
      </w:r>
      <w:r w:rsidR="0054183D" w:rsidRPr="00F01DEB">
        <w:rPr>
          <w:rFonts w:ascii="Times New Roman" w:hAnsi="Times New Roman" w:cs="Times New Roman"/>
        </w:rPr>
        <w:t>of</w:t>
      </w:r>
      <w:r w:rsidRPr="00F01DEB">
        <w:rPr>
          <w:rFonts w:ascii="Times New Roman" w:hAnsi="Times New Roman" w:cs="Times New Roman"/>
        </w:rPr>
        <w:t xml:space="preserve"> different measures of firm performance, one popular accounting measure is employed, the operating income divided by total assets (analogous to the popular ROA)</w:t>
      </w:r>
      <w:r w:rsidR="0054183D" w:rsidRPr="00F01DEB">
        <w:rPr>
          <w:rFonts w:ascii="Times New Roman" w:hAnsi="Times New Roman" w:cs="Times New Roman"/>
        </w:rPr>
        <w:t xml:space="preserve">. </w:t>
      </w:r>
      <w:proofErr w:type="gramStart"/>
      <w:r w:rsidR="0054183D" w:rsidRPr="00F01DEB">
        <w:rPr>
          <w:rFonts w:ascii="Times New Roman" w:hAnsi="Times New Roman" w:cs="Times New Roman"/>
        </w:rPr>
        <w:t>In order to</w:t>
      </w:r>
      <w:proofErr w:type="gramEnd"/>
      <w:r w:rsidR="0054183D" w:rsidRPr="00F01DEB">
        <w:rPr>
          <w:rFonts w:ascii="Times New Roman" w:hAnsi="Times New Roman" w:cs="Times New Roman"/>
        </w:rPr>
        <w:t xml:space="preserve"> corroborate the results, another market-based performance measure will also be employed, the Tobin’s Q. As there are different versions of Tobin’s Q, and no consensus is reached as to the best Tobin’s Q ratio, the following measure will be used in this study:</w:t>
      </w:r>
    </w:p>
    <w:p w:rsidR="0054183D" w:rsidRPr="00F01DEB" w:rsidRDefault="0083037B" w:rsidP="00F01DEB">
      <w:pPr>
        <w:bidi w:val="0"/>
        <w:spacing w:line="240" w:lineRule="auto"/>
      </w:pPr>
      <w:r w:rsidRPr="00F01DEB">
        <w:rPr>
          <w:rFonts w:ascii="Times New Roman" w:hAnsi="Times New Roman" w:cs="Times New Roman"/>
        </w:rPr>
        <w:t>T</w:t>
      </w:r>
      <w:r w:rsidR="0054183D" w:rsidRPr="00F01DEB">
        <w:rPr>
          <w:rFonts w:ascii="Times New Roman" w:hAnsi="Times New Roman" w:cs="Times New Roman"/>
        </w:rPr>
        <w:t>Q = (MVE + TA – EQ) / TA</w:t>
      </w:r>
      <w:r w:rsidR="0054183D" w:rsidRPr="00F01DEB">
        <w:t xml:space="preserve"> </w:t>
      </w:r>
      <w:r w:rsidR="0054183D" w:rsidRPr="00F01DEB">
        <w:rPr>
          <w:rStyle w:val="FootnoteReference"/>
        </w:rPr>
        <w:footnoteReference w:id="4"/>
      </w:r>
    </w:p>
    <w:p w:rsidR="00302EA1" w:rsidRPr="00F01DEB" w:rsidRDefault="00302EA1" w:rsidP="00F01DEB">
      <w:pPr>
        <w:bidi w:val="0"/>
        <w:spacing w:line="240" w:lineRule="auto"/>
        <w:rPr>
          <w:rFonts w:ascii="Times New Roman" w:hAnsi="Times New Roman" w:cs="Times New Roman"/>
        </w:rPr>
      </w:pPr>
      <w:r w:rsidRPr="00F01DEB">
        <w:rPr>
          <w:rFonts w:ascii="Times New Roman" w:hAnsi="Times New Roman" w:cs="Times New Roman"/>
        </w:rPr>
        <w:t xml:space="preserve">Where MVE is the product of stock price (year close) by common stocks outstanding; TA is Total assets, and EQ is the book value of equity. </w:t>
      </w:r>
    </w:p>
    <w:p w:rsidR="001532FD" w:rsidRPr="00F01DEB" w:rsidRDefault="0054183D" w:rsidP="00F01DEB">
      <w:pPr>
        <w:bidi w:val="0"/>
        <w:spacing w:line="240" w:lineRule="auto"/>
        <w:contextualSpacing/>
        <w:rPr>
          <w:rFonts w:ascii="Times New Roman" w:hAnsi="Times New Roman" w:cs="Times New Roman"/>
        </w:rPr>
      </w:pPr>
      <w:r w:rsidRPr="00F01DEB">
        <w:rPr>
          <w:rFonts w:ascii="Times New Roman" w:hAnsi="Times New Roman" w:cs="Times New Roman"/>
        </w:rPr>
        <w:t>For the working capital measure, the cash conversion cycle</w:t>
      </w:r>
      <w:r w:rsidR="00302EA1" w:rsidRPr="00F01DEB">
        <w:rPr>
          <w:rFonts w:ascii="Times New Roman" w:hAnsi="Times New Roman" w:cs="Times New Roman"/>
        </w:rPr>
        <w:t xml:space="preserve"> </w:t>
      </w:r>
      <w:r w:rsidRPr="00F01DEB">
        <w:rPr>
          <w:rFonts w:ascii="Times New Roman" w:hAnsi="Times New Roman" w:cs="Times New Roman"/>
        </w:rPr>
        <w:t xml:space="preserve">will be employed </w:t>
      </w:r>
      <w:r w:rsidR="00302EA1" w:rsidRPr="00F01DEB">
        <w:rPr>
          <w:rFonts w:ascii="Times New Roman" w:hAnsi="Times New Roman" w:cs="Times New Roman"/>
        </w:rPr>
        <w:t>to measure the efficiency of working capital management</w:t>
      </w:r>
      <w:r w:rsidR="00357C65" w:rsidRPr="00F01DEB">
        <w:rPr>
          <w:rStyle w:val="FootnoteReference"/>
          <w:rFonts w:ascii="Times New Roman" w:hAnsi="Times New Roman" w:cs="Times New Roman"/>
        </w:rPr>
        <w:footnoteReference w:id="5"/>
      </w:r>
      <w:r w:rsidR="00302EA1" w:rsidRPr="00F01DEB">
        <w:rPr>
          <w:rFonts w:ascii="Times New Roman" w:hAnsi="Times New Roman" w:cs="Times New Roman"/>
        </w:rPr>
        <w:t>. The cash conversion cycle (CCC) is measured as follows:</w:t>
      </w:r>
    </w:p>
    <w:p w:rsidR="00302EA1" w:rsidRPr="00F01DEB" w:rsidRDefault="00302EA1" w:rsidP="00F01DEB">
      <w:pPr>
        <w:bidi w:val="0"/>
        <w:spacing w:line="240" w:lineRule="auto"/>
        <w:contextualSpacing/>
        <w:rPr>
          <w:rFonts w:ascii="Times New Roman" w:hAnsi="Times New Roman" w:cs="Times New Roman"/>
        </w:rPr>
      </w:pPr>
      <w:r w:rsidRPr="00F01DEB">
        <w:rPr>
          <w:rFonts w:ascii="Times New Roman" w:hAnsi="Times New Roman" w:cs="Times New Roman"/>
        </w:rPr>
        <w:t xml:space="preserve">CCC = </w:t>
      </w:r>
      <w:r w:rsidR="0090146D" w:rsidRPr="00F01DEB">
        <w:rPr>
          <w:rFonts w:ascii="Times New Roman" w:hAnsi="Times New Roman" w:cs="Times New Roman"/>
        </w:rPr>
        <w:t>{</w:t>
      </w:r>
      <w:r w:rsidRPr="00F01DEB">
        <w:rPr>
          <w:rFonts w:ascii="Times New Roman" w:hAnsi="Times New Roman" w:cs="Times New Roman"/>
        </w:rPr>
        <w:t xml:space="preserve">days of AR + </w:t>
      </w:r>
      <w:r w:rsidR="0090146D" w:rsidRPr="00F01DEB">
        <w:rPr>
          <w:rFonts w:ascii="Times New Roman" w:hAnsi="Times New Roman" w:cs="Times New Roman"/>
        </w:rPr>
        <w:t>d</w:t>
      </w:r>
      <w:r w:rsidRPr="00F01DEB">
        <w:rPr>
          <w:rFonts w:ascii="Times New Roman" w:hAnsi="Times New Roman" w:cs="Times New Roman"/>
        </w:rPr>
        <w:t xml:space="preserve">ays of </w:t>
      </w:r>
      <w:r w:rsidR="0090146D" w:rsidRPr="00F01DEB">
        <w:rPr>
          <w:rFonts w:ascii="Times New Roman" w:hAnsi="Times New Roman" w:cs="Times New Roman"/>
        </w:rPr>
        <w:t>i</w:t>
      </w:r>
      <w:r w:rsidRPr="00F01DEB">
        <w:rPr>
          <w:rFonts w:ascii="Times New Roman" w:hAnsi="Times New Roman" w:cs="Times New Roman"/>
        </w:rPr>
        <w:t xml:space="preserve">nventory – </w:t>
      </w:r>
      <w:r w:rsidR="0090146D" w:rsidRPr="00F01DEB">
        <w:rPr>
          <w:rFonts w:ascii="Times New Roman" w:hAnsi="Times New Roman" w:cs="Times New Roman"/>
        </w:rPr>
        <w:t>d</w:t>
      </w:r>
      <w:r w:rsidRPr="00F01DEB">
        <w:rPr>
          <w:rFonts w:ascii="Times New Roman" w:hAnsi="Times New Roman" w:cs="Times New Roman"/>
        </w:rPr>
        <w:t>ays of AP</w:t>
      </w:r>
      <w:r w:rsidR="0090146D" w:rsidRPr="00F01DEB">
        <w:rPr>
          <w:rFonts w:ascii="Times New Roman" w:hAnsi="Times New Roman" w:cs="Times New Roman"/>
        </w:rPr>
        <w:t>}</w:t>
      </w:r>
    </w:p>
    <w:p w:rsidR="00302EA1" w:rsidRPr="00F01DEB" w:rsidRDefault="00302EA1" w:rsidP="00F01DEB">
      <w:pPr>
        <w:bidi w:val="0"/>
        <w:spacing w:line="240" w:lineRule="auto"/>
        <w:rPr>
          <w:rFonts w:ascii="Times New Roman" w:hAnsi="Times New Roman" w:cs="Times New Roman"/>
        </w:rPr>
      </w:pPr>
      <w:r w:rsidRPr="00F01DEB">
        <w:rPr>
          <w:rFonts w:ascii="Times New Roman" w:hAnsi="Times New Roman" w:cs="Times New Roman"/>
        </w:rPr>
        <w:t xml:space="preserve">Where days of AR is the daily account receivables / sales; days of inventory is the daily inventory / sales; days of AP is the daily account payables / sales. That is, CCC represents the </w:t>
      </w:r>
      <w:r w:rsidR="0090146D" w:rsidRPr="00F01DEB">
        <w:rPr>
          <w:rFonts w:ascii="Times New Roman" w:hAnsi="Times New Roman" w:cs="Times New Roman"/>
        </w:rPr>
        <w:t>number of days that a firm needs to collect it</w:t>
      </w:r>
      <w:r w:rsidR="003837D0" w:rsidRPr="00F01DEB">
        <w:rPr>
          <w:rFonts w:ascii="Times New Roman" w:hAnsi="Times New Roman" w:cs="Times New Roman"/>
        </w:rPr>
        <w:t>s</w:t>
      </w:r>
      <w:r w:rsidR="0090146D" w:rsidRPr="00F01DEB">
        <w:rPr>
          <w:rFonts w:ascii="Times New Roman" w:hAnsi="Times New Roman" w:cs="Times New Roman"/>
        </w:rPr>
        <w:t xml:space="preserve"> cash that was disbursed on credit sales and inventory. </w:t>
      </w:r>
    </w:p>
    <w:p w:rsidR="001532FD" w:rsidRPr="00F01DEB" w:rsidRDefault="003B4810" w:rsidP="00F01DEB">
      <w:pPr>
        <w:pStyle w:val="ListParagraph"/>
        <w:numPr>
          <w:ilvl w:val="0"/>
          <w:numId w:val="2"/>
        </w:numPr>
        <w:bidi w:val="0"/>
        <w:spacing w:line="240" w:lineRule="auto"/>
        <w:rPr>
          <w:rFonts w:ascii="Times New Roman" w:hAnsi="Times New Roman" w:cs="Times New Roman"/>
          <w:u w:val="single"/>
        </w:rPr>
      </w:pPr>
      <w:r w:rsidRPr="00F01DEB">
        <w:rPr>
          <w:rFonts w:ascii="Times New Roman" w:hAnsi="Times New Roman" w:cs="Times New Roman"/>
          <w:u w:val="single"/>
        </w:rPr>
        <w:t>Data</w:t>
      </w:r>
    </w:p>
    <w:p w:rsidR="003B4810" w:rsidRPr="00F01DEB" w:rsidRDefault="003B4810" w:rsidP="00F01DEB">
      <w:pPr>
        <w:bidi w:val="0"/>
        <w:spacing w:line="240" w:lineRule="auto"/>
        <w:contextualSpacing/>
        <w:rPr>
          <w:rFonts w:ascii="Times New Roman" w:hAnsi="Times New Roman" w:cs="Times New Roman"/>
        </w:rPr>
      </w:pPr>
      <w:r w:rsidRPr="00F01DEB">
        <w:rPr>
          <w:rFonts w:ascii="Times New Roman" w:hAnsi="Times New Roman" w:cs="Times New Roman"/>
        </w:rPr>
        <w:t>The sample contain</w:t>
      </w:r>
      <w:r w:rsidR="00037949" w:rsidRPr="00F01DEB">
        <w:rPr>
          <w:rFonts w:ascii="Times New Roman" w:hAnsi="Times New Roman" w:cs="Times New Roman"/>
        </w:rPr>
        <w:t>s</w:t>
      </w:r>
      <w:r w:rsidRPr="00F01DEB">
        <w:rPr>
          <w:rFonts w:ascii="Times New Roman" w:hAnsi="Times New Roman" w:cs="Times New Roman"/>
        </w:rPr>
        <w:t xml:space="preserve"> all nonfinancial firms listed in the stock exchanges of all six GCC countries </w:t>
      </w:r>
      <w:r w:rsidR="007F2886" w:rsidRPr="00F01DEB">
        <w:rPr>
          <w:rFonts w:ascii="Times New Roman" w:hAnsi="Times New Roman" w:cs="Times New Roman"/>
        </w:rPr>
        <w:t>during</w:t>
      </w:r>
      <w:r w:rsidRPr="00F01DEB">
        <w:rPr>
          <w:rFonts w:ascii="Times New Roman" w:hAnsi="Times New Roman" w:cs="Times New Roman"/>
        </w:rPr>
        <w:t xml:space="preserve"> the period </w:t>
      </w:r>
      <w:r w:rsidR="007F2886" w:rsidRPr="00F01DEB">
        <w:rPr>
          <w:rFonts w:ascii="Times New Roman" w:hAnsi="Times New Roman" w:cs="Times New Roman"/>
        </w:rPr>
        <w:t xml:space="preserve">of </w:t>
      </w:r>
      <w:r w:rsidRPr="00F01DEB">
        <w:rPr>
          <w:rFonts w:ascii="Times New Roman" w:hAnsi="Times New Roman" w:cs="Times New Roman"/>
        </w:rPr>
        <w:t>2011 - 2016. All data are from Thomson Reuters and are in US dollars.</w:t>
      </w:r>
      <w:r w:rsidR="005A5E27" w:rsidRPr="00F01DEB">
        <w:rPr>
          <w:rFonts w:ascii="Times New Roman" w:hAnsi="Times New Roman" w:cs="Times New Roman"/>
        </w:rPr>
        <w:t xml:space="preserve"> </w:t>
      </w:r>
      <w:r w:rsidR="00037949" w:rsidRPr="00F01DEB">
        <w:rPr>
          <w:rFonts w:ascii="Times New Roman" w:hAnsi="Times New Roman" w:cs="Times New Roman"/>
        </w:rPr>
        <w:t xml:space="preserve"> </w:t>
      </w:r>
    </w:p>
    <w:p w:rsidR="000E0BB8" w:rsidRDefault="003B4810" w:rsidP="00F01DEB">
      <w:pPr>
        <w:bidi w:val="0"/>
        <w:spacing w:line="240" w:lineRule="auto"/>
        <w:contextualSpacing/>
        <w:rPr>
          <w:rFonts w:ascii="Times New Roman" w:hAnsi="Times New Roman" w:cs="Times New Roman"/>
        </w:rPr>
      </w:pPr>
      <w:r w:rsidRPr="00F01DEB">
        <w:rPr>
          <w:rFonts w:ascii="Times New Roman" w:hAnsi="Times New Roman" w:cs="Times New Roman"/>
        </w:rPr>
        <w:t>Table 1 summarizes the sample data employed to draw the analysis. It is apparent</w:t>
      </w:r>
    </w:p>
    <w:p w:rsidR="00F01DEB" w:rsidRPr="00F01DEB" w:rsidRDefault="00F01DEB" w:rsidP="00F01DEB">
      <w:pPr>
        <w:bidi w:val="0"/>
        <w:spacing w:line="240" w:lineRule="auto"/>
        <w:contextualSpacing/>
        <w:rPr>
          <w:rFonts w:ascii="Times New Roman" w:hAnsi="Times New Roman" w:cs="Times New Roman"/>
        </w:rPr>
      </w:pPr>
    </w:p>
    <w:p w:rsidR="003B4810" w:rsidRPr="00F01DEB" w:rsidRDefault="003B4810" w:rsidP="000E0BB8">
      <w:pPr>
        <w:pBdr>
          <w:bottom w:val="single" w:sz="4" w:space="1" w:color="auto"/>
        </w:pBd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 </w:t>
      </w:r>
      <w:r w:rsidR="000E0BB8" w:rsidRPr="00F01DEB">
        <w:rPr>
          <w:rFonts w:ascii="Times New Roman" w:hAnsi="Times New Roman" w:cs="Times New Roman"/>
          <w:sz w:val="20"/>
          <w:szCs w:val="20"/>
        </w:rPr>
        <w:t>Table (1) Summary Statistics of the Available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2316"/>
        <w:gridCol w:w="1416"/>
        <w:gridCol w:w="1716"/>
        <w:gridCol w:w="1383"/>
        <w:gridCol w:w="10"/>
      </w:tblGrid>
      <w:tr w:rsidR="005B3608" w:rsidRPr="00F01DEB" w:rsidTr="000E0BB8">
        <w:trPr>
          <w:gridAfter w:val="1"/>
          <w:wAfter w:w="10" w:type="dxa"/>
        </w:trPr>
        <w:tc>
          <w:tcPr>
            <w:tcW w:w="1382" w:type="dxa"/>
            <w:tcBorders>
              <w:bottom w:val="single" w:sz="4" w:space="0" w:color="auto"/>
            </w:tcBorders>
          </w:tcPr>
          <w:p w:rsidR="005B3608" w:rsidRPr="00F01DEB" w:rsidRDefault="005B3608" w:rsidP="008C5161">
            <w:pPr>
              <w:bidi w:val="0"/>
              <w:rPr>
                <w:rFonts w:ascii="Times New Roman" w:hAnsi="Times New Roman" w:cs="Times New Roman"/>
                <w:sz w:val="20"/>
                <w:szCs w:val="20"/>
              </w:rPr>
            </w:pPr>
          </w:p>
        </w:tc>
        <w:tc>
          <w:tcPr>
            <w:tcW w:w="2316" w:type="dxa"/>
            <w:tcBorders>
              <w:bottom w:val="single" w:sz="4" w:space="0" w:color="auto"/>
            </w:tcBorders>
          </w:tcPr>
          <w:p w:rsidR="005B3608" w:rsidRPr="00F01DEB" w:rsidRDefault="005B3608" w:rsidP="008C5161">
            <w:pPr>
              <w:bidi w:val="0"/>
              <w:jc w:val="center"/>
              <w:rPr>
                <w:rFonts w:ascii="Times New Roman" w:hAnsi="Times New Roman" w:cs="Times New Roman"/>
                <w:sz w:val="20"/>
                <w:szCs w:val="20"/>
              </w:rPr>
            </w:pPr>
            <w:r w:rsidRPr="00F01DEB">
              <w:rPr>
                <w:rFonts w:ascii="Times New Roman" w:hAnsi="Times New Roman" w:cs="Times New Roman"/>
                <w:sz w:val="20"/>
                <w:szCs w:val="20"/>
              </w:rPr>
              <w:t>Mean</w:t>
            </w:r>
          </w:p>
        </w:tc>
        <w:tc>
          <w:tcPr>
            <w:tcW w:w="1416" w:type="dxa"/>
            <w:tcBorders>
              <w:bottom w:val="single" w:sz="4" w:space="0" w:color="auto"/>
            </w:tcBorders>
          </w:tcPr>
          <w:p w:rsidR="005B3608" w:rsidRPr="00F01DEB" w:rsidRDefault="005B3608" w:rsidP="008C5161">
            <w:pPr>
              <w:bidi w:val="0"/>
              <w:jc w:val="center"/>
              <w:rPr>
                <w:rFonts w:ascii="Times New Roman" w:hAnsi="Times New Roman" w:cs="Times New Roman"/>
                <w:sz w:val="20"/>
                <w:szCs w:val="20"/>
              </w:rPr>
            </w:pPr>
            <w:r w:rsidRPr="00F01DEB">
              <w:rPr>
                <w:rFonts w:ascii="Times New Roman" w:hAnsi="Times New Roman" w:cs="Times New Roman"/>
                <w:sz w:val="20"/>
                <w:szCs w:val="20"/>
              </w:rPr>
              <w:t>Median</w:t>
            </w:r>
          </w:p>
        </w:tc>
        <w:tc>
          <w:tcPr>
            <w:tcW w:w="1716" w:type="dxa"/>
            <w:tcBorders>
              <w:bottom w:val="single" w:sz="4" w:space="0" w:color="auto"/>
            </w:tcBorders>
          </w:tcPr>
          <w:p w:rsidR="005B3608" w:rsidRPr="00F01DEB" w:rsidRDefault="005B3608" w:rsidP="008C5161">
            <w:pPr>
              <w:bidi w:val="0"/>
              <w:jc w:val="center"/>
              <w:rPr>
                <w:rFonts w:ascii="Times New Roman" w:hAnsi="Times New Roman" w:cs="Times New Roman"/>
                <w:sz w:val="20"/>
                <w:szCs w:val="20"/>
              </w:rPr>
            </w:pPr>
            <w:r w:rsidRPr="00F01DEB">
              <w:rPr>
                <w:rFonts w:ascii="Times New Roman" w:hAnsi="Times New Roman" w:cs="Times New Roman"/>
                <w:sz w:val="20"/>
                <w:szCs w:val="20"/>
              </w:rPr>
              <w:t>St Dev</w:t>
            </w:r>
          </w:p>
        </w:tc>
        <w:tc>
          <w:tcPr>
            <w:tcW w:w="1383" w:type="dxa"/>
            <w:tcBorders>
              <w:bottom w:val="single" w:sz="4" w:space="0" w:color="auto"/>
            </w:tcBorders>
          </w:tcPr>
          <w:p w:rsidR="005B3608" w:rsidRPr="00F01DEB" w:rsidRDefault="005B3608" w:rsidP="008C5161">
            <w:pPr>
              <w:bidi w:val="0"/>
              <w:jc w:val="center"/>
              <w:rPr>
                <w:rFonts w:ascii="Times New Roman" w:hAnsi="Times New Roman" w:cs="Times New Roman"/>
                <w:sz w:val="20"/>
                <w:szCs w:val="20"/>
              </w:rPr>
            </w:pPr>
            <w:r w:rsidRPr="00F01DEB">
              <w:rPr>
                <w:rFonts w:ascii="Times New Roman" w:hAnsi="Times New Roman" w:cs="Times New Roman"/>
                <w:sz w:val="20"/>
                <w:szCs w:val="20"/>
              </w:rPr>
              <w:t>Obs</w:t>
            </w:r>
            <w:r w:rsidR="00D61D47" w:rsidRPr="00F01DEB">
              <w:rPr>
                <w:rFonts w:ascii="Times New Roman" w:hAnsi="Times New Roman" w:cs="Times New Roman"/>
                <w:sz w:val="20"/>
                <w:szCs w:val="20"/>
              </w:rPr>
              <w:t>.</w:t>
            </w:r>
          </w:p>
        </w:tc>
      </w:tr>
      <w:tr w:rsidR="005B3608" w:rsidRPr="00F01DEB" w:rsidTr="000E0BB8">
        <w:tc>
          <w:tcPr>
            <w:tcW w:w="8223" w:type="dxa"/>
            <w:gridSpan w:val="6"/>
          </w:tcPr>
          <w:p w:rsidR="005B3608" w:rsidRPr="00F01DEB" w:rsidRDefault="005B3608" w:rsidP="008C5161">
            <w:pPr>
              <w:bidi w:val="0"/>
              <w:jc w:val="center"/>
              <w:rPr>
                <w:rFonts w:ascii="Times New Roman" w:hAnsi="Times New Roman" w:cs="Times New Roman"/>
                <w:sz w:val="20"/>
                <w:szCs w:val="20"/>
              </w:rPr>
            </w:pPr>
            <w:r w:rsidRPr="00F01DEB">
              <w:rPr>
                <w:rFonts w:ascii="Times New Roman" w:hAnsi="Times New Roman" w:cs="Times New Roman"/>
                <w:sz w:val="20"/>
                <w:szCs w:val="20"/>
              </w:rPr>
              <w:t>Kuwait</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t>Net Income</w:t>
            </w:r>
          </w:p>
        </w:tc>
        <w:tc>
          <w:tcPr>
            <w:tcW w:w="2316" w:type="dxa"/>
          </w:tcPr>
          <w:p w:rsidR="005B3608" w:rsidRPr="00F01DEB" w:rsidRDefault="005B3608" w:rsidP="00E81C8C">
            <w:pPr>
              <w:bidi w:val="0"/>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416" w:type="dxa"/>
          </w:tcPr>
          <w:p w:rsidR="005B3608" w:rsidRPr="00F01DEB" w:rsidRDefault="005B3608" w:rsidP="00E81C8C">
            <w:pPr>
              <w:bidi w:val="0"/>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9</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5B3608" w:rsidRPr="00F01DEB" w:rsidRDefault="005B3608" w:rsidP="00E81C8C">
            <w:pPr>
              <w:bidi w:val="0"/>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44</w:t>
            </w:r>
            <w:r w:rsidR="00247E98" w:rsidRPr="00F01DEB">
              <w:rPr>
                <w:rFonts w:ascii="Times New Roman" w:eastAsia="Times New Roman" w:hAnsi="Times New Roman" w:cs="Times New Roman"/>
                <w:color w:val="000000"/>
                <w:sz w:val="20"/>
                <w:szCs w:val="20"/>
              </w:rPr>
              <w:t xml:space="preserve"> </w:t>
            </w:r>
            <w:proofErr w:type="spellStart"/>
            <w:r w:rsidR="00247E98" w:rsidRPr="00F01DEB">
              <w:rPr>
                <w:rFonts w:ascii="Times New Roman" w:eastAsia="Times New Roman" w:hAnsi="Times New Roman" w:cs="Times New Roman"/>
                <w:color w:val="000000"/>
                <w:sz w:val="20"/>
                <w:szCs w:val="20"/>
              </w:rPr>
              <w:t>mn</w:t>
            </w:r>
            <w:proofErr w:type="spellEnd"/>
          </w:p>
        </w:tc>
        <w:tc>
          <w:tcPr>
            <w:tcW w:w="1383"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215</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t>Assets</w:t>
            </w:r>
          </w:p>
        </w:tc>
        <w:tc>
          <w:tcPr>
            <w:tcW w:w="23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683</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4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272</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1,130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215</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t>Debt Ratio</w:t>
            </w:r>
          </w:p>
        </w:tc>
        <w:tc>
          <w:tcPr>
            <w:tcW w:w="23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38%</w:t>
            </w:r>
          </w:p>
        </w:tc>
        <w:tc>
          <w:tcPr>
            <w:tcW w:w="14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33%</w:t>
            </w:r>
          </w:p>
        </w:tc>
        <w:tc>
          <w:tcPr>
            <w:tcW w:w="17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22%</w:t>
            </w:r>
          </w:p>
        </w:tc>
        <w:tc>
          <w:tcPr>
            <w:tcW w:w="1383"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215</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t>Tobin’s Q</w:t>
            </w:r>
          </w:p>
        </w:tc>
        <w:tc>
          <w:tcPr>
            <w:tcW w:w="23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2.2</w:t>
            </w:r>
          </w:p>
        </w:tc>
        <w:tc>
          <w:tcPr>
            <w:tcW w:w="14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2.19</w:t>
            </w:r>
          </w:p>
        </w:tc>
        <w:tc>
          <w:tcPr>
            <w:tcW w:w="17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54%</w:t>
            </w:r>
          </w:p>
        </w:tc>
        <w:tc>
          <w:tcPr>
            <w:tcW w:w="1383"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215</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t>CCC</w:t>
            </w:r>
          </w:p>
        </w:tc>
        <w:tc>
          <w:tcPr>
            <w:tcW w:w="23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150</w:t>
            </w:r>
          </w:p>
        </w:tc>
        <w:tc>
          <w:tcPr>
            <w:tcW w:w="14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122</w:t>
            </w:r>
          </w:p>
        </w:tc>
        <w:tc>
          <w:tcPr>
            <w:tcW w:w="1716"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134</w:t>
            </w:r>
          </w:p>
        </w:tc>
        <w:tc>
          <w:tcPr>
            <w:tcW w:w="1383"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215</w:t>
            </w:r>
          </w:p>
        </w:tc>
      </w:tr>
      <w:tr w:rsidR="005B3608" w:rsidRPr="00F01DEB" w:rsidTr="000E0BB8">
        <w:tc>
          <w:tcPr>
            <w:tcW w:w="8223" w:type="dxa"/>
            <w:gridSpan w:val="6"/>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Saudi Arabia</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lastRenderedPageBreak/>
              <w:t>Net Income</w:t>
            </w:r>
          </w:p>
        </w:tc>
        <w:tc>
          <w:tcPr>
            <w:tcW w:w="2316" w:type="dxa"/>
          </w:tcPr>
          <w:tbl>
            <w:tblPr>
              <w:tblW w:w="2100" w:type="dxa"/>
              <w:tblLook w:val="04A0" w:firstRow="1" w:lastRow="0" w:firstColumn="1" w:lastColumn="0" w:noHBand="0" w:noVBand="1"/>
            </w:tblPr>
            <w:tblGrid>
              <w:gridCol w:w="2100"/>
            </w:tblGrid>
            <w:tr w:rsidR="005B3608" w:rsidRPr="00F01DEB" w:rsidTr="005B3608">
              <w:trPr>
                <w:trHeight w:val="315"/>
              </w:trPr>
              <w:tc>
                <w:tcPr>
                  <w:tcW w:w="2100" w:type="dxa"/>
                  <w:tcBorders>
                    <w:top w:val="nil"/>
                    <w:left w:val="nil"/>
                    <w:bottom w:val="nil"/>
                    <w:right w:val="nil"/>
                  </w:tcBorders>
                  <w:shd w:val="clear" w:color="auto" w:fill="auto"/>
                  <w:noWrap/>
                  <w:vAlign w:val="bottom"/>
                  <w:hideMark/>
                </w:tcPr>
                <w:p w:rsidR="005B3608" w:rsidRPr="00F01DEB" w:rsidRDefault="005B3608"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248</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5B3608" w:rsidRPr="00F01DEB" w:rsidRDefault="005B3608" w:rsidP="00E81C8C">
            <w:pPr>
              <w:bidi w:val="0"/>
              <w:jc w:val="center"/>
              <w:rPr>
                <w:rFonts w:ascii="Times New Roman" w:eastAsia="Times New Roman" w:hAnsi="Times New Roman" w:cs="Times New Roman"/>
                <w:color w:val="000000"/>
                <w:sz w:val="20"/>
                <w:szCs w:val="20"/>
              </w:rPr>
            </w:pPr>
          </w:p>
        </w:tc>
        <w:tc>
          <w:tcPr>
            <w:tcW w:w="1416" w:type="dxa"/>
          </w:tcPr>
          <w:p w:rsidR="005B3608" w:rsidRPr="00F01DEB" w:rsidRDefault="005B3608" w:rsidP="00E81C8C">
            <w:pPr>
              <w:bidi w:val="0"/>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34</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5B3608" w:rsidRPr="00F01DEB" w:rsidRDefault="005B3608" w:rsidP="00E81C8C">
            <w:pPr>
              <w:bidi w:val="0"/>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210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5B3608" w:rsidRPr="00F01DEB" w:rsidRDefault="005B3608"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376</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t>Assets</w:t>
            </w:r>
          </w:p>
        </w:tc>
        <w:tc>
          <w:tcPr>
            <w:tcW w:w="2316" w:type="dxa"/>
          </w:tcPr>
          <w:tbl>
            <w:tblPr>
              <w:tblW w:w="2100" w:type="dxa"/>
              <w:tblLook w:val="04A0" w:firstRow="1" w:lastRow="0" w:firstColumn="1" w:lastColumn="0" w:noHBand="0" w:noVBand="1"/>
            </w:tblPr>
            <w:tblGrid>
              <w:gridCol w:w="2100"/>
            </w:tblGrid>
            <w:tr w:rsidR="007F781B" w:rsidRPr="00F01DEB" w:rsidTr="007F781B">
              <w:trPr>
                <w:trHeight w:val="315"/>
              </w:trPr>
              <w:tc>
                <w:tcPr>
                  <w:tcW w:w="2100" w:type="dxa"/>
                  <w:tcBorders>
                    <w:top w:val="nil"/>
                    <w:left w:val="nil"/>
                    <w:bottom w:val="nil"/>
                    <w:right w:val="nil"/>
                  </w:tcBorders>
                  <w:shd w:val="clear" w:color="auto" w:fill="auto"/>
                  <w:noWrap/>
                  <w:vAlign w:val="bottom"/>
                  <w:hideMark/>
                </w:tcPr>
                <w:p w:rsidR="007F781B" w:rsidRPr="00F01DEB" w:rsidRDefault="005D324E"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9</w:t>
                  </w:r>
                  <w:r w:rsidR="007F781B" w:rsidRPr="00F01DEB">
                    <w:rPr>
                      <w:rFonts w:ascii="Times New Roman" w:eastAsia="Times New Roman" w:hAnsi="Times New Roman" w:cs="Times New Roman"/>
                      <w:color w:val="000000"/>
                      <w:sz w:val="20"/>
                      <w:szCs w:val="20"/>
                    </w:rPr>
                    <w:t>70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5B3608" w:rsidRPr="00F01DEB" w:rsidRDefault="005B3608" w:rsidP="00E81C8C">
            <w:pPr>
              <w:bidi w:val="0"/>
              <w:jc w:val="center"/>
              <w:rPr>
                <w:rFonts w:ascii="Times New Roman" w:hAnsi="Times New Roman" w:cs="Times New Roman"/>
                <w:sz w:val="20"/>
                <w:szCs w:val="20"/>
              </w:rPr>
            </w:pPr>
          </w:p>
        </w:tc>
        <w:tc>
          <w:tcPr>
            <w:tcW w:w="1416" w:type="dxa"/>
          </w:tcPr>
          <w:p w:rsidR="005B3608"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610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5B3608"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11</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5B3608"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376</w:t>
            </w:r>
          </w:p>
        </w:tc>
      </w:tr>
      <w:tr w:rsidR="005B3608" w:rsidRPr="00F01DEB" w:rsidTr="000E0BB8">
        <w:trPr>
          <w:gridAfter w:val="1"/>
          <w:wAfter w:w="10" w:type="dxa"/>
        </w:trPr>
        <w:tc>
          <w:tcPr>
            <w:tcW w:w="1382" w:type="dxa"/>
          </w:tcPr>
          <w:p w:rsidR="005B3608" w:rsidRPr="00F01DEB" w:rsidRDefault="005B3608" w:rsidP="00E81C8C">
            <w:pPr>
              <w:bidi w:val="0"/>
              <w:rPr>
                <w:rFonts w:ascii="Times New Roman" w:hAnsi="Times New Roman" w:cs="Times New Roman"/>
                <w:sz w:val="20"/>
                <w:szCs w:val="20"/>
              </w:rPr>
            </w:pPr>
            <w:r w:rsidRPr="00F01DEB">
              <w:rPr>
                <w:rFonts w:ascii="Times New Roman" w:hAnsi="Times New Roman" w:cs="Times New Roman"/>
                <w:sz w:val="20"/>
                <w:szCs w:val="20"/>
              </w:rPr>
              <w:t>Debt Ratio</w:t>
            </w:r>
          </w:p>
        </w:tc>
        <w:tc>
          <w:tcPr>
            <w:tcW w:w="2316" w:type="dxa"/>
          </w:tcPr>
          <w:p w:rsidR="005B3608"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40%</w:t>
            </w:r>
          </w:p>
        </w:tc>
        <w:tc>
          <w:tcPr>
            <w:tcW w:w="1416" w:type="dxa"/>
          </w:tcPr>
          <w:p w:rsidR="005B3608"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39%</w:t>
            </w:r>
          </w:p>
        </w:tc>
        <w:tc>
          <w:tcPr>
            <w:tcW w:w="1716" w:type="dxa"/>
          </w:tcPr>
          <w:p w:rsidR="005B3608"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22%</w:t>
            </w:r>
          </w:p>
        </w:tc>
        <w:tc>
          <w:tcPr>
            <w:tcW w:w="1383" w:type="dxa"/>
          </w:tcPr>
          <w:p w:rsidR="005B3608"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376</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Tobin’s Q</w:t>
            </w:r>
          </w:p>
        </w:tc>
        <w:tc>
          <w:tcPr>
            <w:tcW w:w="23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2.06</w:t>
            </w: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1.7</w:t>
            </w:r>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1.4</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376</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CCC</w:t>
            </w:r>
          </w:p>
        </w:tc>
        <w:tc>
          <w:tcPr>
            <w:tcW w:w="23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233</w:t>
            </w: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114</w:t>
            </w:r>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204</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376</w:t>
            </w:r>
          </w:p>
        </w:tc>
      </w:tr>
      <w:tr w:rsidR="007F781B" w:rsidRPr="00F01DEB" w:rsidTr="000E0BB8">
        <w:trPr>
          <w:gridAfter w:val="1"/>
          <w:wAfter w:w="10" w:type="dxa"/>
        </w:trPr>
        <w:tc>
          <w:tcPr>
            <w:tcW w:w="8213" w:type="dxa"/>
            <w:gridSpan w:val="5"/>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United Arab Emirates</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Net Income</w:t>
            </w:r>
          </w:p>
        </w:tc>
        <w:tc>
          <w:tcPr>
            <w:tcW w:w="2316" w:type="dxa"/>
          </w:tcPr>
          <w:tbl>
            <w:tblPr>
              <w:tblW w:w="1780" w:type="dxa"/>
              <w:tblLook w:val="04A0" w:firstRow="1" w:lastRow="0" w:firstColumn="1" w:lastColumn="0" w:noHBand="0" w:noVBand="1"/>
            </w:tblPr>
            <w:tblGrid>
              <w:gridCol w:w="1780"/>
            </w:tblGrid>
            <w:tr w:rsidR="007F781B" w:rsidRPr="00F01DEB" w:rsidTr="007F781B">
              <w:trPr>
                <w:trHeight w:val="315"/>
              </w:trPr>
              <w:tc>
                <w:tcPr>
                  <w:tcW w:w="1780" w:type="dxa"/>
                  <w:tcBorders>
                    <w:top w:val="nil"/>
                    <w:left w:val="nil"/>
                    <w:bottom w:val="nil"/>
                    <w:right w:val="nil"/>
                  </w:tcBorders>
                  <w:shd w:val="clear" w:color="auto" w:fill="auto"/>
                  <w:noWrap/>
                  <w:vAlign w:val="bottom"/>
                  <w:hideMark/>
                </w:tcPr>
                <w:p w:rsidR="007F781B" w:rsidRPr="00F01DEB" w:rsidRDefault="007F781B"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37</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7F781B" w:rsidRPr="00F01DEB" w:rsidRDefault="007F781B" w:rsidP="00E81C8C">
            <w:pPr>
              <w:bidi w:val="0"/>
              <w:jc w:val="center"/>
              <w:rPr>
                <w:rFonts w:ascii="Times New Roman" w:eastAsia="Times New Roman" w:hAnsi="Times New Roman" w:cs="Times New Roman"/>
                <w:color w:val="000000"/>
                <w:sz w:val="20"/>
                <w:szCs w:val="20"/>
              </w:rPr>
            </w:pPr>
          </w:p>
        </w:tc>
        <w:tc>
          <w:tcPr>
            <w:tcW w:w="1416" w:type="dxa"/>
          </w:tcPr>
          <w:p w:rsidR="007F781B" w:rsidRPr="00F01DEB" w:rsidRDefault="007F781B" w:rsidP="00E81C8C">
            <w:pPr>
              <w:bidi w:val="0"/>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14</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7F781B" w:rsidRPr="00F01DEB" w:rsidRDefault="007F781B" w:rsidP="00E81C8C">
            <w:pPr>
              <w:bidi w:val="0"/>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196</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Assets</w:t>
            </w:r>
          </w:p>
        </w:tc>
        <w:tc>
          <w:tcPr>
            <w:tcW w:w="2316" w:type="dxa"/>
          </w:tcPr>
          <w:tbl>
            <w:tblPr>
              <w:tblW w:w="1960" w:type="dxa"/>
              <w:tblLook w:val="04A0" w:firstRow="1" w:lastRow="0" w:firstColumn="1" w:lastColumn="0" w:noHBand="0" w:noVBand="1"/>
            </w:tblPr>
            <w:tblGrid>
              <w:gridCol w:w="1960"/>
            </w:tblGrid>
            <w:tr w:rsidR="007F781B" w:rsidRPr="00F01DEB" w:rsidTr="007F781B">
              <w:trPr>
                <w:trHeight w:val="315"/>
              </w:trPr>
              <w:tc>
                <w:tcPr>
                  <w:tcW w:w="1960" w:type="dxa"/>
                  <w:tcBorders>
                    <w:top w:val="nil"/>
                    <w:left w:val="nil"/>
                    <w:bottom w:val="nil"/>
                    <w:right w:val="nil"/>
                  </w:tcBorders>
                  <w:shd w:val="clear" w:color="auto" w:fill="auto"/>
                  <w:noWrap/>
                  <w:vAlign w:val="bottom"/>
                  <w:hideMark/>
                </w:tcPr>
                <w:p w:rsidR="007F781B" w:rsidRPr="00F01DEB" w:rsidRDefault="007F781B"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620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7F781B" w:rsidRPr="00F01DEB" w:rsidRDefault="007F781B" w:rsidP="00E81C8C">
            <w:pPr>
              <w:bidi w:val="0"/>
              <w:jc w:val="center"/>
              <w:rPr>
                <w:rFonts w:ascii="Times New Roman" w:hAnsi="Times New Roman" w:cs="Times New Roman"/>
                <w:sz w:val="20"/>
                <w:szCs w:val="20"/>
              </w:rPr>
            </w:pP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509</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370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Debt Ratio</w:t>
            </w:r>
          </w:p>
        </w:tc>
        <w:tc>
          <w:tcPr>
            <w:tcW w:w="23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56%</w:t>
            </w: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45%</w:t>
            </w:r>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19%</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Tobin’s Q</w:t>
            </w:r>
          </w:p>
        </w:tc>
        <w:tc>
          <w:tcPr>
            <w:tcW w:w="23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1.13</w:t>
            </w: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88%</w:t>
            </w:r>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1.2</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CCC</w:t>
            </w:r>
          </w:p>
        </w:tc>
        <w:tc>
          <w:tcPr>
            <w:tcW w:w="2316" w:type="dxa"/>
          </w:tcPr>
          <w:p w:rsidR="007F781B"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122</w:t>
            </w: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124</w:t>
            </w:r>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156</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184</w:t>
            </w:r>
          </w:p>
        </w:tc>
      </w:tr>
      <w:tr w:rsidR="007F781B" w:rsidRPr="00F01DEB" w:rsidTr="000E0BB8">
        <w:trPr>
          <w:gridAfter w:val="1"/>
          <w:wAfter w:w="10" w:type="dxa"/>
        </w:trPr>
        <w:tc>
          <w:tcPr>
            <w:tcW w:w="8213" w:type="dxa"/>
            <w:gridSpan w:val="5"/>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Qatar</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Net Income</w:t>
            </w:r>
          </w:p>
        </w:tc>
        <w:tc>
          <w:tcPr>
            <w:tcW w:w="2316" w:type="dxa"/>
          </w:tcPr>
          <w:tbl>
            <w:tblPr>
              <w:tblW w:w="1480" w:type="dxa"/>
              <w:tblLook w:val="04A0" w:firstRow="1" w:lastRow="0" w:firstColumn="1" w:lastColumn="0" w:noHBand="0" w:noVBand="1"/>
            </w:tblPr>
            <w:tblGrid>
              <w:gridCol w:w="1480"/>
            </w:tblGrid>
            <w:tr w:rsidR="007F781B" w:rsidRPr="00F01DEB" w:rsidTr="007F781B">
              <w:trPr>
                <w:trHeight w:val="315"/>
              </w:trPr>
              <w:tc>
                <w:tcPr>
                  <w:tcW w:w="1480" w:type="dxa"/>
                  <w:tcBorders>
                    <w:top w:val="nil"/>
                    <w:left w:val="nil"/>
                    <w:bottom w:val="nil"/>
                    <w:right w:val="nil"/>
                  </w:tcBorders>
                  <w:shd w:val="clear" w:color="auto" w:fill="auto"/>
                  <w:noWrap/>
                  <w:vAlign w:val="bottom"/>
                  <w:hideMark/>
                </w:tcPr>
                <w:p w:rsidR="007F781B" w:rsidRPr="00F01DEB" w:rsidRDefault="007F781B"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263</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7F781B" w:rsidRPr="00F01DEB" w:rsidRDefault="007F781B" w:rsidP="00E81C8C">
            <w:pPr>
              <w:bidi w:val="0"/>
              <w:jc w:val="center"/>
              <w:rPr>
                <w:rFonts w:ascii="Times New Roman" w:hAnsi="Times New Roman" w:cs="Times New Roman"/>
                <w:sz w:val="20"/>
                <w:szCs w:val="20"/>
              </w:rPr>
            </w:pP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62</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570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Assets</w:t>
            </w:r>
          </w:p>
        </w:tc>
        <w:tc>
          <w:tcPr>
            <w:tcW w:w="2316" w:type="dxa"/>
          </w:tcPr>
          <w:tbl>
            <w:tblPr>
              <w:tblW w:w="1660" w:type="dxa"/>
              <w:tblLook w:val="04A0" w:firstRow="1" w:lastRow="0" w:firstColumn="1" w:lastColumn="0" w:noHBand="0" w:noVBand="1"/>
            </w:tblPr>
            <w:tblGrid>
              <w:gridCol w:w="1660"/>
            </w:tblGrid>
            <w:tr w:rsidR="007F781B" w:rsidRPr="00F01DEB" w:rsidTr="007F781B">
              <w:trPr>
                <w:trHeight w:val="315"/>
              </w:trPr>
              <w:tc>
                <w:tcPr>
                  <w:tcW w:w="1660" w:type="dxa"/>
                  <w:tcBorders>
                    <w:top w:val="nil"/>
                    <w:left w:val="nil"/>
                    <w:bottom w:val="nil"/>
                    <w:right w:val="nil"/>
                  </w:tcBorders>
                  <w:shd w:val="clear" w:color="auto" w:fill="auto"/>
                  <w:noWrap/>
                  <w:vAlign w:val="bottom"/>
                  <w:hideMark/>
                </w:tcPr>
                <w:p w:rsidR="007F781B" w:rsidRPr="00F01DEB" w:rsidRDefault="007F781B"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950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7F781B" w:rsidRPr="00F01DEB" w:rsidRDefault="007F781B" w:rsidP="00E81C8C">
            <w:pPr>
              <w:bidi w:val="0"/>
              <w:jc w:val="center"/>
              <w:rPr>
                <w:rFonts w:ascii="Times New Roman" w:hAnsi="Times New Roman" w:cs="Times New Roman"/>
                <w:sz w:val="20"/>
                <w:szCs w:val="20"/>
              </w:rPr>
            </w:pP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819</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880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Debt Ratio</w:t>
            </w:r>
          </w:p>
        </w:tc>
        <w:tc>
          <w:tcPr>
            <w:tcW w:w="23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37%</w:t>
            </w:r>
          </w:p>
        </w:tc>
        <w:tc>
          <w:tcPr>
            <w:tcW w:w="14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36%</w:t>
            </w:r>
          </w:p>
        </w:tc>
        <w:tc>
          <w:tcPr>
            <w:tcW w:w="17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19%</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Tobin’s Q</w:t>
            </w:r>
          </w:p>
        </w:tc>
        <w:tc>
          <w:tcPr>
            <w:tcW w:w="2316"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w:t>
            </w:r>
          </w:p>
        </w:tc>
        <w:tc>
          <w:tcPr>
            <w:tcW w:w="1416" w:type="dxa"/>
          </w:tcPr>
          <w:p w:rsidR="007F781B"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1.6</w:t>
            </w:r>
          </w:p>
        </w:tc>
        <w:tc>
          <w:tcPr>
            <w:tcW w:w="1716" w:type="dxa"/>
          </w:tcPr>
          <w:p w:rsidR="007F781B"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56%</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54</w:t>
            </w:r>
          </w:p>
        </w:tc>
      </w:tr>
      <w:tr w:rsidR="007F781B" w:rsidRPr="00F01DEB" w:rsidTr="000E0BB8">
        <w:trPr>
          <w:gridAfter w:val="1"/>
          <w:wAfter w:w="10" w:type="dxa"/>
        </w:trPr>
        <w:tc>
          <w:tcPr>
            <w:tcW w:w="1382" w:type="dxa"/>
          </w:tcPr>
          <w:p w:rsidR="007F781B" w:rsidRPr="00F01DEB" w:rsidRDefault="007F781B" w:rsidP="00E81C8C">
            <w:pPr>
              <w:bidi w:val="0"/>
              <w:rPr>
                <w:rFonts w:ascii="Times New Roman" w:hAnsi="Times New Roman" w:cs="Times New Roman"/>
                <w:sz w:val="20"/>
                <w:szCs w:val="20"/>
              </w:rPr>
            </w:pPr>
            <w:r w:rsidRPr="00F01DEB">
              <w:rPr>
                <w:rFonts w:ascii="Times New Roman" w:hAnsi="Times New Roman" w:cs="Times New Roman"/>
                <w:sz w:val="20"/>
                <w:szCs w:val="20"/>
              </w:rPr>
              <w:t>CCC</w:t>
            </w:r>
          </w:p>
        </w:tc>
        <w:tc>
          <w:tcPr>
            <w:tcW w:w="2316" w:type="dxa"/>
          </w:tcPr>
          <w:p w:rsidR="007F781B"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127</w:t>
            </w:r>
          </w:p>
        </w:tc>
        <w:tc>
          <w:tcPr>
            <w:tcW w:w="1416" w:type="dxa"/>
          </w:tcPr>
          <w:p w:rsidR="007F781B"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135</w:t>
            </w:r>
          </w:p>
        </w:tc>
        <w:tc>
          <w:tcPr>
            <w:tcW w:w="1716" w:type="dxa"/>
          </w:tcPr>
          <w:p w:rsidR="007F781B"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135</w:t>
            </w:r>
          </w:p>
        </w:tc>
        <w:tc>
          <w:tcPr>
            <w:tcW w:w="1383" w:type="dxa"/>
          </w:tcPr>
          <w:p w:rsidR="007F781B" w:rsidRPr="00F01DEB" w:rsidRDefault="007F781B"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54</w:t>
            </w:r>
          </w:p>
        </w:tc>
      </w:tr>
      <w:tr w:rsidR="00D36707" w:rsidRPr="00F01DEB" w:rsidTr="000E0BB8">
        <w:trPr>
          <w:gridAfter w:val="1"/>
          <w:wAfter w:w="10" w:type="dxa"/>
        </w:trPr>
        <w:tc>
          <w:tcPr>
            <w:tcW w:w="8213" w:type="dxa"/>
            <w:gridSpan w:val="5"/>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Bahrain</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Net Income</w:t>
            </w:r>
          </w:p>
        </w:tc>
        <w:tc>
          <w:tcPr>
            <w:tcW w:w="2316" w:type="dxa"/>
          </w:tcPr>
          <w:tbl>
            <w:tblPr>
              <w:tblW w:w="1480" w:type="dxa"/>
              <w:tblLook w:val="04A0" w:firstRow="1" w:lastRow="0" w:firstColumn="1" w:lastColumn="0" w:noHBand="0" w:noVBand="1"/>
            </w:tblPr>
            <w:tblGrid>
              <w:gridCol w:w="1480"/>
            </w:tblGrid>
            <w:tr w:rsidR="00D36707" w:rsidRPr="00F01DEB" w:rsidTr="00D36707">
              <w:trPr>
                <w:trHeight w:val="315"/>
              </w:trPr>
              <w:tc>
                <w:tcPr>
                  <w:tcW w:w="1480" w:type="dxa"/>
                  <w:tcBorders>
                    <w:top w:val="nil"/>
                    <w:left w:val="nil"/>
                    <w:bottom w:val="nil"/>
                    <w:right w:val="nil"/>
                  </w:tcBorders>
                  <w:shd w:val="clear" w:color="auto" w:fill="auto"/>
                  <w:noWrap/>
                  <w:vAlign w:val="bottom"/>
                  <w:hideMark/>
                </w:tcPr>
                <w:p w:rsidR="00D36707" w:rsidRPr="00F01DEB" w:rsidRDefault="00D36707"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59</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D36707" w:rsidRPr="00F01DEB" w:rsidRDefault="00D36707" w:rsidP="00E81C8C">
            <w:pPr>
              <w:bidi w:val="0"/>
              <w:jc w:val="center"/>
              <w:rPr>
                <w:rFonts w:ascii="Times New Roman" w:hAnsi="Times New Roman" w:cs="Times New Roman"/>
                <w:sz w:val="20"/>
                <w:szCs w:val="20"/>
              </w:rPr>
            </w:pP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11</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122</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30</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Assets</w:t>
            </w:r>
          </w:p>
        </w:tc>
        <w:tc>
          <w:tcPr>
            <w:tcW w:w="2316" w:type="dxa"/>
          </w:tcPr>
          <w:tbl>
            <w:tblPr>
              <w:tblW w:w="1660" w:type="dxa"/>
              <w:tblLook w:val="04A0" w:firstRow="1" w:lastRow="0" w:firstColumn="1" w:lastColumn="0" w:noHBand="0" w:noVBand="1"/>
            </w:tblPr>
            <w:tblGrid>
              <w:gridCol w:w="1660"/>
            </w:tblGrid>
            <w:tr w:rsidR="00D36707" w:rsidRPr="00F01DEB" w:rsidTr="00D36707">
              <w:trPr>
                <w:trHeight w:val="315"/>
              </w:trPr>
              <w:tc>
                <w:tcPr>
                  <w:tcW w:w="1660" w:type="dxa"/>
                  <w:tcBorders>
                    <w:top w:val="nil"/>
                    <w:left w:val="nil"/>
                    <w:bottom w:val="nil"/>
                    <w:right w:val="nil"/>
                  </w:tcBorders>
                  <w:shd w:val="clear" w:color="auto" w:fill="auto"/>
                  <w:noWrap/>
                  <w:vAlign w:val="bottom"/>
                  <w:hideMark/>
                </w:tcPr>
                <w:p w:rsidR="00D36707" w:rsidRPr="00F01DEB" w:rsidRDefault="00D36707"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w:t>
                  </w:r>
                  <w:r w:rsidR="00037949" w:rsidRPr="00F01DEB">
                    <w:rPr>
                      <w:rFonts w:ascii="Times New Roman" w:eastAsia="Times New Roman" w:hAnsi="Times New Roman" w:cs="Times New Roman"/>
                      <w:color w:val="000000"/>
                      <w:sz w:val="20"/>
                      <w:szCs w:val="20"/>
                    </w:rPr>
                    <w:t>7</w:t>
                  </w:r>
                  <w:r w:rsidRPr="00F01DEB">
                    <w:rPr>
                      <w:rFonts w:ascii="Times New Roman" w:eastAsia="Times New Roman" w:hAnsi="Times New Roman" w:cs="Times New Roman"/>
                      <w:color w:val="000000"/>
                      <w:sz w:val="20"/>
                      <w:szCs w:val="20"/>
                    </w:rPr>
                    <w:t>2</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D36707" w:rsidRPr="00F01DEB" w:rsidRDefault="00D36707" w:rsidP="00E81C8C">
            <w:pPr>
              <w:bidi w:val="0"/>
              <w:jc w:val="center"/>
              <w:rPr>
                <w:rFonts w:ascii="Times New Roman" w:hAnsi="Times New Roman" w:cs="Times New Roman"/>
                <w:sz w:val="20"/>
                <w:szCs w:val="20"/>
              </w:rPr>
            </w:pP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136</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240</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30</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Debt Ratio</w:t>
            </w:r>
          </w:p>
        </w:tc>
        <w:tc>
          <w:tcPr>
            <w:tcW w:w="23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27%</w:t>
            </w: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23%</w:t>
            </w:r>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17%</w:t>
            </w:r>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30</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Tobin’s Q</w:t>
            </w:r>
          </w:p>
        </w:tc>
        <w:tc>
          <w:tcPr>
            <w:tcW w:w="23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98%</w:t>
            </w: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83%</w:t>
            </w:r>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44%</w:t>
            </w:r>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30</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CCC</w:t>
            </w:r>
          </w:p>
        </w:tc>
        <w:tc>
          <w:tcPr>
            <w:tcW w:w="23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102</w:t>
            </w: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87</w:t>
            </w:r>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72</w:t>
            </w:r>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30</w:t>
            </w:r>
          </w:p>
        </w:tc>
      </w:tr>
      <w:tr w:rsidR="00D36707" w:rsidRPr="00F01DEB" w:rsidTr="000E0BB8">
        <w:trPr>
          <w:gridAfter w:val="1"/>
          <w:wAfter w:w="10" w:type="dxa"/>
        </w:trPr>
        <w:tc>
          <w:tcPr>
            <w:tcW w:w="8213" w:type="dxa"/>
            <w:gridSpan w:val="5"/>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Oman</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Net Income</w:t>
            </w:r>
          </w:p>
        </w:tc>
        <w:tc>
          <w:tcPr>
            <w:tcW w:w="2316" w:type="dxa"/>
          </w:tcPr>
          <w:tbl>
            <w:tblPr>
              <w:tblW w:w="1340" w:type="dxa"/>
              <w:tblLook w:val="04A0" w:firstRow="1" w:lastRow="0" w:firstColumn="1" w:lastColumn="0" w:noHBand="0" w:noVBand="1"/>
            </w:tblPr>
            <w:tblGrid>
              <w:gridCol w:w="1340"/>
            </w:tblGrid>
            <w:tr w:rsidR="00D36707" w:rsidRPr="00F01DEB" w:rsidTr="00D36707">
              <w:trPr>
                <w:trHeight w:val="315"/>
              </w:trPr>
              <w:tc>
                <w:tcPr>
                  <w:tcW w:w="1340" w:type="dxa"/>
                  <w:tcBorders>
                    <w:top w:val="nil"/>
                    <w:left w:val="nil"/>
                    <w:bottom w:val="nil"/>
                    <w:right w:val="nil"/>
                  </w:tcBorders>
                  <w:shd w:val="clear" w:color="auto" w:fill="auto"/>
                  <w:noWrap/>
                  <w:vAlign w:val="bottom"/>
                  <w:hideMark/>
                </w:tcPr>
                <w:p w:rsidR="00D36707" w:rsidRPr="00F01DEB" w:rsidRDefault="00D36707"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9</w:t>
                  </w:r>
                  <w:r w:rsidR="00247E98" w:rsidRPr="00F01DEB">
                    <w:rPr>
                      <w:rFonts w:ascii="Times New Roman" w:eastAsia="Times New Roman" w:hAnsi="Times New Roman" w:cs="Times New Roman"/>
                      <w:color w:val="000000"/>
                      <w:sz w:val="20"/>
                      <w:szCs w:val="20"/>
                    </w:rPr>
                    <w:t xml:space="preserve"> </w:t>
                  </w:r>
                  <w:proofErr w:type="spellStart"/>
                  <w:r w:rsidR="00247E98" w:rsidRPr="00F01DEB">
                    <w:rPr>
                      <w:rFonts w:ascii="Times New Roman" w:eastAsia="Times New Roman" w:hAnsi="Times New Roman" w:cs="Times New Roman"/>
                      <w:color w:val="000000"/>
                      <w:sz w:val="20"/>
                      <w:szCs w:val="20"/>
                    </w:rPr>
                    <w:t>mn</w:t>
                  </w:r>
                  <w:proofErr w:type="spellEnd"/>
                </w:p>
              </w:tc>
            </w:tr>
          </w:tbl>
          <w:p w:rsidR="00D36707" w:rsidRPr="00F01DEB" w:rsidRDefault="00D36707" w:rsidP="00E81C8C">
            <w:pPr>
              <w:bidi w:val="0"/>
              <w:jc w:val="center"/>
              <w:rPr>
                <w:rFonts w:ascii="Times New Roman" w:hAnsi="Times New Roman" w:cs="Times New Roman"/>
                <w:sz w:val="20"/>
                <w:szCs w:val="20"/>
              </w:rPr>
            </w:pP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4</w:t>
            </w:r>
            <w:r w:rsidR="00247E98" w:rsidRPr="00F01DEB">
              <w:rPr>
                <w:rFonts w:ascii="Times New Roman" w:eastAsia="Times New Roman" w:hAnsi="Times New Roman" w:cs="Times New Roman"/>
                <w:color w:val="000000"/>
                <w:sz w:val="20"/>
                <w:szCs w:val="20"/>
              </w:rPr>
              <w:t xml:space="preserve"> </w:t>
            </w:r>
            <w:proofErr w:type="spellStart"/>
            <w:r w:rsidR="00247E98" w:rsidRPr="00F01DEB">
              <w:rPr>
                <w:rFonts w:ascii="Times New Roman" w:eastAsia="Times New Roman" w:hAnsi="Times New Roman" w:cs="Times New Roman"/>
                <w:color w:val="000000"/>
                <w:sz w:val="20"/>
                <w:szCs w:val="20"/>
              </w:rPr>
              <w:t>mn</w:t>
            </w:r>
            <w:proofErr w:type="spellEnd"/>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16</w:t>
            </w:r>
            <w:r w:rsidR="00247E98" w:rsidRPr="00F01DEB">
              <w:rPr>
                <w:rFonts w:ascii="Times New Roman" w:eastAsia="Times New Roman" w:hAnsi="Times New Roman" w:cs="Times New Roman"/>
                <w:color w:val="000000"/>
                <w:sz w:val="20"/>
                <w:szCs w:val="20"/>
              </w:rPr>
              <w:t xml:space="preserve"> </w:t>
            </w:r>
            <w:proofErr w:type="spellStart"/>
            <w:r w:rsidR="00247E98" w:rsidRPr="00F01DEB">
              <w:rPr>
                <w:rFonts w:ascii="Times New Roman" w:eastAsia="Times New Roman" w:hAnsi="Times New Roman" w:cs="Times New Roman"/>
                <w:color w:val="000000"/>
                <w:sz w:val="20"/>
                <w:szCs w:val="20"/>
              </w:rPr>
              <w:t>mn</w:t>
            </w:r>
            <w:proofErr w:type="spellEnd"/>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180</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Assets</w:t>
            </w:r>
          </w:p>
        </w:tc>
        <w:tc>
          <w:tcPr>
            <w:tcW w:w="2316" w:type="dxa"/>
          </w:tcPr>
          <w:tbl>
            <w:tblPr>
              <w:tblW w:w="1480" w:type="dxa"/>
              <w:tblLook w:val="04A0" w:firstRow="1" w:lastRow="0" w:firstColumn="1" w:lastColumn="0" w:noHBand="0" w:noVBand="1"/>
            </w:tblPr>
            <w:tblGrid>
              <w:gridCol w:w="1480"/>
            </w:tblGrid>
            <w:tr w:rsidR="00D36707" w:rsidRPr="00F01DEB" w:rsidTr="00D36707">
              <w:trPr>
                <w:trHeight w:val="315"/>
              </w:trPr>
              <w:tc>
                <w:tcPr>
                  <w:tcW w:w="1480" w:type="dxa"/>
                  <w:tcBorders>
                    <w:top w:val="nil"/>
                    <w:left w:val="nil"/>
                    <w:bottom w:val="nil"/>
                    <w:right w:val="nil"/>
                  </w:tcBorders>
                  <w:shd w:val="clear" w:color="auto" w:fill="auto"/>
                  <w:noWrap/>
                  <w:vAlign w:val="bottom"/>
                  <w:hideMark/>
                </w:tcPr>
                <w:p w:rsidR="00D36707" w:rsidRPr="00F01DEB" w:rsidRDefault="00D36707" w:rsidP="00E81C8C">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164</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r>
          </w:tbl>
          <w:p w:rsidR="00D36707" w:rsidRPr="00F01DEB" w:rsidRDefault="00D36707" w:rsidP="00E81C8C">
            <w:pPr>
              <w:bidi w:val="0"/>
              <w:jc w:val="center"/>
              <w:rPr>
                <w:rFonts w:ascii="Times New Roman" w:hAnsi="Times New Roman" w:cs="Times New Roman"/>
                <w:sz w:val="20"/>
                <w:szCs w:val="20"/>
              </w:rPr>
            </w:pP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101</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eastAsia="Times New Roman" w:hAnsi="Times New Roman" w:cs="Times New Roman"/>
                <w:color w:val="000000"/>
                <w:sz w:val="20"/>
                <w:szCs w:val="20"/>
              </w:rPr>
              <w:t>226</w:t>
            </w:r>
            <w:r w:rsidR="001A7988" w:rsidRPr="00F01DEB">
              <w:rPr>
                <w:rFonts w:ascii="Times New Roman" w:eastAsia="Times New Roman" w:hAnsi="Times New Roman" w:cs="Times New Roman"/>
                <w:color w:val="000000"/>
                <w:sz w:val="20"/>
                <w:szCs w:val="20"/>
              </w:rPr>
              <w:t xml:space="preserve"> </w:t>
            </w:r>
            <w:proofErr w:type="spellStart"/>
            <w:r w:rsidR="001A7988" w:rsidRPr="00F01DEB">
              <w:rPr>
                <w:rFonts w:ascii="Times New Roman" w:eastAsia="Times New Roman" w:hAnsi="Times New Roman" w:cs="Times New Roman"/>
                <w:color w:val="000000"/>
                <w:sz w:val="20"/>
                <w:szCs w:val="20"/>
              </w:rPr>
              <w:t>mn</w:t>
            </w:r>
            <w:proofErr w:type="spellEnd"/>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180</w:t>
            </w:r>
          </w:p>
        </w:tc>
      </w:tr>
      <w:tr w:rsidR="00D36707" w:rsidRPr="00F01DEB" w:rsidTr="000E0BB8">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Debt Ratio</w:t>
            </w:r>
          </w:p>
        </w:tc>
        <w:tc>
          <w:tcPr>
            <w:tcW w:w="23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41%</w:t>
            </w: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40%</w:t>
            </w:r>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23%</w:t>
            </w:r>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180</w:t>
            </w:r>
          </w:p>
        </w:tc>
      </w:tr>
      <w:tr w:rsidR="00D36707" w:rsidRPr="00F01DEB" w:rsidTr="00D61D47">
        <w:trPr>
          <w:gridAfter w:val="1"/>
          <w:wAfter w:w="10" w:type="dxa"/>
        </w:trPr>
        <w:tc>
          <w:tcPr>
            <w:tcW w:w="1382" w:type="dxa"/>
          </w:tcPr>
          <w:p w:rsidR="00D36707" w:rsidRPr="00F01DEB" w:rsidRDefault="00D36707" w:rsidP="00E81C8C">
            <w:pPr>
              <w:bidi w:val="0"/>
              <w:rPr>
                <w:rFonts w:ascii="Times New Roman" w:hAnsi="Times New Roman" w:cs="Times New Roman"/>
                <w:sz w:val="20"/>
                <w:szCs w:val="20"/>
              </w:rPr>
            </w:pPr>
            <w:r w:rsidRPr="00F01DEB">
              <w:rPr>
                <w:rFonts w:ascii="Times New Roman" w:hAnsi="Times New Roman" w:cs="Times New Roman"/>
                <w:sz w:val="20"/>
                <w:szCs w:val="20"/>
              </w:rPr>
              <w:t>Tobin’s Q</w:t>
            </w:r>
          </w:p>
        </w:tc>
        <w:tc>
          <w:tcPr>
            <w:tcW w:w="23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1.4</w:t>
            </w:r>
          </w:p>
        </w:tc>
        <w:tc>
          <w:tcPr>
            <w:tcW w:w="14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1.2</w:t>
            </w:r>
          </w:p>
        </w:tc>
        <w:tc>
          <w:tcPr>
            <w:tcW w:w="1716"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58%</w:t>
            </w:r>
          </w:p>
        </w:tc>
        <w:tc>
          <w:tcPr>
            <w:tcW w:w="1383" w:type="dxa"/>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180</w:t>
            </w:r>
          </w:p>
        </w:tc>
      </w:tr>
      <w:tr w:rsidR="00D36707" w:rsidRPr="00F01DEB" w:rsidTr="00D61D47">
        <w:trPr>
          <w:gridAfter w:val="1"/>
          <w:wAfter w:w="10" w:type="dxa"/>
        </w:trPr>
        <w:tc>
          <w:tcPr>
            <w:tcW w:w="1382" w:type="dxa"/>
            <w:tcBorders>
              <w:bottom w:val="single" w:sz="4" w:space="0" w:color="auto"/>
            </w:tcBorders>
          </w:tcPr>
          <w:p w:rsidR="00D36707" w:rsidRPr="00F01DEB" w:rsidRDefault="00D77537" w:rsidP="00E81C8C">
            <w:pPr>
              <w:bidi w:val="0"/>
              <w:rPr>
                <w:rFonts w:ascii="Times New Roman" w:hAnsi="Times New Roman" w:cs="Times New Roman"/>
                <w:sz w:val="20"/>
                <w:szCs w:val="20"/>
              </w:rPr>
            </w:pPr>
            <w:r w:rsidRPr="00F01DEB">
              <w:rPr>
                <w:rFonts w:ascii="Times New Roman" w:hAnsi="Times New Roman" w:cs="Times New Roman"/>
                <w:sz w:val="20"/>
                <w:szCs w:val="20"/>
              </w:rPr>
              <w:t>CCC</w:t>
            </w:r>
          </w:p>
        </w:tc>
        <w:tc>
          <w:tcPr>
            <w:tcW w:w="2316" w:type="dxa"/>
            <w:tcBorders>
              <w:bottom w:val="single" w:sz="4" w:space="0" w:color="auto"/>
            </w:tcBorders>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145</w:t>
            </w:r>
          </w:p>
        </w:tc>
        <w:tc>
          <w:tcPr>
            <w:tcW w:w="1416" w:type="dxa"/>
            <w:tcBorders>
              <w:bottom w:val="single" w:sz="4" w:space="0" w:color="auto"/>
            </w:tcBorders>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117</w:t>
            </w:r>
          </w:p>
        </w:tc>
        <w:tc>
          <w:tcPr>
            <w:tcW w:w="1716" w:type="dxa"/>
            <w:tcBorders>
              <w:bottom w:val="single" w:sz="4" w:space="0" w:color="auto"/>
            </w:tcBorders>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241</w:t>
            </w:r>
          </w:p>
        </w:tc>
        <w:tc>
          <w:tcPr>
            <w:tcW w:w="1383" w:type="dxa"/>
            <w:tcBorders>
              <w:bottom w:val="single" w:sz="4" w:space="0" w:color="auto"/>
            </w:tcBorders>
          </w:tcPr>
          <w:p w:rsidR="00D36707" w:rsidRPr="00F01DEB" w:rsidRDefault="00D36707" w:rsidP="00E81C8C">
            <w:pPr>
              <w:bidi w:val="0"/>
              <w:jc w:val="center"/>
              <w:rPr>
                <w:rFonts w:ascii="Times New Roman" w:hAnsi="Times New Roman" w:cs="Times New Roman"/>
                <w:sz w:val="20"/>
                <w:szCs w:val="20"/>
              </w:rPr>
            </w:pPr>
            <w:r w:rsidRPr="00F01DEB">
              <w:rPr>
                <w:rFonts w:ascii="Times New Roman" w:hAnsi="Times New Roman" w:cs="Times New Roman"/>
                <w:sz w:val="20"/>
                <w:szCs w:val="20"/>
              </w:rPr>
              <w:t>180</w:t>
            </w:r>
          </w:p>
        </w:tc>
      </w:tr>
    </w:tbl>
    <w:p w:rsidR="00D36707" w:rsidRPr="00F01DEB" w:rsidRDefault="00E81C8C" w:rsidP="001532FD">
      <w:pPr>
        <w:bidi w:val="0"/>
        <w:spacing w:line="480" w:lineRule="auto"/>
        <w:rPr>
          <w:rFonts w:ascii="Times New Roman" w:hAnsi="Times New Roman" w:cs="Times New Roman"/>
          <w:sz w:val="20"/>
          <w:szCs w:val="20"/>
        </w:rPr>
      </w:pPr>
      <w:r w:rsidRPr="00F01DEB">
        <w:rPr>
          <w:rFonts w:ascii="Times New Roman" w:hAnsi="Times New Roman" w:cs="Times New Roman"/>
          <w:sz w:val="20"/>
          <w:szCs w:val="20"/>
        </w:rPr>
        <w:t>CCC:</w:t>
      </w:r>
      <w:r w:rsidR="00D36707" w:rsidRPr="00F01DEB">
        <w:rPr>
          <w:rFonts w:ascii="Times New Roman" w:hAnsi="Times New Roman" w:cs="Times New Roman"/>
          <w:sz w:val="20"/>
          <w:szCs w:val="20"/>
        </w:rPr>
        <w:t xml:space="preserve"> </w:t>
      </w:r>
      <w:r w:rsidR="00D61D47" w:rsidRPr="00F01DEB">
        <w:rPr>
          <w:rFonts w:ascii="Times New Roman" w:hAnsi="Times New Roman" w:cs="Times New Roman"/>
          <w:sz w:val="20"/>
          <w:szCs w:val="20"/>
        </w:rPr>
        <w:t>C</w:t>
      </w:r>
      <w:r w:rsidR="00D36707" w:rsidRPr="00F01DEB">
        <w:rPr>
          <w:rFonts w:ascii="Times New Roman" w:hAnsi="Times New Roman" w:cs="Times New Roman"/>
          <w:sz w:val="20"/>
          <w:szCs w:val="20"/>
        </w:rPr>
        <w:t xml:space="preserve">ash </w:t>
      </w:r>
      <w:r w:rsidR="00D61D47" w:rsidRPr="00F01DEB">
        <w:rPr>
          <w:rFonts w:ascii="Times New Roman" w:hAnsi="Times New Roman" w:cs="Times New Roman"/>
          <w:sz w:val="20"/>
          <w:szCs w:val="20"/>
        </w:rPr>
        <w:t>C</w:t>
      </w:r>
      <w:r w:rsidR="00D36707" w:rsidRPr="00F01DEB">
        <w:rPr>
          <w:rFonts w:ascii="Times New Roman" w:hAnsi="Times New Roman" w:cs="Times New Roman"/>
          <w:sz w:val="20"/>
          <w:szCs w:val="20"/>
        </w:rPr>
        <w:t xml:space="preserve">onversion </w:t>
      </w:r>
      <w:r w:rsidR="00D61D47" w:rsidRPr="00F01DEB">
        <w:rPr>
          <w:rFonts w:ascii="Times New Roman" w:hAnsi="Times New Roman" w:cs="Times New Roman"/>
          <w:sz w:val="20"/>
          <w:szCs w:val="20"/>
        </w:rPr>
        <w:t>C</w:t>
      </w:r>
      <w:r w:rsidR="00D36707" w:rsidRPr="00F01DEB">
        <w:rPr>
          <w:rFonts w:ascii="Times New Roman" w:hAnsi="Times New Roman" w:cs="Times New Roman"/>
          <w:sz w:val="20"/>
          <w:szCs w:val="20"/>
        </w:rPr>
        <w:t>ycle</w:t>
      </w:r>
      <w:r w:rsidR="001A7988" w:rsidRPr="00F01DEB">
        <w:rPr>
          <w:rFonts w:ascii="Times New Roman" w:hAnsi="Times New Roman" w:cs="Times New Roman"/>
          <w:sz w:val="20"/>
          <w:szCs w:val="20"/>
        </w:rPr>
        <w:t>. All figures are in US dollar except not applicable.</w:t>
      </w:r>
    </w:p>
    <w:p w:rsidR="00D77537" w:rsidRPr="00F01DEB" w:rsidRDefault="00D36707" w:rsidP="00F01DEB">
      <w:pPr>
        <w:bidi w:val="0"/>
        <w:spacing w:line="240" w:lineRule="auto"/>
        <w:rPr>
          <w:rFonts w:ascii="Times New Roman" w:hAnsi="Times New Roman" w:cs="Times New Roman"/>
        </w:rPr>
      </w:pPr>
      <w:r w:rsidRPr="00F01DEB">
        <w:rPr>
          <w:rFonts w:ascii="Times New Roman" w:hAnsi="Times New Roman" w:cs="Times New Roman"/>
        </w:rPr>
        <w:t xml:space="preserve">that the biggest firms are in KSA </w:t>
      </w:r>
      <w:r w:rsidR="0054309B" w:rsidRPr="00F01DEB">
        <w:rPr>
          <w:rFonts w:ascii="Times New Roman" w:hAnsi="Times New Roman" w:cs="Times New Roman"/>
        </w:rPr>
        <w:t xml:space="preserve">in terms of total assets while the smallest firms are in Oman. The cash conversion cycle </w:t>
      </w:r>
      <w:r w:rsidR="00D77537" w:rsidRPr="00F01DEB">
        <w:rPr>
          <w:rFonts w:ascii="Times New Roman" w:hAnsi="Times New Roman" w:cs="Times New Roman"/>
        </w:rPr>
        <w:t>is the longest in Saudi Arabia</w:t>
      </w:r>
      <w:r w:rsidR="007F2886" w:rsidRPr="00F01DEB">
        <w:rPr>
          <w:rFonts w:ascii="Times New Roman" w:hAnsi="Times New Roman" w:cs="Times New Roman"/>
        </w:rPr>
        <w:t>, 233 days,</w:t>
      </w:r>
      <w:r w:rsidR="00D77537" w:rsidRPr="00F01DEB">
        <w:rPr>
          <w:rFonts w:ascii="Times New Roman" w:hAnsi="Times New Roman" w:cs="Times New Roman"/>
        </w:rPr>
        <w:t xml:space="preserve"> while it is the </w:t>
      </w:r>
      <w:r w:rsidR="00037949" w:rsidRPr="00F01DEB">
        <w:rPr>
          <w:rFonts w:ascii="Times New Roman" w:hAnsi="Times New Roman" w:cs="Times New Roman"/>
        </w:rPr>
        <w:t xml:space="preserve">shortest </w:t>
      </w:r>
      <w:r w:rsidR="0054309B" w:rsidRPr="00F01DEB">
        <w:rPr>
          <w:rFonts w:ascii="Times New Roman" w:hAnsi="Times New Roman" w:cs="Times New Roman"/>
        </w:rPr>
        <w:t>in Bahrain</w:t>
      </w:r>
      <w:r w:rsidR="007F2886" w:rsidRPr="00F01DEB">
        <w:rPr>
          <w:rFonts w:ascii="Times New Roman" w:hAnsi="Times New Roman" w:cs="Times New Roman"/>
        </w:rPr>
        <w:t>, 102 days,</w:t>
      </w:r>
      <w:r w:rsidR="0054309B" w:rsidRPr="00F01DEB">
        <w:rPr>
          <w:rFonts w:ascii="Times New Roman" w:hAnsi="Times New Roman" w:cs="Times New Roman"/>
        </w:rPr>
        <w:t xml:space="preserve"> followed by Qatar</w:t>
      </w:r>
      <w:r w:rsidR="007F2886" w:rsidRPr="00F01DEB">
        <w:rPr>
          <w:rFonts w:ascii="Times New Roman" w:hAnsi="Times New Roman" w:cs="Times New Roman"/>
        </w:rPr>
        <w:t>, 127 days</w:t>
      </w:r>
      <w:r w:rsidR="00D77537" w:rsidRPr="00F01DEB">
        <w:rPr>
          <w:rFonts w:ascii="Times New Roman" w:hAnsi="Times New Roman" w:cs="Times New Roman"/>
        </w:rPr>
        <w:t xml:space="preserve">. </w:t>
      </w:r>
      <w:r w:rsidR="0054309B" w:rsidRPr="00F01DEB">
        <w:rPr>
          <w:rFonts w:ascii="Times New Roman" w:hAnsi="Times New Roman" w:cs="Times New Roman"/>
        </w:rPr>
        <w:t>Kuwaiti firms seem to have the highest Tobin’s Q</w:t>
      </w:r>
      <w:r w:rsidR="007F2886" w:rsidRPr="00F01DEB">
        <w:rPr>
          <w:rFonts w:ascii="Times New Roman" w:hAnsi="Times New Roman" w:cs="Times New Roman"/>
        </w:rPr>
        <w:t xml:space="preserve"> of 2.2</w:t>
      </w:r>
      <w:r w:rsidR="0054309B" w:rsidRPr="00F01DEB">
        <w:rPr>
          <w:rFonts w:ascii="Times New Roman" w:hAnsi="Times New Roman" w:cs="Times New Roman"/>
        </w:rPr>
        <w:t xml:space="preserve">. It seems that the most indebted firms are in Emirates with a mean debt ratio of 56% versus only 27% </w:t>
      </w:r>
      <w:r w:rsidR="00037949" w:rsidRPr="00F01DEB">
        <w:rPr>
          <w:rFonts w:ascii="Times New Roman" w:hAnsi="Times New Roman" w:cs="Times New Roman"/>
        </w:rPr>
        <w:t xml:space="preserve">(lowest) </w:t>
      </w:r>
      <w:r w:rsidR="0054309B" w:rsidRPr="00F01DEB">
        <w:rPr>
          <w:rFonts w:ascii="Times New Roman" w:hAnsi="Times New Roman" w:cs="Times New Roman"/>
        </w:rPr>
        <w:t>in Bahrain. Although Bahrain has the lowest Tobin’s Q, its firms enjoy the lowest cash conversion cycle. This m</w:t>
      </w:r>
      <w:r w:rsidR="00D77537" w:rsidRPr="00F01DEB">
        <w:rPr>
          <w:rFonts w:ascii="Times New Roman" w:hAnsi="Times New Roman" w:cs="Times New Roman"/>
        </w:rPr>
        <w:t xml:space="preserve">ay </w:t>
      </w:r>
      <w:r w:rsidR="0054309B" w:rsidRPr="00F01DEB">
        <w:rPr>
          <w:rFonts w:ascii="Times New Roman" w:hAnsi="Times New Roman" w:cs="Times New Roman"/>
        </w:rPr>
        <w:t>indicate that investors m</w:t>
      </w:r>
      <w:r w:rsidR="00D77537" w:rsidRPr="00F01DEB">
        <w:rPr>
          <w:rFonts w:ascii="Times New Roman" w:hAnsi="Times New Roman" w:cs="Times New Roman"/>
        </w:rPr>
        <w:t>ay disregard</w:t>
      </w:r>
      <w:r w:rsidR="0054309B" w:rsidRPr="00F01DEB">
        <w:rPr>
          <w:rFonts w:ascii="Times New Roman" w:hAnsi="Times New Roman" w:cs="Times New Roman"/>
        </w:rPr>
        <w:t xml:space="preserve"> any possible efficiency in managing working capital. </w:t>
      </w:r>
    </w:p>
    <w:p w:rsidR="00D77537" w:rsidRPr="00F01DEB" w:rsidRDefault="00D77537" w:rsidP="00F01DEB">
      <w:pPr>
        <w:pStyle w:val="ListParagraph"/>
        <w:numPr>
          <w:ilvl w:val="0"/>
          <w:numId w:val="2"/>
        </w:numPr>
        <w:bidi w:val="0"/>
        <w:spacing w:line="240" w:lineRule="auto"/>
        <w:rPr>
          <w:rFonts w:ascii="Times New Roman" w:hAnsi="Times New Roman" w:cs="Times New Roman"/>
          <w:u w:val="single"/>
        </w:rPr>
      </w:pPr>
      <w:r w:rsidRPr="00F01DEB">
        <w:rPr>
          <w:rFonts w:ascii="Times New Roman" w:hAnsi="Times New Roman" w:cs="Times New Roman"/>
          <w:u w:val="single"/>
        </w:rPr>
        <w:t>Results</w:t>
      </w:r>
      <w:r w:rsidR="00B352AB" w:rsidRPr="00F01DEB">
        <w:rPr>
          <w:rFonts w:ascii="Times New Roman" w:hAnsi="Times New Roman" w:cs="Times New Roman"/>
          <w:u w:val="single"/>
        </w:rPr>
        <w:t xml:space="preserve"> and Discussion</w:t>
      </w:r>
    </w:p>
    <w:p w:rsidR="00D77537" w:rsidRPr="00F01DEB" w:rsidRDefault="00D77537" w:rsidP="00F01DEB">
      <w:pPr>
        <w:bidi w:val="0"/>
        <w:spacing w:line="240" w:lineRule="auto"/>
        <w:rPr>
          <w:rFonts w:ascii="Times New Roman" w:hAnsi="Times New Roman" w:cs="Times New Roman"/>
        </w:rPr>
      </w:pPr>
      <w:r w:rsidRPr="00F01DEB">
        <w:rPr>
          <w:rFonts w:ascii="Times New Roman" w:hAnsi="Times New Roman" w:cs="Times New Roman"/>
        </w:rPr>
        <w:t xml:space="preserve">This paper investigates the relationship between corporate performance and the efficiency </w:t>
      </w:r>
      <w:r w:rsidR="002065FA" w:rsidRPr="00F01DEB">
        <w:rPr>
          <w:rFonts w:ascii="Times New Roman" w:hAnsi="Times New Roman" w:cs="Times New Roman"/>
        </w:rPr>
        <w:t>of</w:t>
      </w:r>
      <w:r w:rsidRPr="00F01DEB">
        <w:rPr>
          <w:rFonts w:ascii="Times New Roman" w:hAnsi="Times New Roman" w:cs="Times New Roman"/>
        </w:rPr>
        <w:t xml:space="preserve"> managing working capital. Table (2) shows the effect of </w:t>
      </w:r>
      <w:r w:rsidR="00A841FD" w:rsidRPr="00F01DEB">
        <w:rPr>
          <w:rFonts w:ascii="Times New Roman" w:hAnsi="Times New Roman" w:cs="Times New Roman"/>
        </w:rPr>
        <w:t xml:space="preserve">the </w:t>
      </w:r>
      <w:r w:rsidRPr="00F01DEB">
        <w:rPr>
          <w:rFonts w:ascii="Times New Roman" w:hAnsi="Times New Roman" w:cs="Times New Roman"/>
        </w:rPr>
        <w:t xml:space="preserve">cash conversion cycle </w:t>
      </w:r>
      <w:r w:rsidR="002065FA" w:rsidRPr="00F01DEB">
        <w:rPr>
          <w:rFonts w:ascii="Times New Roman" w:hAnsi="Times New Roman" w:cs="Times New Roman"/>
        </w:rPr>
        <w:t xml:space="preserve">(a </w:t>
      </w:r>
      <w:r w:rsidR="007F2886" w:rsidRPr="00F01DEB">
        <w:rPr>
          <w:rFonts w:ascii="Times New Roman" w:hAnsi="Times New Roman" w:cs="Times New Roman"/>
        </w:rPr>
        <w:t xml:space="preserve">popular </w:t>
      </w:r>
      <w:r w:rsidR="002065FA" w:rsidRPr="00F01DEB">
        <w:rPr>
          <w:rFonts w:ascii="Times New Roman" w:hAnsi="Times New Roman" w:cs="Times New Roman"/>
        </w:rPr>
        <w:t xml:space="preserve">measure of working capital </w:t>
      </w:r>
      <w:r w:rsidR="00D940D8" w:rsidRPr="00F01DEB">
        <w:rPr>
          <w:rFonts w:ascii="Times New Roman" w:hAnsi="Times New Roman" w:cs="Times New Roman"/>
        </w:rPr>
        <w:t xml:space="preserve">management </w:t>
      </w:r>
      <w:r w:rsidR="002065FA" w:rsidRPr="00F01DEB">
        <w:rPr>
          <w:rFonts w:ascii="Times New Roman" w:hAnsi="Times New Roman" w:cs="Times New Roman"/>
        </w:rPr>
        <w:t xml:space="preserve">efficiency) </w:t>
      </w:r>
      <w:r w:rsidRPr="00F01DEB">
        <w:rPr>
          <w:rFonts w:ascii="Times New Roman" w:hAnsi="Times New Roman" w:cs="Times New Roman"/>
        </w:rPr>
        <w:t xml:space="preserve">on corporate performance for a set of Kuwaiti nonfinancial firms. Model </w:t>
      </w:r>
      <w:r w:rsidR="00D61D47" w:rsidRPr="00F01DEB">
        <w:rPr>
          <w:rFonts w:ascii="Times New Roman" w:hAnsi="Times New Roman" w:cs="Times New Roman"/>
        </w:rPr>
        <w:t>(1) shows</w:t>
      </w:r>
      <w:r w:rsidR="00A841FD" w:rsidRPr="00F01DEB">
        <w:rPr>
          <w:rFonts w:ascii="Times New Roman" w:hAnsi="Times New Roman" w:cs="Times New Roman"/>
        </w:rPr>
        <w:t xml:space="preserve">, as predicted, </w:t>
      </w:r>
      <w:r w:rsidR="00FE5EF9" w:rsidRPr="00F01DEB">
        <w:rPr>
          <w:rFonts w:ascii="Times New Roman" w:hAnsi="Times New Roman" w:cs="Times New Roman"/>
        </w:rPr>
        <w:t xml:space="preserve">that there is a </w:t>
      </w:r>
      <w:r w:rsidR="009E7377" w:rsidRPr="00F01DEB">
        <w:rPr>
          <w:rFonts w:ascii="Times New Roman" w:hAnsi="Times New Roman" w:cs="Times New Roman"/>
        </w:rPr>
        <w:t xml:space="preserve">significant </w:t>
      </w:r>
      <w:r w:rsidR="00FE5EF9" w:rsidRPr="00F01DEB">
        <w:rPr>
          <w:rFonts w:ascii="Times New Roman" w:hAnsi="Times New Roman" w:cs="Times New Roman"/>
        </w:rPr>
        <w:t>negative effect of the cash conversion cycle on Tobin’s Q</w:t>
      </w:r>
      <w:r w:rsidR="00A841FD" w:rsidRPr="00F01DEB">
        <w:rPr>
          <w:rFonts w:ascii="Times New Roman" w:hAnsi="Times New Roman" w:cs="Times New Roman"/>
        </w:rPr>
        <w:t xml:space="preserve">. However, </w:t>
      </w:r>
      <w:r w:rsidR="009E7377" w:rsidRPr="00F01DEB">
        <w:rPr>
          <w:rFonts w:ascii="Times New Roman" w:hAnsi="Times New Roman" w:cs="Times New Roman"/>
        </w:rPr>
        <w:t>th</w:t>
      </w:r>
      <w:r w:rsidR="007F2886" w:rsidRPr="00F01DEB">
        <w:rPr>
          <w:rFonts w:ascii="Times New Roman" w:hAnsi="Times New Roman" w:cs="Times New Roman"/>
        </w:rPr>
        <w:t xml:space="preserve">e </w:t>
      </w:r>
      <w:r w:rsidR="009E7377" w:rsidRPr="00F01DEB">
        <w:rPr>
          <w:rFonts w:ascii="Times New Roman" w:hAnsi="Times New Roman" w:cs="Times New Roman"/>
        </w:rPr>
        <w:t xml:space="preserve">effect tends to be </w:t>
      </w:r>
      <w:r w:rsidR="00A841FD" w:rsidRPr="00F01DEB">
        <w:rPr>
          <w:rFonts w:ascii="Times New Roman" w:hAnsi="Times New Roman" w:cs="Times New Roman"/>
        </w:rPr>
        <w:t>trivial</w:t>
      </w:r>
      <w:r w:rsidR="009E7377" w:rsidRPr="00F01DEB">
        <w:rPr>
          <w:rFonts w:ascii="Times New Roman" w:hAnsi="Times New Roman" w:cs="Times New Roman"/>
        </w:rPr>
        <w:t xml:space="preserve">. That is, a decrease of cash conversion cycle by about one day would result in an increase by about </w:t>
      </w:r>
      <w:r w:rsidR="00A841FD" w:rsidRPr="00F01DEB">
        <w:rPr>
          <w:rFonts w:ascii="Times New Roman" w:hAnsi="Times New Roman" w:cs="Times New Roman"/>
        </w:rPr>
        <w:t xml:space="preserve">0.0007 (i.e. 0.07%) </w:t>
      </w:r>
      <w:r w:rsidR="009E7377" w:rsidRPr="00F01DEB">
        <w:rPr>
          <w:rFonts w:ascii="Times New Roman" w:hAnsi="Times New Roman" w:cs="Times New Roman"/>
        </w:rPr>
        <w:t xml:space="preserve">in Tobin’s Q. In addition, adding the control variables of both the debt ratio and the firm size </w:t>
      </w:r>
      <w:r w:rsidR="00153307" w:rsidRPr="00F01DEB">
        <w:rPr>
          <w:rFonts w:ascii="Times New Roman" w:hAnsi="Times New Roman" w:cs="Times New Roman"/>
        </w:rPr>
        <w:t>doesn’t</w:t>
      </w:r>
      <w:r w:rsidR="009E7377" w:rsidRPr="00F01DEB">
        <w:rPr>
          <w:rFonts w:ascii="Times New Roman" w:hAnsi="Times New Roman" w:cs="Times New Roman"/>
        </w:rPr>
        <w:t xml:space="preserve"> change </w:t>
      </w:r>
      <w:r w:rsidR="007F2886" w:rsidRPr="00F01DEB">
        <w:rPr>
          <w:rFonts w:ascii="Times New Roman" w:hAnsi="Times New Roman" w:cs="Times New Roman"/>
        </w:rPr>
        <w:t xml:space="preserve">the </w:t>
      </w:r>
      <w:r w:rsidR="009E7377" w:rsidRPr="00F01DEB">
        <w:rPr>
          <w:rFonts w:ascii="Times New Roman" w:hAnsi="Times New Roman" w:cs="Times New Roman"/>
        </w:rPr>
        <w:t xml:space="preserve">results in terms of the </w:t>
      </w:r>
      <w:r w:rsidR="00994731" w:rsidRPr="00F01DEB">
        <w:rPr>
          <w:rFonts w:ascii="Times New Roman" w:hAnsi="Times New Roman" w:cs="Times New Roman"/>
        </w:rPr>
        <w:t xml:space="preserve">correct sign and </w:t>
      </w:r>
      <w:r w:rsidR="007F2886" w:rsidRPr="00F01DEB">
        <w:rPr>
          <w:rFonts w:ascii="Times New Roman" w:hAnsi="Times New Roman" w:cs="Times New Roman"/>
        </w:rPr>
        <w:t xml:space="preserve">the </w:t>
      </w:r>
      <w:r w:rsidR="009E7377" w:rsidRPr="00F01DEB">
        <w:rPr>
          <w:rFonts w:ascii="Times New Roman" w:hAnsi="Times New Roman" w:cs="Times New Roman"/>
        </w:rPr>
        <w:t>significant effect of working capital</w:t>
      </w:r>
      <w:r w:rsidR="00994731" w:rsidRPr="00F01DEB">
        <w:rPr>
          <w:rFonts w:ascii="Times New Roman" w:hAnsi="Times New Roman" w:cs="Times New Roman"/>
        </w:rPr>
        <w:t xml:space="preserve">; however, </w:t>
      </w:r>
      <w:r w:rsidR="005F7AA9" w:rsidRPr="00F01DEB">
        <w:rPr>
          <w:rFonts w:ascii="Times New Roman" w:hAnsi="Times New Roman" w:cs="Times New Roman"/>
        </w:rPr>
        <w:t xml:space="preserve">the magnitude of the effect is </w:t>
      </w:r>
      <w:r w:rsidR="00994731" w:rsidRPr="00F01DEB">
        <w:rPr>
          <w:rFonts w:ascii="Times New Roman" w:hAnsi="Times New Roman" w:cs="Times New Roman"/>
        </w:rPr>
        <w:t xml:space="preserve">still </w:t>
      </w:r>
      <w:r w:rsidR="005F7AA9" w:rsidRPr="00F01DEB">
        <w:rPr>
          <w:rFonts w:ascii="Times New Roman" w:hAnsi="Times New Roman" w:cs="Times New Roman"/>
        </w:rPr>
        <w:t>minimal</w:t>
      </w:r>
      <w:r w:rsidR="00994731" w:rsidRPr="00F01DEB">
        <w:rPr>
          <w:rFonts w:ascii="Times New Roman" w:hAnsi="Times New Roman" w:cs="Times New Roman"/>
        </w:rPr>
        <w:t xml:space="preserve">. </w:t>
      </w:r>
      <w:r w:rsidR="002065FA" w:rsidRPr="00F01DEB">
        <w:rPr>
          <w:rFonts w:ascii="Times New Roman" w:hAnsi="Times New Roman" w:cs="Times New Roman"/>
        </w:rPr>
        <w:t>This result</w:t>
      </w:r>
      <w:r w:rsidR="007F2886" w:rsidRPr="00F01DEB">
        <w:rPr>
          <w:rFonts w:ascii="Times New Roman" w:hAnsi="Times New Roman" w:cs="Times New Roman"/>
        </w:rPr>
        <w:t xml:space="preserve">, </w:t>
      </w:r>
      <w:r w:rsidR="00D940D8" w:rsidRPr="00F01DEB">
        <w:rPr>
          <w:rFonts w:ascii="Times New Roman" w:hAnsi="Times New Roman" w:cs="Times New Roman"/>
        </w:rPr>
        <w:t>nevertheless</w:t>
      </w:r>
      <w:r w:rsidR="007F2886" w:rsidRPr="00F01DEB">
        <w:rPr>
          <w:rFonts w:ascii="Times New Roman" w:hAnsi="Times New Roman" w:cs="Times New Roman"/>
        </w:rPr>
        <w:t>,</w:t>
      </w:r>
      <w:r w:rsidR="002065FA" w:rsidRPr="00F01DEB">
        <w:rPr>
          <w:rFonts w:ascii="Times New Roman" w:hAnsi="Times New Roman" w:cs="Times New Roman"/>
        </w:rPr>
        <w:t xml:space="preserve"> contradicts those brought up by </w:t>
      </w:r>
      <w:proofErr w:type="spellStart"/>
      <w:r w:rsidR="002065FA" w:rsidRPr="00F01DEB">
        <w:rPr>
          <w:rFonts w:ascii="Times New Roman" w:hAnsi="Times New Roman" w:cs="Times New Roman"/>
        </w:rPr>
        <w:t>Lazaridis</w:t>
      </w:r>
      <w:proofErr w:type="spellEnd"/>
      <w:r w:rsidR="002065FA" w:rsidRPr="00F01DEB">
        <w:rPr>
          <w:rFonts w:ascii="Times New Roman" w:hAnsi="Times New Roman" w:cs="Times New Roman"/>
        </w:rPr>
        <w:t xml:space="preserve"> et al (2006), </w:t>
      </w:r>
      <w:proofErr w:type="spellStart"/>
      <w:r w:rsidR="002065FA" w:rsidRPr="00F01DEB">
        <w:rPr>
          <w:rFonts w:ascii="Times New Roman" w:hAnsi="Times New Roman" w:cs="Times New Roman"/>
        </w:rPr>
        <w:t>Mansoori</w:t>
      </w:r>
      <w:proofErr w:type="spellEnd"/>
      <w:r w:rsidR="002065FA" w:rsidRPr="00F01DEB">
        <w:rPr>
          <w:rFonts w:ascii="Times New Roman" w:hAnsi="Times New Roman" w:cs="Times New Roman"/>
        </w:rPr>
        <w:t xml:space="preserve"> et al (2012), </w:t>
      </w:r>
      <w:proofErr w:type="spellStart"/>
      <w:r w:rsidR="002065FA" w:rsidRPr="00F01DEB">
        <w:rPr>
          <w:rFonts w:ascii="Times New Roman" w:hAnsi="Times New Roman" w:cs="Times New Roman"/>
        </w:rPr>
        <w:t>Deloof</w:t>
      </w:r>
      <w:proofErr w:type="spellEnd"/>
      <w:r w:rsidR="002065FA" w:rsidRPr="00F01DEB">
        <w:rPr>
          <w:rFonts w:ascii="Times New Roman" w:hAnsi="Times New Roman" w:cs="Times New Roman"/>
        </w:rPr>
        <w:t xml:space="preserve"> (2003), Abdulrahman et al (2010) and </w:t>
      </w:r>
      <w:proofErr w:type="spellStart"/>
      <w:r w:rsidR="002065FA" w:rsidRPr="00F01DEB">
        <w:rPr>
          <w:rFonts w:ascii="Times New Roman" w:hAnsi="Times New Roman" w:cs="Times New Roman"/>
        </w:rPr>
        <w:t>Wasiuzzaman</w:t>
      </w:r>
      <w:proofErr w:type="spellEnd"/>
      <w:r w:rsidR="002065FA" w:rsidRPr="00F01DEB">
        <w:rPr>
          <w:rFonts w:ascii="Times New Roman" w:hAnsi="Times New Roman" w:cs="Times New Roman"/>
        </w:rPr>
        <w:t xml:space="preserve"> (2015)</w:t>
      </w:r>
      <w:r w:rsidR="007F2886" w:rsidRPr="00F01DEB">
        <w:rPr>
          <w:rFonts w:ascii="Times New Roman" w:hAnsi="Times New Roman" w:cs="Times New Roman"/>
        </w:rPr>
        <w:t>,</w:t>
      </w:r>
      <w:r w:rsidR="002065FA" w:rsidRPr="00F01DEB">
        <w:rPr>
          <w:rFonts w:ascii="Times New Roman" w:hAnsi="Times New Roman" w:cs="Times New Roman"/>
        </w:rPr>
        <w:t xml:space="preserve"> but it </w:t>
      </w:r>
      <w:r w:rsidR="007F2886" w:rsidRPr="00F01DEB">
        <w:rPr>
          <w:rFonts w:ascii="Times New Roman" w:hAnsi="Times New Roman" w:cs="Times New Roman"/>
        </w:rPr>
        <w:t xml:space="preserve">conforms </w:t>
      </w:r>
      <w:r w:rsidR="002065FA" w:rsidRPr="00F01DEB">
        <w:rPr>
          <w:rFonts w:ascii="Times New Roman" w:hAnsi="Times New Roman" w:cs="Times New Roman"/>
        </w:rPr>
        <w:t xml:space="preserve">to </w:t>
      </w:r>
      <w:r w:rsidR="00C11EC0" w:rsidRPr="00F01DEB">
        <w:rPr>
          <w:rFonts w:ascii="Times New Roman" w:hAnsi="Times New Roman" w:cs="Times New Roman"/>
        </w:rPr>
        <w:t xml:space="preserve">the </w:t>
      </w:r>
      <w:r w:rsidR="002065FA" w:rsidRPr="00F01DEB">
        <w:rPr>
          <w:rFonts w:ascii="Times New Roman" w:hAnsi="Times New Roman" w:cs="Times New Roman"/>
        </w:rPr>
        <w:t xml:space="preserve">conclusions of </w:t>
      </w:r>
      <w:proofErr w:type="spellStart"/>
      <w:r w:rsidR="002065FA" w:rsidRPr="00F01DEB">
        <w:rPr>
          <w:rFonts w:ascii="Times New Roman" w:hAnsi="Times New Roman" w:cs="Times New Roman"/>
        </w:rPr>
        <w:t>Thuvarakan</w:t>
      </w:r>
      <w:proofErr w:type="spellEnd"/>
      <w:r w:rsidR="002065FA" w:rsidRPr="00F01DEB">
        <w:rPr>
          <w:rFonts w:ascii="Times New Roman" w:hAnsi="Times New Roman" w:cs="Times New Roman"/>
        </w:rPr>
        <w:t xml:space="preserve"> (2013</w:t>
      </w:r>
      <w:r w:rsidR="00C11EC0" w:rsidRPr="00F01DEB">
        <w:rPr>
          <w:rFonts w:ascii="Times New Roman" w:hAnsi="Times New Roman" w:cs="Times New Roman"/>
        </w:rPr>
        <w:t>). The</w:t>
      </w:r>
      <w:r w:rsidR="00A841FD" w:rsidRPr="00F01DEB">
        <w:rPr>
          <w:rFonts w:ascii="Times New Roman" w:hAnsi="Times New Roman" w:cs="Times New Roman"/>
        </w:rPr>
        <w:t xml:space="preserve"> effect of both control variables is significant and both variables have the correct sign. That is, the effect of the debt ratio on corporate performance is negative as it is considered a financial burden. Also, </w:t>
      </w:r>
      <w:r w:rsidR="00EC5575" w:rsidRPr="00F01DEB">
        <w:rPr>
          <w:rFonts w:ascii="Times New Roman" w:hAnsi="Times New Roman" w:cs="Times New Roman"/>
        </w:rPr>
        <w:t xml:space="preserve">the positive </w:t>
      </w:r>
      <w:r w:rsidR="00EC5575" w:rsidRPr="00F01DEB">
        <w:rPr>
          <w:rFonts w:ascii="Times New Roman" w:hAnsi="Times New Roman" w:cs="Times New Roman"/>
        </w:rPr>
        <w:lastRenderedPageBreak/>
        <w:t xml:space="preserve">sign of firm size is expected as </w:t>
      </w:r>
      <w:r w:rsidR="00A841FD" w:rsidRPr="00F01DEB">
        <w:rPr>
          <w:rFonts w:ascii="Times New Roman" w:hAnsi="Times New Roman" w:cs="Times New Roman"/>
        </w:rPr>
        <w:t xml:space="preserve">the </w:t>
      </w:r>
      <w:r w:rsidR="00C11EC0" w:rsidRPr="00F01DEB">
        <w:rPr>
          <w:rFonts w:ascii="Times New Roman" w:hAnsi="Times New Roman" w:cs="Times New Roman"/>
        </w:rPr>
        <w:t>large firm size tends to boost</w:t>
      </w:r>
      <w:r w:rsidR="00A841FD" w:rsidRPr="00F01DEB">
        <w:rPr>
          <w:rFonts w:ascii="Times New Roman" w:hAnsi="Times New Roman" w:cs="Times New Roman"/>
        </w:rPr>
        <w:t xml:space="preserve"> firm profitability</w:t>
      </w:r>
      <w:r w:rsidR="00983258" w:rsidRPr="00F01DEB">
        <w:rPr>
          <w:rFonts w:ascii="Times New Roman" w:hAnsi="Times New Roman" w:cs="Times New Roman"/>
        </w:rPr>
        <w:t xml:space="preserve">. </w:t>
      </w:r>
      <w:r w:rsidR="00994731" w:rsidRPr="00F01DEB">
        <w:rPr>
          <w:rFonts w:ascii="Times New Roman" w:hAnsi="Times New Roman" w:cs="Times New Roman"/>
        </w:rPr>
        <w:t xml:space="preserve">Models 2, 3, and 4 </w:t>
      </w:r>
      <w:r w:rsidR="00983258" w:rsidRPr="00F01DEB">
        <w:rPr>
          <w:rFonts w:ascii="Times New Roman" w:hAnsi="Times New Roman" w:cs="Times New Roman"/>
        </w:rPr>
        <w:t>show</w:t>
      </w:r>
      <w:r w:rsidR="00994731" w:rsidRPr="00F01DEB">
        <w:rPr>
          <w:rFonts w:ascii="Times New Roman" w:hAnsi="Times New Roman" w:cs="Times New Roman"/>
        </w:rPr>
        <w:t xml:space="preserve"> </w:t>
      </w:r>
      <w:r w:rsidR="00EC5575" w:rsidRPr="00F01DEB">
        <w:rPr>
          <w:rFonts w:ascii="Times New Roman" w:hAnsi="Times New Roman" w:cs="Times New Roman"/>
        </w:rPr>
        <w:t>comparable</w:t>
      </w:r>
      <w:r w:rsidR="00994731" w:rsidRPr="00F01DEB">
        <w:rPr>
          <w:rFonts w:ascii="Times New Roman" w:hAnsi="Times New Roman" w:cs="Times New Roman"/>
        </w:rPr>
        <w:t xml:space="preserve"> results. In the variable effect model, all results are very similar</w:t>
      </w:r>
      <w:r w:rsidR="00EC5575" w:rsidRPr="00F01DEB">
        <w:rPr>
          <w:rFonts w:ascii="Times New Roman" w:hAnsi="Times New Roman" w:cs="Times New Roman"/>
        </w:rPr>
        <w:t xml:space="preserve"> to</w:t>
      </w:r>
      <w:r w:rsidR="00994731" w:rsidRPr="00F01DEB">
        <w:rPr>
          <w:rFonts w:ascii="Times New Roman" w:hAnsi="Times New Roman" w:cs="Times New Roman"/>
        </w:rPr>
        <w:t xml:space="preserve"> those in the fixed effect model in terms of the </w:t>
      </w:r>
      <w:r w:rsidR="00A841FD" w:rsidRPr="00F01DEB">
        <w:rPr>
          <w:rFonts w:ascii="Times New Roman" w:hAnsi="Times New Roman" w:cs="Times New Roman"/>
        </w:rPr>
        <w:t xml:space="preserve">correct sign and in terms of the </w:t>
      </w:r>
      <w:r w:rsidR="00994731" w:rsidRPr="00F01DEB">
        <w:rPr>
          <w:rFonts w:ascii="Times New Roman" w:hAnsi="Times New Roman" w:cs="Times New Roman"/>
        </w:rPr>
        <w:t xml:space="preserve">significance </w:t>
      </w:r>
      <w:r w:rsidR="00A841FD" w:rsidRPr="00F01DEB">
        <w:rPr>
          <w:rFonts w:ascii="Times New Roman" w:hAnsi="Times New Roman" w:cs="Times New Roman"/>
        </w:rPr>
        <w:t>of the effect, except for model (4) which shows insignificant effect of cash conversion cycle o</w:t>
      </w:r>
      <w:r w:rsidR="00EC5575" w:rsidRPr="00F01DEB">
        <w:rPr>
          <w:rFonts w:ascii="Times New Roman" w:hAnsi="Times New Roman" w:cs="Times New Roman"/>
        </w:rPr>
        <w:t xml:space="preserve">n </w:t>
      </w:r>
      <w:r w:rsidR="00A841FD" w:rsidRPr="00F01DEB">
        <w:rPr>
          <w:rFonts w:ascii="Times New Roman" w:hAnsi="Times New Roman" w:cs="Times New Roman"/>
        </w:rPr>
        <w:t xml:space="preserve">corporate profitability. However, when considering the pooled regression model, results become totally insignificant, except for model 2.  </w:t>
      </w:r>
    </w:p>
    <w:p w:rsidR="00D61D47" w:rsidRPr="00F01DEB" w:rsidRDefault="00D61D47" w:rsidP="00F01DEB">
      <w:pPr>
        <w:pBdr>
          <w:bottom w:val="single" w:sz="4" w:space="1" w:color="auto"/>
        </w:pBd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Table (</w:t>
      </w:r>
      <w:r w:rsidR="005F7AA9" w:rsidRPr="00F01DEB">
        <w:rPr>
          <w:rFonts w:ascii="Times New Roman" w:hAnsi="Times New Roman" w:cs="Times New Roman"/>
          <w:sz w:val="20"/>
          <w:szCs w:val="20"/>
        </w:rPr>
        <w:t>2</w:t>
      </w:r>
      <w:r w:rsidRPr="00F01DEB">
        <w:rPr>
          <w:rFonts w:ascii="Times New Roman" w:hAnsi="Times New Roman" w:cs="Times New Roman"/>
          <w:sz w:val="20"/>
          <w:szCs w:val="20"/>
        </w:rPr>
        <w:t xml:space="preserve">) shows the effect of working capital efficiency on Kuwaiti corporate performance </w:t>
      </w:r>
    </w:p>
    <w:tbl>
      <w:tblPr>
        <w:tblW w:w="8464" w:type="dxa"/>
        <w:tblLook w:val="04A0" w:firstRow="1" w:lastRow="0" w:firstColumn="1" w:lastColumn="0" w:noHBand="0" w:noVBand="1"/>
      </w:tblPr>
      <w:tblGrid>
        <w:gridCol w:w="480"/>
        <w:gridCol w:w="944"/>
        <w:gridCol w:w="833"/>
        <w:gridCol w:w="666"/>
        <w:gridCol w:w="833"/>
        <w:gridCol w:w="666"/>
        <w:gridCol w:w="833"/>
        <w:gridCol w:w="672"/>
        <w:gridCol w:w="666"/>
        <w:gridCol w:w="666"/>
        <w:gridCol w:w="539"/>
        <w:gridCol w:w="666"/>
      </w:tblGrid>
      <w:tr w:rsidR="006A1B55" w:rsidRPr="00F01DEB" w:rsidTr="006A1B55">
        <w:trPr>
          <w:trHeight w:val="255"/>
        </w:trPr>
        <w:tc>
          <w:tcPr>
            <w:tcW w:w="48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CCC</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DR</w:t>
            </w:r>
          </w:p>
        </w:tc>
        <w:tc>
          <w:tcPr>
            <w:tcW w:w="672"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Size</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539"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Obs</w:t>
            </w:r>
            <w:proofErr w:type="spellEnd"/>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Adj</w:t>
            </w:r>
            <w:proofErr w:type="spellEnd"/>
            <w:r w:rsidRPr="00F01DEB">
              <w:rPr>
                <w:rFonts w:ascii="Times New Roman" w:eastAsia="Times New Roman" w:hAnsi="Times New Roman" w:cs="Times New Roman"/>
                <w:color w:val="000000"/>
                <w:sz w:val="20"/>
                <w:szCs w:val="20"/>
              </w:rPr>
              <w:t xml:space="preserve"> R2</w:t>
            </w:r>
          </w:p>
        </w:tc>
      </w:tr>
      <w:tr w:rsidR="006A1B55" w:rsidRPr="00F01DEB" w:rsidTr="006A1B55">
        <w:trPr>
          <w:trHeight w:val="255"/>
        </w:trPr>
        <w:tc>
          <w:tcPr>
            <w:tcW w:w="480"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3670" w:type="dxa"/>
            <w:gridSpan w:val="5"/>
            <w:tcBorders>
              <w:top w:val="single" w:sz="4" w:space="0" w:color="auto"/>
              <w:left w:val="nil"/>
              <w:bottom w:val="nil"/>
              <w:right w:val="nil"/>
            </w:tcBorders>
            <w:shd w:val="clear" w:color="auto" w:fill="auto"/>
            <w:noWrap/>
            <w:vAlign w:val="bottom"/>
            <w:hideMark/>
          </w:tcPr>
          <w:p w:rsidR="006A1B55" w:rsidRPr="00F01DEB" w:rsidRDefault="00C11EC0"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Fixed Effect Model</w:t>
            </w:r>
          </w:p>
        </w:tc>
        <w:tc>
          <w:tcPr>
            <w:tcW w:w="666"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07</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0.004</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215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0.73</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04</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0.091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-2.205</w:t>
            </w: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0.100</w:t>
            </w: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215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0.76</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228</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0.58</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0.634</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-0.134</w:t>
            </w: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0.028</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0.007</w:t>
            </w: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228</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3670" w:type="dxa"/>
            <w:gridSpan w:val="5"/>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 xml:space="preserve">The </w:t>
            </w:r>
            <w:r w:rsidR="00C11EC0" w:rsidRPr="00F01DEB">
              <w:rPr>
                <w:rFonts w:ascii="Times New Roman" w:eastAsia="Times New Roman" w:hAnsi="Times New Roman" w:cs="Times New Roman"/>
                <w:color w:val="000000"/>
                <w:sz w:val="20"/>
                <w:szCs w:val="20"/>
              </w:rPr>
              <w:t>Variable</w:t>
            </w:r>
            <w:r w:rsidRPr="00F01DEB">
              <w:rPr>
                <w:rFonts w:ascii="Times New Roman" w:eastAsia="Times New Roman" w:hAnsi="Times New Roman" w:cs="Times New Roman"/>
                <w:color w:val="000000"/>
                <w:sz w:val="20"/>
                <w:szCs w:val="20"/>
              </w:rPr>
              <w:t xml:space="preserve"> Effect Model</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2.313</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06</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0.015</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215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0.73</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2.092</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04</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0.087</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-2.089</w:t>
            </w: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0.052</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0.092</w:t>
            </w: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215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0.77</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0.076</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228</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0.64</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-0.269</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0.004</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0.668</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-0.089</w:t>
            </w: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0.003</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0.017</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0.006</w:t>
            </w: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228</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bookmarkStart w:id="0" w:name="_GoBack"/>
            <w:bookmarkEnd w:id="0"/>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3670" w:type="dxa"/>
            <w:gridSpan w:val="5"/>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 xml:space="preserve">The </w:t>
            </w:r>
            <w:r w:rsidR="00C11EC0" w:rsidRPr="00F01DEB">
              <w:rPr>
                <w:rFonts w:ascii="Times New Roman" w:eastAsia="Times New Roman" w:hAnsi="Times New Roman" w:cs="Times New Roman"/>
                <w:color w:val="000000"/>
                <w:sz w:val="20"/>
                <w:szCs w:val="20"/>
              </w:rPr>
              <w:t>Pooled</w:t>
            </w:r>
            <w:r w:rsidRPr="00F01DEB">
              <w:rPr>
                <w:rFonts w:ascii="Times New Roman" w:eastAsia="Times New Roman" w:hAnsi="Times New Roman" w:cs="Times New Roman"/>
                <w:color w:val="000000"/>
                <w:sz w:val="20"/>
                <w:szCs w:val="20"/>
              </w:rPr>
              <w:t xml:space="preserve"> Model</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02</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0.47</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215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0.003</w:t>
            </w:r>
          </w:p>
        </w:tc>
      </w:tr>
      <w:tr w:rsidR="006A1B55" w:rsidRPr="00F01DEB" w:rsidTr="006A1B55">
        <w:trPr>
          <w:trHeight w:val="255"/>
        </w:trPr>
        <w:tc>
          <w:tcPr>
            <w:tcW w:w="48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2.248</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03</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c>
          <w:tcPr>
            <w:tcW w:w="833"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-2.07</w:t>
            </w:r>
          </w:p>
        </w:tc>
        <w:tc>
          <w:tcPr>
            <w:tcW w:w="672"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0.043</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0.028</w:t>
            </w:r>
          </w:p>
        </w:tc>
        <w:tc>
          <w:tcPr>
            <w:tcW w:w="539"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215</w:t>
            </w:r>
          </w:p>
        </w:tc>
        <w:tc>
          <w:tcPr>
            <w:tcW w:w="666"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0.64</w:t>
            </w:r>
          </w:p>
        </w:tc>
      </w:tr>
      <w:tr w:rsidR="006A1B55" w:rsidRPr="00F01DEB" w:rsidTr="006A1B55">
        <w:trPr>
          <w:trHeight w:val="255"/>
        </w:trPr>
        <w:tc>
          <w:tcPr>
            <w:tcW w:w="480"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0.029</w:t>
            </w:r>
          </w:p>
        </w:tc>
        <w:tc>
          <w:tcPr>
            <w:tcW w:w="666"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0.412</w:t>
            </w:r>
          </w:p>
        </w:tc>
        <w:tc>
          <w:tcPr>
            <w:tcW w:w="833"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672"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228</w:t>
            </w:r>
          </w:p>
        </w:tc>
        <w:tc>
          <w:tcPr>
            <w:tcW w:w="666"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w:t>
            </w:r>
          </w:p>
        </w:tc>
      </w:tr>
      <w:tr w:rsidR="006A1B55" w:rsidRPr="00F01DEB" w:rsidTr="006A1B55">
        <w:trPr>
          <w:trHeight w:val="255"/>
        </w:trPr>
        <w:tc>
          <w:tcPr>
            <w:tcW w:w="48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-0.217</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0.259</w:t>
            </w:r>
          </w:p>
        </w:tc>
        <w:tc>
          <w:tcPr>
            <w:tcW w:w="833"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w:t>
            </w:r>
          </w:p>
        </w:tc>
        <w:tc>
          <w:tcPr>
            <w:tcW w:w="672"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0.014</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539"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228</w:t>
            </w:r>
          </w:p>
        </w:tc>
        <w:tc>
          <w:tcPr>
            <w:tcW w:w="666"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0.09</w:t>
            </w:r>
          </w:p>
        </w:tc>
      </w:tr>
    </w:tbl>
    <w:p w:rsidR="00D77537" w:rsidRPr="00F01DEB" w:rsidRDefault="0083037B"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Notes</w:t>
      </w:r>
    </w:p>
    <w:p w:rsidR="0083037B" w:rsidRPr="00F01DEB" w:rsidRDefault="0083037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TQ is Tobin’s Q = </w:t>
      </w:r>
      <w:r w:rsidR="00FE5EF9" w:rsidRPr="00F01DEB">
        <w:rPr>
          <w:rFonts w:ascii="Times New Roman" w:hAnsi="Times New Roman" w:cs="Times New Roman"/>
          <w:sz w:val="20"/>
          <w:szCs w:val="20"/>
        </w:rPr>
        <w:t>(</w:t>
      </w:r>
      <w:r w:rsidRPr="00F01DEB">
        <w:rPr>
          <w:rFonts w:ascii="Times New Roman" w:hAnsi="Times New Roman" w:cs="Times New Roman"/>
          <w:sz w:val="20"/>
          <w:szCs w:val="20"/>
        </w:rPr>
        <w:t>market value of equity + total assets - equity) / total assets</w:t>
      </w:r>
    </w:p>
    <w:p w:rsidR="0083037B" w:rsidRPr="00F01DEB" w:rsidRDefault="0083037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Prof is profitability = operating income / total assets</w:t>
      </w:r>
    </w:p>
    <w:p w:rsidR="0083037B" w:rsidRPr="00F01DEB" w:rsidRDefault="0083037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CCC is cash conversion cycle = accounts receivables days + inventory days - accounts payables days</w:t>
      </w:r>
    </w:p>
    <w:p w:rsidR="0083037B" w:rsidRPr="00F01DEB" w:rsidRDefault="0083037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DR is debt ratio = debt</w:t>
      </w:r>
      <w:r w:rsidR="00FE5EF9" w:rsidRPr="00F01DEB">
        <w:rPr>
          <w:rFonts w:ascii="Times New Roman" w:hAnsi="Times New Roman" w:cs="Times New Roman"/>
          <w:sz w:val="20"/>
          <w:szCs w:val="20"/>
        </w:rPr>
        <w:t xml:space="preserve"> </w:t>
      </w:r>
      <w:r w:rsidRPr="00F01DEB">
        <w:rPr>
          <w:rFonts w:ascii="Times New Roman" w:hAnsi="Times New Roman" w:cs="Times New Roman"/>
          <w:sz w:val="20"/>
          <w:szCs w:val="20"/>
        </w:rPr>
        <w:t>/</w:t>
      </w:r>
      <w:r w:rsidR="00FE5EF9" w:rsidRPr="00F01DEB">
        <w:rPr>
          <w:rFonts w:ascii="Times New Roman" w:hAnsi="Times New Roman" w:cs="Times New Roman"/>
          <w:sz w:val="20"/>
          <w:szCs w:val="20"/>
        </w:rPr>
        <w:t xml:space="preserve"> </w:t>
      </w:r>
      <w:r w:rsidRPr="00F01DEB">
        <w:rPr>
          <w:rFonts w:ascii="Times New Roman" w:hAnsi="Times New Roman" w:cs="Times New Roman"/>
          <w:sz w:val="20"/>
          <w:szCs w:val="20"/>
        </w:rPr>
        <w:t>total assets</w:t>
      </w:r>
    </w:p>
    <w:p w:rsidR="0083037B" w:rsidRPr="00F01DEB" w:rsidRDefault="0083037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Size = log (sales)</w:t>
      </w:r>
    </w:p>
    <w:p w:rsidR="00153307" w:rsidRPr="00F01DEB" w:rsidRDefault="00FE5EF9"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 </w:t>
      </w:r>
      <w:r w:rsidR="00153307" w:rsidRPr="00F01DEB">
        <w:rPr>
          <w:rFonts w:ascii="Times New Roman" w:hAnsi="Times New Roman" w:cs="Times New Roman"/>
          <w:sz w:val="20"/>
          <w:szCs w:val="20"/>
        </w:rPr>
        <w:t xml:space="preserve">Since we have a cross-sectional data, </w:t>
      </w:r>
      <w:r w:rsidR="00E029E9" w:rsidRPr="00F01DEB">
        <w:rPr>
          <w:rFonts w:ascii="Times New Roman" w:hAnsi="Times New Roman" w:cs="Times New Roman"/>
          <w:sz w:val="20"/>
          <w:szCs w:val="20"/>
        </w:rPr>
        <w:t>heteroscedasticity</w:t>
      </w:r>
      <w:r w:rsidR="00153307" w:rsidRPr="00F01DEB">
        <w:rPr>
          <w:rFonts w:ascii="Times New Roman" w:hAnsi="Times New Roman" w:cs="Times New Roman"/>
          <w:sz w:val="20"/>
          <w:szCs w:val="20"/>
        </w:rPr>
        <w:t xml:space="preserve"> was found to be significant. And since it is of unknown form, it was corrected by using White’s (1980) consistent covariance matrix</w:t>
      </w:r>
    </w:p>
    <w:p w:rsidR="00FE5EF9" w:rsidRPr="00F01DEB" w:rsidRDefault="00FE5EF9" w:rsidP="00F01DEB">
      <w:pPr>
        <w:bidi w:val="0"/>
        <w:spacing w:line="240" w:lineRule="auto"/>
        <w:rPr>
          <w:rFonts w:ascii="Times New Roman" w:hAnsi="Times New Roman" w:cs="Times New Roman"/>
        </w:rPr>
      </w:pPr>
    </w:p>
    <w:p w:rsidR="009F7F10" w:rsidRPr="00F01DEB" w:rsidRDefault="00D77537" w:rsidP="00F01DEB">
      <w:pPr>
        <w:bidi w:val="0"/>
        <w:spacing w:line="240" w:lineRule="auto"/>
        <w:rPr>
          <w:rFonts w:ascii="Times New Roman" w:hAnsi="Times New Roman" w:cs="Times New Roman"/>
        </w:rPr>
      </w:pPr>
      <w:r w:rsidRPr="00F01DEB">
        <w:rPr>
          <w:rFonts w:ascii="Times New Roman" w:hAnsi="Times New Roman" w:cs="Times New Roman"/>
        </w:rPr>
        <w:t xml:space="preserve">One can glean from table </w:t>
      </w:r>
      <w:r w:rsidR="00E029E9" w:rsidRPr="00F01DEB">
        <w:rPr>
          <w:rFonts w:ascii="Times New Roman" w:hAnsi="Times New Roman" w:cs="Times New Roman"/>
        </w:rPr>
        <w:t xml:space="preserve">(2) that the effect of working capital </w:t>
      </w:r>
      <w:r w:rsidR="00D940D8" w:rsidRPr="00F01DEB">
        <w:rPr>
          <w:rFonts w:ascii="Times New Roman" w:hAnsi="Times New Roman" w:cs="Times New Roman"/>
        </w:rPr>
        <w:t xml:space="preserve">management </w:t>
      </w:r>
      <w:r w:rsidR="00E029E9" w:rsidRPr="00F01DEB">
        <w:rPr>
          <w:rFonts w:ascii="Times New Roman" w:hAnsi="Times New Roman" w:cs="Times New Roman"/>
        </w:rPr>
        <w:t xml:space="preserve">efficiency on Kuwaiti corporate performance is either </w:t>
      </w:r>
      <w:r w:rsidR="00107753" w:rsidRPr="00F01DEB">
        <w:rPr>
          <w:rFonts w:ascii="Times New Roman" w:hAnsi="Times New Roman" w:cs="Times New Roman"/>
        </w:rPr>
        <w:t xml:space="preserve">insignificant or </w:t>
      </w:r>
      <w:r w:rsidR="00E029E9" w:rsidRPr="00F01DEB">
        <w:rPr>
          <w:rFonts w:ascii="Times New Roman" w:hAnsi="Times New Roman" w:cs="Times New Roman"/>
        </w:rPr>
        <w:t xml:space="preserve">minimal </w:t>
      </w:r>
      <w:r w:rsidR="00107753" w:rsidRPr="00F01DEB">
        <w:rPr>
          <w:rFonts w:ascii="Times New Roman" w:hAnsi="Times New Roman" w:cs="Times New Roman"/>
        </w:rPr>
        <w:t xml:space="preserve">at best. </w:t>
      </w:r>
      <w:r w:rsidR="00EC5575" w:rsidRPr="00F01DEB">
        <w:rPr>
          <w:rFonts w:ascii="Times New Roman" w:hAnsi="Times New Roman" w:cs="Times New Roman"/>
        </w:rPr>
        <w:t xml:space="preserve">This partially asserts the conjecture of this paper that the </w:t>
      </w:r>
      <w:r w:rsidR="00C11EC0" w:rsidRPr="00F01DEB">
        <w:rPr>
          <w:rFonts w:ascii="Times New Roman" w:hAnsi="Times New Roman" w:cs="Times New Roman"/>
        </w:rPr>
        <w:t xml:space="preserve">influence </w:t>
      </w:r>
      <w:r w:rsidR="00EC5575" w:rsidRPr="00F01DEB">
        <w:rPr>
          <w:rFonts w:ascii="Times New Roman" w:hAnsi="Times New Roman" w:cs="Times New Roman"/>
        </w:rPr>
        <w:t>of working capital management</w:t>
      </w:r>
      <w:r w:rsidR="00C11EC0" w:rsidRPr="00F01DEB">
        <w:rPr>
          <w:rFonts w:ascii="Times New Roman" w:hAnsi="Times New Roman" w:cs="Times New Roman"/>
        </w:rPr>
        <w:t xml:space="preserve"> efficiency</w:t>
      </w:r>
      <w:r w:rsidR="00EC5575" w:rsidRPr="00F01DEB">
        <w:rPr>
          <w:rFonts w:ascii="Times New Roman" w:hAnsi="Times New Roman" w:cs="Times New Roman"/>
        </w:rPr>
        <w:t xml:space="preserve"> is weak at best.</w:t>
      </w:r>
    </w:p>
    <w:p w:rsidR="009F7F10" w:rsidRPr="00F01DEB" w:rsidRDefault="009F7F10" w:rsidP="00F01DEB">
      <w:pPr>
        <w:bidi w:val="0"/>
        <w:spacing w:line="240" w:lineRule="auto"/>
        <w:rPr>
          <w:rFonts w:ascii="Times New Roman" w:hAnsi="Times New Roman" w:cs="Times New Roman"/>
        </w:rPr>
      </w:pPr>
      <w:r w:rsidRPr="00F01DEB">
        <w:rPr>
          <w:rFonts w:ascii="Times New Roman" w:hAnsi="Times New Roman" w:cs="Times New Roman"/>
        </w:rPr>
        <w:t>Table (3) demonstrates the results of regressing corporate profitability on cash conversion cycle and the control variables for nonfinancial Saudi firms. Employing different regression tests, the results, show that the effect of working capital management on corporate performance is very inconsequential or insignificant</w:t>
      </w:r>
      <w:r w:rsidR="00BA0B92" w:rsidRPr="00F01DEB">
        <w:rPr>
          <w:rFonts w:ascii="Times New Roman" w:hAnsi="Times New Roman" w:cs="Times New Roman"/>
        </w:rPr>
        <w:t xml:space="preserve"> and sometimes, doesn’t hold the predicated sign</w:t>
      </w:r>
      <w:r w:rsidRPr="00F01DEB">
        <w:rPr>
          <w:rFonts w:ascii="Times New Roman" w:hAnsi="Times New Roman" w:cs="Times New Roman"/>
        </w:rPr>
        <w:t>. For example,</w:t>
      </w:r>
      <w:r w:rsidR="00BA0B92" w:rsidRPr="00F01DEB">
        <w:rPr>
          <w:rFonts w:ascii="Times New Roman" w:hAnsi="Times New Roman" w:cs="Times New Roman"/>
        </w:rPr>
        <w:t xml:space="preserve"> when</w:t>
      </w:r>
      <w:r w:rsidRPr="00F01DEB">
        <w:rPr>
          <w:rFonts w:ascii="Times New Roman" w:hAnsi="Times New Roman" w:cs="Times New Roman"/>
        </w:rPr>
        <w:t xml:space="preserve"> considering</w:t>
      </w:r>
      <w:r w:rsidR="00BA0B92" w:rsidRPr="00F01DEB">
        <w:rPr>
          <w:rFonts w:ascii="Times New Roman" w:hAnsi="Times New Roman" w:cs="Times New Roman"/>
        </w:rPr>
        <w:t xml:space="preserve"> regressions 1 and 2 in all models, the effect is insignificant while </w:t>
      </w:r>
      <w:r w:rsidR="00C11EC0" w:rsidRPr="00F01DEB">
        <w:rPr>
          <w:rFonts w:ascii="Times New Roman" w:hAnsi="Times New Roman" w:cs="Times New Roman"/>
        </w:rPr>
        <w:t xml:space="preserve">in </w:t>
      </w:r>
      <w:r w:rsidR="00BA0B92" w:rsidRPr="00F01DEB">
        <w:rPr>
          <w:rFonts w:ascii="Times New Roman" w:hAnsi="Times New Roman" w:cs="Times New Roman"/>
        </w:rPr>
        <w:t>regressions 3 and 4 in all models, the effe</w:t>
      </w:r>
      <w:r w:rsidR="00EC5575" w:rsidRPr="00F01DEB">
        <w:rPr>
          <w:rFonts w:ascii="Times New Roman" w:hAnsi="Times New Roman" w:cs="Times New Roman"/>
        </w:rPr>
        <w:t>ct appears</w:t>
      </w:r>
      <w:r w:rsidR="00C11EC0" w:rsidRPr="00F01DEB">
        <w:rPr>
          <w:rFonts w:ascii="Times New Roman" w:hAnsi="Times New Roman" w:cs="Times New Roman"/>
        </w:rPr>
        <w:t xml:space="preserve"> </w:t>
      </w:r>
      <w:r w:rsidR="00EC5575" w:rsidRPr="00F01DEB">
        <w:rPr>
          <w:rFonts w:ascii="Times New Roman" w:hAnsi="Times New Roman" w:cs="Times New Roman"/>
        </w:rPr>
        <w:t>trivial</w:t>
      </w:r>
      <w:r w:rsidR="00C11EC0" w:rsidRPr="00F01DEB">
        <w:rPr>
          <w:rFonts w:ascii="Times New Roman" w:hAnsi="Times New Roman" w:cs="Times New Roman"/>
        </w:rPr>
        <w:t xml:space="preserve"> and </w:t>
      </w:r>
      <w:r w:rsidR="00BA0B92" w:rsidRPr="00F01DEB">
        <w:rPr>
          <w:rFonts w:ascii="Times New Roman" w:hAnsi="Times New Roman" w:cs="Times New Roman"/>
        </w:rPr>
        <w:t>doesn’t hold the correct sign. The control variable</w:t>
      </w:r>
      <w:r w:rsidR="00EC5575" w:rsidRPr="00F01DEB">
        <w:rPr>
          <w:rFonts w:ascii="Times New Roman" w:hAnsi="Times New Roman" w:cs="Times New Roman"/>
        </w:rPr>
        <w:t>s, though,</w:t>
      </w:r>
      <w:r w:rsidR="00BA0B92" w:rsidRPr="00F01DEB">
        <w:rPr>
          <w:rFonts w:ascii="Times New Roman" w:hAnsi="Times New Roman" w:cs="Times New Roman"/>
        </w:rPr>
        <w:t xml:space="preserve"> appear to be valid according to the theoretical propositions. The results in this</w:t>
      </w:r>
      <w:r w:rsidR="00EC5575" w:rsidRPr="00F01DEB">
        <w:rPr>
          <w:rFonts w:ascii="Times New Roman" w:hAnsi="Times New Roman" w:cs="Times New Roman"/>
        </w:rPr>
        <w:t xml:space="preserve"> table, </w:t>
      </w:r>
      <w:proofErr w:type="gramStart"/>
      <w:r w:rsidR="00EC5575" w:rsidRPr="00F01DEB">
        <w:rPr>
          <w:rFonts w:ascii="Times New Roman" w:hAnsi="Times New Roman" w:cs="Times New Roman"/>
        </w:rPr>
        <w:t>similar to</w:t>
      </w:r>
      <w:proofErr w:type="gramEnd"/>
      <w:r w:rsidR="00EC5575" w:rsidRPr="00F01DEB">
        <w:rPr>
          <w:rFonts w:ascii="Times New Roman" w:hAnsi="Times New Roman" w:cs="Times New Roman"/>
        </w:rPr>
        <w:t xml:space="preserve"> those in table (2), illustrate the insignificant effect of working capital</w:t>
      </w:r>
      <w:r w:rsidR="00D940D8" w:rsidRPr="00F01DEB">
        <w:rPr>
          <w:rFonts w:ascii="Times New Roman" w:hAnsi="Times New Roman" w:cs="Times New Roman"/>
        </w:rPr>
        <w:t xml:space="preserve"> management efficiency on corporate performance.</w:t>
      </w:r>
    </w:p>
    <w:p w:rsidR="009F7F10" w:rsidRPr="00F01DEB" w:rsidRDefault="009F7F10"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Table (3) shows the effect of working capital efficiency on Saudi corporate performance </w:t>
      </w:r>
    </w:p>
    <w:tbl>
      <w:tblPr>
        <w:tblW w:w="8558" w:type="dxa"/>
        <w:tblLook w:val="04A0" w:firstRow="1" w:lastRow="0" w:firstColumn="1" w:lastColumn="0" w:noHBand="0" w:noVBand="1"/>
      </w:tblPr>
      <w:tblGrid>
        <w:gridCol w:w="480"/>
        <w:gridCol w:w="944"/>
        <w:gridCol w:w="833"/>
        <w:gridCol w:w="666"/>
        <w:gridCol w:w="833"/>
        <w:gridCol w:w="666"/>
        <w:gridCol w:w="833"/>
        <w:gridCol w:w="666"/>
        <w:gridCol w:w="666"/>
        <w:gridCol w:w="666"/>
        <w:gridCol w:w="539"/>
        <w:gridCol w:w="766"/>
      </w:tblGrid>
      <w:tr w:rsidR="009F7F10" w:rsidRPr="00F01DEB" w:rsidTr="009F7F10">
        <w:trPr>
          <w:trHeight w:val="255"/>
        </w:trPr>
        <w:tc>
          <w:tcPr>
            <w:tcW w:w="480"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944"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w:t>
            </w:r>
          </w:p>
        </w:tc>
        <w:tc>
          <w:tcPr>
            <w:tcW w:w="666"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CCC</w:t>
            </w:r>
          </w:p>
        </w:tc>
        <w:tc>
          <w:tcPr>
            <w:tcW w:w="666"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DR</w:t>
            </w:r>
          </w:p>
        </w:tc>
        <w:tc>
          <w:tcPr>
            <w:tcW w:w="666"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666"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Size</w:t>
            </w:r>
          </w:p>
        </w:tc>
        <w:tc>
          <w:tcPr>
            <w:tcW w:w="666"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539"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Obs</w:t>
            </w:r>
            <w:proofErr w:type="spellEnd"/>
          </w:p>
        </w:tc>
        <w:tc>
          <w:tcPr>
            <w:tcW w:w="766" w:type="dxa"/>
            <w:tcBorders>
              <w:top w:val="single" w:sz="4" w:space="0" w:color="auto"/>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Adj</w:t>
            </w:r>
            <w:proofErr w:type="spellEnd"/>
            <w:r w:rsidRPr="00F01DEB">
              <w:rPr>
                <w:rFonts w:ascii="Times New Roman" w:eastAsia="Times New Roman" w:hAnsi="Times New Roman" w:cs="Times New Roman"/>
                <w:color w:val="000000"/>
                <w:sz w:val="20"/>
                <w:szCs w:val="20"/>
              </w:rPr>
              <w:t xml:space="preserve"> R2</w:t>
            </w:r>
          </w:p>
        </w:tc>
      </w:tr>
      <w:tr w:rsidR="009F7F10" w:rsidRPr="00F01DEB" w:rsidTr="009F7F10">
        <w:trPr>
          <w:trHeight w:val="255"/>
        </w:trPr>
        <w:tc>
          <w:tcPr>
            <w:tcW w:w="480"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666"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2998" w:type="dxa"/>
            <w:gridSpan w:val="4"/>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 xml:space="preserve">The Fixed Effect Model </w:t>
            </w:r>
          </w:p>
        </w:tc>
        <w:tc>
          <w:tcPr>
            <w:tcW w:w="666"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539"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766" w:type="dxa"/>
            <w:tcBorders>
              <w:top w:val="single" w:sz="4" w:space="0" w:color="auto"/>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0.136</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376</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0.68</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0.268</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-1.548</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0.023</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0.283</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0.017</w:t>
            </w: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376</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0.69</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398</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0.79</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-0.303</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398</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0.84</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3664" w:type="dxa"/>
            <w:gridSpan w:val="5"/>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 xml:space="preserve">The Variable Effect Model </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color w:val="000000"/>
                <w:sz w:val="20"/>
                <w:szCs w:val="20"/>
              </w:rPr>
            </w:pP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2.063</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0.486</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376</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0.69</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0.008</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0.996</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0.803</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-1.978</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0.003</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0.145</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0.083</w:t>
            </w: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376</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0.69</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398</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0.79</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-0.630</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-0.306</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0.043</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w:t>
            </w: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398</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0.86</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2332" w:type="dxa"/>
            <w:gridSpan w:val="3"/>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 xml:space="preserve">The Pooled Model </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2.056</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0.252</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376</w:t>
            </w:r>
          </w:p>
        </w:tc>
        <w:tc>
          <w:tcPr>
            <w:tcW w:w="766" w:type="dxa"/>
            <w:tcBorders>
              <w:top w:val="nil"/>
              <w:left w:val="nil"/>
              <w:bottom w:val="nil"/>
              <w:right w:val="nil"/>
            </w:tcBorders>
            <w:shd w:val="clear" w:color="auto" w:fill="auto"/>
            <w:noWrap/>
            <w:vAlign w:val="bottom"/>
            <w:hideMark/>
          </w:tcPr>
          <w:p w:rsidR="009F7F10" w:rsidRPr="00F01DEB" w:rsidRDefault="00BA0B9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9F7F10" w:rsidRPr="00F01DEB">
              <w:rPr>
                <w:rFonts w:ascii="Times New Roman" w:eastAsia="Times New Roman" w:hAnsi="Times New Roman" w:cs="Times New Roman"/>
                <w:color w:val="000000"/>
                <w:sz w:val="20"/>
                <w:szCs w:val="20"/>
              </w:rPr>
              <w:t>04</w:t>
            </w:r>
          </w:p>
        </w:tc>
      </w:tr>
      <w:tr w:rsidR="009F7F10" w:rsidRPr="00F01DEB" w:rsidTr="009F7F10">
        <w:trPr>
          <w:trHeight w:val="255"/>
        </w:trPr>
        <w:tc>
          <w:tcPr>
            <w:tcW w:w="480"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0.953</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0.426</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0.349</w:t>
            </w:r>
          </w:p>
        </w:tc>
        <w:tc>
          <w:tcPr>
            <w:tcW w:w="833"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-2.207</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0.102</w:t>
            </w:r>
          </w:p>
        </w:tc>
        <w:tc>
          <w:tcPr>
            <w:tcW w:w="6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0.116</w:t>
            </w:r>
          </w:p>
        </w:tc>
        <w:tc>
          <w:tcPr>
            <w:tcW w:w="539"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376</w:t>
            </w:r>
          </w:p>
        </w:tc>
        <w:tc>
          <w:tcPr>
            <w:tcW w:w="766" w:type="dxa"/>
            <w:tcBorders>
              <w:top w:val="nil"/>
              <w:left w:val="nil"/>
              <w:bottom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w:t>
            </w:r>
          </w:p>
        </w:tc>
      </w:tr>
      <w:tr w:rsidR="009F7F10" w:rsidRPr="00F01DEB" w:rsidTr="00BA0B92">
        <w:trPr>
          <w:trHeight w:val="255"/>
        </w:trPr>
        <w:tc>
          <w:tcPr>
            <w:tcW w:w="480"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0.081</w:t>
            </w:r>
          </w:p>
        </w:tc>
        <w:tc>
          <w:tcPr>
            <w:tcW w:w="666"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398</w:t>
            </w:r>
          </w:p>
        </w:tc>
        <w:tc>
          <w:tcPr>
            <w:tcW w:w="766" w:type="dxa"/>
            <w:tcBorders>
              <w:top w:val="nil"/>
              <w:left w:val="nil"/>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0.004</w:t>
            </w:r>
          </w:p>
        </w:tc>
      </w:tr>
      <w:tr w:rsidR="009F7F10" w:rsidRPr="00F01DEB" w:rsidTr="00BA0B92">
        <w:trPr>
          <w:trHeight w:val="255"/>
        </w:trPr>
        <w:tc>
          <w:tcPr>
            <w:tcW w:w="480"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-0.647</w:t>
            </w:r>
          </w:p>
        </w:tc>
        <w:tc>
          <w:tcPr>
            <w:tcW w:w="666"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-0.314</w:t>
            </w:r>
          </w:p>
        </w:tc>
        <w:tc>
          <w:tcPr>
            <w:tcW w:w="666"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0.044</w:t>
            </w:r>
          </w:p>
        </w:tc>
        <w:tc>
          <w:tcPr>
            <w:tcW w:w="666"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539"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398</w:t>
            </w:r>
          </w:p>
        </w:tc>
        <w:tc>
          <w:tcPr>
            <w:tcW w:w="766" w:type="dxa"/>
            <w:tcBorders>
              <w:top w:val="nil"/>
              <w:left w:val="nil"/>
              <w:bottom w:val="single" w:sz="4" w:space="0" w:color="auto"/>
              <w:right w:val="nil"/>
            </w:tcBorders>
            <w:shd w:val="clear" w:color="auto" w:fill="auto"/>
            <w:noWrap/>
            <w:vAlign w:val="bottom"/>
            <w:hideMark/>
          </w:tcPr>
          <w:p w:rsidR="009F7F10" w:rsidRPr="00F01DEB" w:rsidRDefault="009F7F10"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0.49</w:t>
            </w:r>
          </w:p>
        </w:tc>
      </w:tr>
    </w:tbl>
    <w:p w:rsidR="00BA0B92" w:rsidRPr="00F01DEB" w:rsidRDefault="00BA0B92"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Notes</w:t>
      </w:r>
    </w:p>
    <w:p w:rsidR="00BA0B92" w:rsidRPr="00F01DEB" w:rsidRDefault="00BA0B92"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TQ is Tobin’s Q = (market value of equity + total assets - equity) / total assets</w:t>
      </w:r>
    </w:p>
    <w:p w:rsidR="00BA0B92" w:rsidRPr="00F01DEB" w:rsidRDefault="00BA0B92"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Prof is profitability = operating income / total assets</w:t>
      </w:r>
    </w:p>
    <w:p w:rsidR="00BA0B92" w:rsidRPr="00F01DEB" w:rsidRDefault="00BA0B92"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CCC is cash conversion cycle = accounts receivables days + inventory days - accounts payables days</w:t>
      </w:r>
    </w:p>
    <w:p w:rsidR="00BA0B92" w:rsidRPr="00F01DEB" w:rsidRDefault="00BA0B92"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DR is debt ratio = debt / total assets</w:t>
      </w:r>
    </w:p>
    <w:p w:rsidR="00BA0B92" w:rsidRPr="00F01DEB" w:rsidRDefault="00BA0B92"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Size = log (sales)</w:t>
      </w:r>
    </w:p>
    <w:p w:rsidR="00BA0B92" w:rsidRPr="00F01DEB" w:rsidRDefault="00BA0B92"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 Since we have a cross-sectional data, heteroscedasticity was found to be significant. And since it is of unknown form, it was corrected by using White’s (1980) consistent covariance matrix</w:t>
      </w:r>
    </w:p>
    <w:p w:rsidR="00BA0B92" w:rsidRPr="00F01DEB" w:rsidRDefault="00BA0B92" w:rsidP="00F01DEB">
      <w:pPr>
        <w:bidi w:val="0"/>
        <w:spacing w:line="240" w:lineRule="auto"/>
        <w:rPr>
          <w:rFonts w:ascii="Times New Roman" w:hAnsi="Times New Roman" w:cs="Times New Roman"/>
        </w:rPr>
      </w:pPr>
      <w:r w:rsidRPr="00F01DEB">
        <w:rPr>
          <w:rFonts w:ascii="Times New Roman" w:hAnsi="Times New Roman" w:cs="Times New Roman"/>
        </w:rPr>
        <w:t>Table (4) shows the results of regressing corporate profitability of</w:t>
      </w:r>
      <w:r w:rsidR="000A61AB" w:rsidRPr="00F01DEB">
        <w:rPr>
          <w:rFonts w:ascii="Times New Roman" w:hAnsi="Times New Roman" w:cs="Times New Roman"/>
        </w:rPr>
        <w:t xml:space="preserve"> Emirates nonfinancial firms on their cash conversion cycle. </w:t>
      </w:r>
      <w:r w:rsidRPr="00F01DEB">
        <w:rPr>
          <w:rFonts w:ascii="Times New Roman" w:hAnsi="Times New Roman" w:cs="Times New Roman"/>
        </w:rPr>
        <w:t xml:space="preserve"> </w:t>
      </w:r>
      <w:proofErr w:type="gramStart"/>
      <w:r w:rsidR="0061182C" w:rsidRPr="00F01DEB">
        <w:rPr>
          <w:rFonts w:ascii="Times New Roman" w:hAnsi="Times New Roman" w:cs="Times New Roman"/>
        </w:rPr>
        <w:t>Similar to</w:t>
      </w:r>
      <w:proofErr w:type="gramEnd"/>
      <w:r w:rsidR="0061182C" w:rsidRPr="00F01DEB">
        <w:rPr>
          <w:rFonts w:ascii="Times New Roman" w:hAnsi="Times New Roman" w:cs="Times New Roman"/>
        </w:rPr>
        <w:t xml:space="preserve"> the previous results, table</w:t>
      </w:r>
      <w:r w:rsidR="00D940D8" w:rsidRPr="00F01DEB">
        <w:rPr>
          <w:rFonts w:ascii="Times New Roman" w:hAnsi="Times New Roman" w:cs="Times New Roman"/>
        </w:rPr>
        <w:t xml:space="preserve"> (4)</w:t>
      </w:r>
      <w:r w:rsidR="0061182C" w:rsidRPr="00F01DEB">
        <w:rPr>
          <w:rFonts w:ascii="Times New Roman" w:hAnsi="Times New Roman" w:cs="Times New Roman"/>
        </w:rPr>
        <w:t xml:space="preserve"> shows a trivial influence, if any, of the efficiency of working capital </w:t>
      </w:r>
      <w:r w:rsidR="00D940D8" w:rsidRPr="00F01DEB">
        <w:rPr>
          <w:rFonts w:ascii="Times New Roman" w:hAnsi="Times New Roman" w:cs="Times New Roman"/>
        </w:rPr>
        <w:t xml:space="preserve">management </w:t>
      </w:r>
      <w:r w:rsidR="0061182C" w:rsidRPr="00F01DEB">
        <w:rPr>
          <w:rFonts w:ascii="Times New Roman" w:hAnsi="Times New Roman" w:cs="Times New Roman"/>
        </w:rPr>
        <w:t xml:space="preserve">on corporate profitability.  That is, only when considering the accounting profitability and without adding the control variables, if the cash conversion cycle declines by 1 day, the operating income on assets tends to rise by </w:t>
      </w:r>
      <w:r w:rsidR="00D940D8" w:rsidRPr="00F01DEB">
        <w:rPr>
          <w:rFonts w:ascii="Times New Roman" w:hAnsi="Times New Roman" w:cs="Times New Roman"/>
        </w:rPr>
        <w:t>0.0001 (i.e. 0.01%), which is numerically insignificant.</w:t>
      </w:r>
    </w:p>
    <w:p w:rsidR="00BA0B92" w:rsidRPr="00F01DEB" w:rsidRDefault="000A61AB"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Table (4) shows the effect of working capital efficiency on Emirates corporate performance </w:t>
      </w:r>
    </w:p>
    <w:tbl>
      <w:tblPr>
        <w:tblW w:w="8539" w:type="dxa"/>
        <w:tblLook w:val="04A0" w:firstRow="1" w:lastRow="0" w:firstColumn="1" w:lastColumn="0" w:noHBand="0" w:noVBand="1"/>
      </w:tblPr>
      <w:tblGrid>
        <w:gridCol w:w="400"/>
        <w:gridCol w:w="944"/>
        <w:gridCol w:w="833"/>
        <w:gridCol w:w="666"/>
        <w:gridCol w:w="833"/>
        <w:gridCol w:w="666"/>
        <w:gridCol w:w="833"/>
        <w:gridCol w:w="666"/>
        <w:gridCol w:w="833"/>
        <w:gridCol w:w="666"/>
        <w:gridCol w:w="539"/>
        <w:gridCol w:w="660"/>
      </w:tblGrid>
      <w:tr w:rsidR="000A61AB" w:rsidRPr="00F01DEB" w:rsidTr="00B91342">
        <w:trPr>
          <w:trHeight w:val="255"/>
        </w:trPr>
        <w:tc>
          <w:tcPr>
            <w:tcW w:w="400"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944"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w:t>
            </w:r>
          </w:p>
        </w:tc>
        <w:tc>
          <w:tcPr>
            <w:tcW w:w="666"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CCC</w:t>
            </w:r>
          </w:p>
        </w:tc>
        <w:tc>
          <w:tcPr>
            <w:tcW w:w="666"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DR</w:t>
            </w:r>
          </w:p>
        </w:tc>
        <w:tc>
          <w:tcPr>
            <w:tcW w:w="666"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Size</w:t>
            </w:r>
          </w:p>
        </w:tc>
        <w:tc>
          <w:tcPr>
            <w:tcW w:w="666"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539"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Obs</w:t>
            </w:r>
            <w:proofErr w:type="spellEnd"/>
          </w:p>
        </w:tc>
        <w:tc>
          <w:tcPr>
            <w:tcW w:w="660" w:type="dxa"/>
            <w:tcBorders>
              <w:top w:val="single" w:sz="4" w:space="0" w:color="auto"/>
              <w:left w:val="nil"/>
              <w:bottom w:val="single" w:sz="4" w:space="0" w:color="auto"/>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Adj</w:t>
            </w:r>
            <w:proofErr w:type="spellEnd"/>
            <w:r w:rsidRPr="00F01DEB">
              <w:rPr>
                <w:rFonts w:ascii="Times New Roman" w:eastAsia="Times New Roman" w:hAnsi="Times New Roman" w:cs="Times New Roman"/>
                <w:color w:val="000000"/>
                <w:sz w:val="20"/>
                <w:szCs w:val="20"/>
              </w:rPr>
              <w:t xml:space="preserve"> R2</w:t>
            </w:r>
          </w:p>
        </w:tc>
      </w:tr>
      <w:tr w:rsidR="000A61AB" w:rsidRPr="00F01DEB" w:rsidTr="00B91342">
        <w:trPr>
          <w:trHeight w:val="255"/>
        </w:trPr>
        <w:tc>
          <w:tcPr>
            <w:tcW w:w="400"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2998" w:type="dxa"/>
            <w:gridSpan w:val="4"/>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Fixed Effect Model</w:t>
            </w:r>
          </w:p>
        </w:tc>
        <w:tc>
          <w:tcPr>
            <w:tcW w:w="666"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color w:val="000000"/>
                <w:sz w:val="20"/>
                <w:szCs w:val="20"/>
              </w:rPr>
            </w:pPr>
          </w:p>
        </w:tc>
        <w:tc>
          <w:tcPr>
            <w:tcW w:w="833"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666"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539"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660" w:type="dxa"/>
            <w:tcBorders>
              <w:top w:val="single" w:sz="4" w:space="0" w:color="auto"/>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r>
      <w:tr w:rsidR="000A61AB" w:rsidRPr="00F01DEB" w:rsidTr="00B91342">
        <w:trPr>
          <w:trHeight w:val="255"/>
        </w:trPr>
        <w:tc>
          <w:tcPr>
            <w:tcW w:w="40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0.011</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184</w:t>
            </w:r>
          </w:p>
        </w:tc>
        <w:tc>
          <w:tcPr>
            <w:tcW w:w="66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0.53</w:t>
            </w:r>
          </w:p>
        </w:tc>
      </w:tr>
      <w:tr w:rsidR="000A61AB" w:rsidRPr="00F01DEB" w:rsidTr="00B91342">
        <w:trPr>
          <w:trHeight w:val="255"/>
        </w:trPr>
        <w:tc>
          <w:tcPr>
            <w:tcW w:w="40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0.387</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1.004</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-0.081</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0.426</w:t>
            </w:r>
          </w:p>
        </w:tc>
        <w:tc>
          <w:tcPr>
            <w:tcW w:w="539"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184</w:t>
            </w:r>
          </w:p>
        </w:tc>
        <w:tc>
          <w:tcPr>
            <w:tcW w:w="66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0.92</w:t>
            </w:r>
          </w:p>
        </w:tc>
      </w:tr>
      <w:tr w:rsidR="000A61AB" w:rsidRPr="00F01DEB" w:rsidTr="00B91342">
        <w:trPr>
          <w:trHeight w:val="255"/>
        </w:trPr>
        <w:tc>
          <w:tcPr>
            <w:tcW w:w="40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0.649</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196</w:t>
            </w:r>
          </w:p>
        </w:tc>
        <w:tc>
          <w:tcPr>
            <w:tcW w:w="66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0.52</w:t>
            </w:r>
          </w:p>
        </w:tc>
      </w:tr>
      <w:tr w:rsidR="000A61AB" w:rsidRPr="00F01DEB" w:rsidTr="00B91342">
        <w:trPr>
          <w:trHeight w:val="255"/>
        </w:trPr>
        <w:tc>
          <w:tcPr>
            <w:tcW w:w="40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0.164</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-0.133</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0.005</w:t>
            </w: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0.106</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0.057</w:t>
            </w:r>
          </w:p>
        </w:tc>
        <w:tc>
          <w:tcPr>
            <w:tcW w:w="539"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196</w:t>
            </w:r>
          </w:p>
        </w:tc>
        <w:tc>
          <w:tcPr>
            <w:tcW w:w="66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0.66</w:t>
            </w:r>
          </w:p>
        </w:tc>
      </w:tr>
      <w:tr w:rsidR="000A61AB" w:rsidRPr="00F01DEB" w:rsidTr="00B91342">
        <w:trPr>
          <w:trHeight w:val="255"/>
        </w:trPr>
        <w:tc>
          <w:tcPr>
            <w:tcW w:w="40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2998" w:type="dxa"/>
            <w:gridSpan w:val="4"/>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Variable Effect Model</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color w:val="000000"/>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r>
      <w:tr w:rsidR="00B91342" w:rsidRPr="00F01DEB" w:rsidTr="00B91342">
        <w:trPr>
          <w:trHeight w:val="255"/>
        </w:trPr>
        <w:tc>
          <w:tcPr>
            <w:tcW w:w="4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1.059</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184</w:t>
            </w:r>
          </w:p>
        </w:tc>
        <w:tc>
          <w:tcPr>
            <w:tcW w:w="66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0.51</w:t>
            </w:r>
          </w:p>
        </w:tc>
      </w:tr>
      <w:tr w:rsidR="00B91342" w:rsidRPr="00F01DEB" w:rsidTr="00B91342">
        <w:trPr>
          <w:trHeight w:val="255"/>
        </w:trPr>
        <w:tc>
          <w:tcPr>
            <w:tcW w:w="4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0.278</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0.664</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0.926</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0.991</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0.016</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0.641</w:t>
            </w:r>
          </w:p>
        </w:tc>
        <w:tc>
          <w:tcPr>
            <w:tcW w:w="539"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184</w:t>
            </w:r>
          </w:p>
        </w:tc>
        <w:tc>
          <w:tcPr>
            <w:tcW w:w="66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0.91</w:t>
            </w:r>
          </w:p>
        </w:tc>
      </w:tr>
      <w:tr w:rsidR="00B91342" w:rsidRPr="00F01DEB" w:rsidTr="00B91342">
        <w:trPr>
          <w:trHeight w:val="255"/>
        </w:trPr>
        <w:tc>
          <w:tcPr>
            <w:tcW w:w="4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0.007</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0.961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196</w:t>
            </w:r>
          </w:p>
        </w:tc>
        <w:tc>
          <w:tcPr>
            <w:tcW w:w="66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B91342" w:rsidRPr="00F01DEB" w:rsidTr="00B91342">
        <w:trPr>
          <w:trHeight w:val="255"/>
        </w:trPr>
        <w:tc>
          <w:tcPr>
            <w:tcW w:w="4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-0.676</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0.005</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-0.207</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0.040</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539"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196</w:t>
            </w:r>
          </w:p>
        </w:tc>
        <w:tc>
          <w:tcPr>
            <w:tcW w:w="66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0.56</w:t>
            </w:r>
          </w:p>
        </w:tc>
      </w:tr>
      <w:tr w:rsidR="000A61AB" w:rsidRPr="00F01DEB" w:rsidTr="00B91342">
        <w:trPr>
          <w:trHeight w:val="255"/>
        </w:trPr>
        <w:tc>
          <w:tcPr>
            <w:tcW w:w="40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2998" w:type="dxa"/>
            <w:gridSpan w:val="4"/>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Pooled Model</w:t>
            </w: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color w:val="000000"/>
                <w:sz w:val="20"/>
                <w:szCs w:val="20"/>
              </w:rPr>
            </w:pPr>
          </w:p>
        </w:tc>
        <w:tc>
          <w:tcPr>
            <w:tcW w:w="833"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0A61AB" w:rsidRPr="00F01DEB" w:rsidRDefault="000A61AB" w:rsidP="00F01DEB">
            <w:pPr>
              <w:bidi w:val="0"/>
              <w:spacing w:after="0" w:line="240" w:lineRule="auto"/>
              <w:rPr>
                <w:rFonts w:ascii="Times New Roman" w:eastAsia="Times New Roman" w:hAnsi="Times New Roman" w:cs="Times New Roman"/>
                <w:sz w:val="20"/>
                <w:szCs w:val="20"/>
              </w:rPr>
            </w:pPr>
          </w:p>
        </w:tc>
      </w:tr>
      <w:tr w:rsidR="00B91342" w:rsidRPr="00F01DEB" w:rsidTr="00B91342">
        <w:trPr>
          <w:trHeight w:val="255"/>
        </w:trPr>
        <w:tc>
          <w:tcPr>
            <w:tcW w:w="4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1.056</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184</w:t>
            </w:r>
          </w:p>
        </w:tc>
        <w:tc>
          <w:tcPr>
            <w:tcW w:w="66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0.46</w:t>
            </w:r>
          </w:p>
        </w:tc>
      </w:tr>
      <w:tr w:rsidR="00B91342" w:rsidRPr="00F01DEB" w:rsidTr="00B91342">
        <w:trPr>
          <w:trHeight w:val="255"/>
        </w:trPr>
        <w:tc>
          <w:tcPr>
            <w:tcW w:w="4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0.275</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0.531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0.505</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0.933</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0.017</w:t>
            </w:r>
          </w:p>
        </w:tc>
        <w:tc>
          <w:tcPr>
            <w:tcW w:w="666"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0.435</w:t>
            </w:r>
          </w:p>
        </w:tc>
        <w:tc>
          <w:tcPr>
            <w:tcW w:w="539"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184</w:t>
            </w:r>
          </w:p>
        </w:tc>
        <w:tc>
          <w:tcPr>
            <w:tcW w:w="66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0.83</w:t>
            </w:r>
          </w:p>
        </w:tc>
      </w:tr>
      <w:tr w:rsidR="00B91342" w:rsidRPr="00F01DEB" w:rsidTr="00B91342">
        <w:trPr>
          <w:trHeight w:val="255"/>
        </w:trPr>
        <w:tc>
          <w:tcPr>
            <w:tcW w:w="400"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-0.006</w:t>
            </w:r>
          </w:p>
        </w:tc>
        <w:tc>
          <w:tcPr>
            <w:tcW w:w="666"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0.747</w:t>
            </w:r>
          </w:p>
        </w:tc>
        <w:tc>
          <w:tcPr>
            <w:tcW w:w="833"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w:t>
            </w:r>
          </w:p>
        </w:tc>
        <w:tc>
          <w:tcPr>
            <w:tcW w:w="833"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196</w:t>
            </w:r>
          </w:p>
        </w:tc>
        <w:tc>
          <w:tcPr>
            <w:tcW w:w="660"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0.21</w:t>
            </w:r>
          </w:p>
        </w:tc>
      </w:tr>
      <w:tr w:rsidR="00B91342" w:rsidRPr="00F01DEB" w:rsidTr="00B91342">
        <w:trPr>
          <w:trHeight w:val="255"/>
        </w:trPr>
        <w:tc>
          <w:tcPr>
            <w:tcW w:w="400"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-0.797</w:t>
            </w:r>
          </w:p>
        </w:tc>
        <w:tc>
          <w:tcPr>
            <w:tcW w:w="666"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0.030</w:t>
            </w:r>
          </w:p>
        </w:tc>
        <w:tc>
          <w:tcPr>
            <w:tcW w:w="833"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0.347</w:t>
            </w:r>
          </w:p>
        </w:tc>
        <w:tc>
          <w:tcPr>
            <w:tcW w:w="833"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-0.186</w:t>
            </w:r>
          </w:p>
        </w:tc>
        <w:tc>
          <w:tcPr>
            <w:tcW w:w="666"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0.005</w:t>
            </w:r>
          </w:p>
        </w:tc>
        <w:tc>
          <w:tcPr>
            <w:tcW w:w="833"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0.046</w:t>
            </w:r>
          </w:p>
        </w:tc>
        <w:tc>
          <w:tcPr>
            <w:tcW w:w="666"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0.018</w:t>
            </w:r>
          </w:p>
        </w:tc>
        <w:tc>
          <w:tcPr>
            <w:tcW w:w="539"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196</w:t>
            </w:r>
          </w:p>
        </w:tc>
        <w:tc>
          <w:tcPr>
            <w:tcW w:w="660"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0.62</w:t>
            </w:r>
          </w:p>
        </w:tc>
      </w:tr>
    </w:tbl>
    <w:p w:rsidR="000A61AB" w:rsidRPr="00F01DEB" w:rsidRDefault="000A61AB"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Notes</w:t>
      </w:r>
    </w:p>
    <w:p w:rsidR="000A61AB" w:rsidRPr="00F01DEB" w:rsidRDefault="000A61A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TQ is Tobin’s Q = (market value of equity + total assets - equity) / total assets</w:t>
      </w:r>
    </w:p>
    <w:p w:rsidR="000A61AB" w:rsidRPr="00F01DEB" w:rsidRDefault="000A61A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Prof is profitability = operating income / total assets</w:t>
      </w:r>
    </w:p>
    <w:p w:rsidR="000A61AB" w:rsidRPr="00F01DEB" w:rsidRDefault="000A61A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CCC is cash conversion cycle = accounts receivables days + inventory days - accounts payables days</w:t>
      </w:r>
    </w:p>
    <w:p w:rsidR="000A61AB" w:rsidRPr="00F01DEB" w:rsidRDefault="000A61A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DR is debt ratio = debt / total assets</w:t>
      </w:r>
    </w:p>
    <w:p w:rsidR="000A61AB" w:rsidRPr="00F01DEB" w:rsidRDefault="000A61A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Size = log (sales)</w:t>
      </w:r>
    </w:p>
    <w:p w:rsidR="00BA0B92" w:rsidRPr="00F01DEB" w:rsidRDefault="000A61AB"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Since we have a cross-sectional data, heteroscedasticity was found to be significant. And since it is of unknown form, it was corrected by using White’s (1980) consistent covariance matrix</w:t>
      </w:r>
    </w:p>
    <w:p w:rsidR="008F5747" w:rsidRPr="00F01DEB" w:rsidRDefault="008F5747" w:rsidP="00F01DEB">
      <w:pPr>
        <w:bidi w:val="0"/>
        <w:spacing w:line="240" w:lineRule="auto"/>
        <w:rPr>
          <w:rFonts w:ascii="Times New Roman" w:hAnsi="Times New Roman" w:cs="Times New Roman"/>
        </w:rPr>
      </w:pPr>
    </w:p>
    <w:p w:rsidR="00BA0B92" w:rsidRPr="00F01DEB" w:rsidRDefault="008F5747" w:rsidP="00F01DEB">
      <w:pPr>
        <w:bidi w:val="0"/>
        <w:spacing w:line="240" w:lineRule="auto"/>
        <w:rPr>
          <w:rFonts w:ascii="Times New Roman" w:hAnsi="Times New Roman" w:cs="Times New Roman"/>
        </w:rPr>
      </w:pPr>
      <w:r w:rsidRPr="00F01DEB">
        <w:rPr>
          <w:rFonts w:ascii="Times New Roman" w:hAnsi="Times New Roman" w:cs="Times New Roman"/>
        </w:rPr>
        <w:t xml:space="preserve">The control variables almost have the correct sign in all regressions. </w:t>
      </w:r>
      <w:r w:rsidR="00C11EC0" w:rsidRPr="00F01DEB">
        <w:rPr>
          <w:rFonts w:ascii="Times New Roman" w:hAnsi="Times New Roman" w:cs="Times New Roman"/>
        </w:rPr>
        <w:t>Hence, in Emirates, it appears that there is a minimal effect of the cash conversion cycle on profitability</w:t>
      </w:r>
      <w:r w:rsidR="00A423B0" w:rsidRPr="00F01DEB">
        <w:rPr>
          <w:rFonts w:ascii="Times New Roman" w:hAnsi="Times New Roman" w:cs="Times New Roman"/>
        </w:rPr>
        <w:t>.</w:t>
      </w:r>
    </w:p>
    <w:p w:rsidR="00B91342" w:rsidRPr="00F01DEB" w:rsidRDefault="008F5747" w:rsidP="00F01DEB">
      <w:pPr>
        <w:bidi w:val="0"/>
        <w:spacing w:line="240" w:lineRule="auto"/>
        <w:rPr>
          <w:rFonts w:ascii="Times New Roman" w:hAnsi="Times New Roman" w:cs="Times New Roman"/>
        </w:rPr>
      </w:pPr>
      <w:r w:rsidRPr="00F01DEB">
        <w:rPr>
          <w:rFonts w:ascii="Times New Roman" w:hAnsi="Times New Roman" w:cs="Times New Roman"/>
        </w:rPr>
        <w:t xml:space="preserve">Table (5) shows the results of testing the effect of the working capital management efficiency on </w:t>
      </w:r>
      <w:r w:rsidR="003D430D" w:rsidRPr="00F01DEB">
        <w:rPr>
          <w:rFonts w:ascii="Times New Roman" w:hAnsi="Times New Roman" w:cs="Times New Roman"/>
        </w:rPr>
        <w:t>Qatari</w:t>
      </w:r>
      <w:r w:rsidRPr="00F01DEB">
        <w:rPr>
          <w:rFonts w:ascii="Times New Roman" w:hAnsi="Times New Roman" w:cs="Times New Roman"/>
        </w:rPr>
        <w:t xml:space="preserve"> corporate profitability. Except for the pooled model, all regressions yield significant results in terms of the statistical significance</w:t>
      </w:r>
      <w:r w:rsidR="003D430D" w:rsidRPr="00F01DEB">
        <w:rPr>
          <w:rFonts w:ascii="Times New Roman" w:hAnsi="Times New Roman" w:cs="Times New Roman"/>
        </w:rPr>
        <w:t xml:space="preserve"> of the effect of cash conversion cycle on corporate performance</w:t>
      </w:r>
      <w:r w:rsidRPr="00F01DEB">
        <w:rPr>
          <w:rFonts w:ascii="Times New Roman" w:hAnsi="Times New Roman" w:cs="Times New Roman"/>
        </w:rPr>
        <w:t xml:space="preserve">. Nevertheless, the magnitude of the effect of the cash conversion cycle is trifling.  For the pooled model, </w:t>
      </w:r>
      <w:r w:rsidR="003D430D" w:rsidRPr="00F01DEB">
        <w:rPr>
          <w:rFonts w:ascii="Times New Roman" w:hAnsi="Times New Roman" w:cs="Times New Roman"/>
        </w:rPr>
        <w:t>the effect is significant</w:t>
      </w:r>
      <w:r w:rsidR="00C11EC0" w:rsidRPr="00F01DEB">
        <w:rPr>
          <w:rFonts w:ascii="Times New Roman" w:hAnsi="Times New Roman" w:cs="Times New Roman"/>
        </w:rPr>
        <w:t>,</w:t>
      </w:r>
      <w:r w:rsidR="003D430D" w:rsidRPr="00F01DEB">
        <w:rPr>
          <w:rFonts w:ascii="Times New Roman" w:hAnsi="Times New Roman" w:cs="Times New Roman"/>
        </w:rPr>
        <w:t xml:space="preserve"> except </w:t>
      </w:r>
      <w:r w:rsidRPr="00F01DEB">
        <w:rPr>
          <w:rFonts w:ascii="Times New Roman" w:hAnsi="Times New Roman" w:cs="Times New Roman"/>
        </w:rPr>
        <w:t xml:space="preserve">when adding the control variables to the model, the results become insignificant. </w:t>
      </w:r>
      <w:r w:rsidR="003D430D" w:rsidRPr="00F01DEB">
        <w:rPr>
          <w:rFonts w:ascii="Times New Roman" w:hAnsi="Times New Roman" w:cs="Times New Roman"/>
        </w:rPr>
        <w:t xml:space="preserve">In addition, the effect of the control variables is insignificant </w:t>
      </w:r>
      <w:r w:rsidR="009F5E30" w:rsidRPr="00F01DEB">
        <w:rPr>
          <w:rFonts w:ascii="Times New Roman" w:hAnsi="Times New Roman" w:cs="Times New Roman"/>
        </w:rPr>
        <w:t xml:space="preserve">when considering the market based performance versus the accounting based performance measure which shows significant results. </w:t>
      </w:r>
      <w:r w:rsidR="003D430D" w:rsidRPr="00F01DEB">
        <w:rPr>
          <w:rFonts w:ascii="Times New Roman" w:hAnsi="Times New Roman" w:cs="Times New Roman"/>
        </w:rPr>
        <w:t>The conclusion of this table is that the efficiency of the working capital management is not effective in terms of its significant influence on firm performance.</w:t>
      </w:r>
    </w:p>
    <w:p w:rsidR="00B91342" w:rsidRPr="00F01DEB" w:rsidRDefault="00016C03"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Table (5) shows the effect of working capital efficiency on Qatari corporate performance </w:t>
      </w:r>
    </w:p>
    <w:tbl>
      <w:tblPr>
        <w:tblW w:w="8984" w:type="dxa"/>
        <w:tblLook w:val="04A0" w:firstRow="1" w:lastRow="0" w:firstColumn="1" w:lastColumn="0" w:noHBand="0" w:noVBand="1"/>
      </w:tblPr>
      <w:tblGrid>
        <w:gridCol w:w="500"/>
        <w:gridCol w:w="944"/>
        <w:gridCol w:w="166"/>
        <w:gridCol w:w="667"/>
        <w:gridCol w:w="161"/>
        <w:gridCol w:w="505"/>
        <w:gridCol w:w="161"/>
        <w:gridCol w:w="672"/>
        <w:gridCol w:w="335"/>
        <w:gridCol w:w="491"/>
        <w:gridCol w:w="175"/>
        <w:gridCol w:w="658"/>
        <w:gridCol w:w="183"/>
        <w:gridCol w:w="483"/>
        <w:gridCol w:w="15"/>
        <w:gridCol w:w="168"/>
        <w:gridCol w:w="650"/>
        <w:gridCol w:w="185"/>
        <w:gridCol w:w="481"/>
        <w:gridCol w:w="185"/>
        <w:gridCol w:w="354"/>
        <w:gridCol w:w="185"/>
        <w:gridCol w:w="475"/>
        <w:gridCol w:w="185"/>
      </w:tblGrid>
      <w:tr w:rsidR="00B91342" w:rsidRPr="00F01DEB" w:rsidTr="00016C03">
        <w:trPr>
          <w:gridAfter w:val="1"/>
          <w:wAfter w:w="185" w:type="dxa"/>
          <w:trHeight w:val="255"/>
        </w:trPr>
        <w:tc>
          <w:tcPr>
            <w:tcW w:w="500" w:type="dxa"/>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944" w:type="dxa"/>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833"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w:t>
            </w:r>
          </w:p>
        </w:tc>
        <w:tc>
          <w:tcPr>
            <w:tcW w:w="666"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CCC</w:t>
            </w:r>
          </w:p>
        </w:tc>
        <w:tc>
          <w:tcPr>
            <w:tcW w:w="826"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DR</w:t>
            </w:r>
          </w:p>
        </w:tc>
        <w:tc>
          <w:tcPr>
            <w:tcW w:w="666"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gridSpan w:val="3"/>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Size</w:t>
            </w:r>
          </w:p>
        </w:tc>
        <w:tc>
          <w:tcPr>
            <w:tcW w:w="666"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539"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Obs</w:t>
            </w:r>
            <w:proofErr w:type="spellEnd"/>
          </w:p>
        </w:tc>
        <w:tc>
          <w:tcPr>
            <w:tcW w:w="660" w:type="dxa"/>
            <w:gridSpan w:val="2"/>
            <w:tcBorders>
              <w:top w:val="single" w:sz="4" w:space="0" w:color="auto"/>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Adj</w:t>
            </w:r>
            <w:proofErr w:type="spellEnd"/>
            <w:r w:rsidRPr="00F01DEB">
              <w:rPr>
                <w:rFonts w:ascii="Times New Roman" w:eastAsia="Times New Roman" w:hAnsi="Times New Roman" w:cs="Times New Roman"/>
                <w:color w:val="000000"/>
                <w:sz w:val="20"/>
                <w:szCs w:val="20"/>
              </w:rPr>
              <w:t xml:space="preserve"> R2</w:t>
            </w:r>
          </w:p>
        </w:tc>
      </w:tr>
      <w:tr w:rsidR="00B91342" w:rsidRPr="00F01DEB" w:rsidTr="00016C03">
        <w:trPr>
          <w:gridAfter w:val="1"/>
          <w:wAfter w:w="185" w:type="dxa"/>
          <w:trHeight w:val="255"/>
        </w:trPr>
        <w:tc>
          <w:tcPr>
            <w:tcW w:w="500" w:type="dxa"/>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833" w:type="dxa"/>
            <w:gridSpan w:val="2"/>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gridSpan w:val="2"/>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3173" w:type="dxa"/>
            <w:gridSpan w:val="9"/>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Fixed Effect Model</w:t>
            </w:r>
          </w:p>
        </w:tc>
        <w:tc>
          <w:tcPr>
            <w:tcW w:w="818" w:type="dxa"/>
            <w:gridSpan w:val="2"/>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p>
        </w:tc>
        <w:tc>
          <w:tcPr>
            <w:tcW w:w="666" w:type="dxa"/>
            <w:gridSpan w:val="2"/>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539" w:type="dxa"/>
            <w:gridSpan w:val="2"/>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660" w:type="dxa"/>
            <w:gridSpan w:val="2"/>
            <w:tcBorders>
              <w:top w:val="single" w:sz="4" w:space="0" w:color="auto"/>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r>
      <w:tr w:rsidR="00B91342" w:rsidRPr="00F01DEB" w:rsidTr="00B91342">
        <w:trPr>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111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28"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1007"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0.035</w:t>
            </w:r>
          </w:p>
        </w:tc>
        <w:tc>
          <w:tcPr>
            <w:tcW w:w="841"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5"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0.73</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09</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0.085</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0.406</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0.487</w:t>
            </w: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0.116</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0.492</w:t>
            </w: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0.72</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0.045</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0.53</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0.362</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0.100</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0.065</w:t>
            </w: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0.049</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0.018</w:t>
            </w: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0.68</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3173" w:type="dxa"/>
            <w:gridSpan w:val="9"/>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Variable Effect Model</w:t>
            </w:r>
          </w:p>
        </w:tc>
        <w:tc>
          <w:tcPr>
            <w:tcW w:w="818"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1.896</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0.031</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0.73</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-0.241</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0.918</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09</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0.059</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0.246</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0.610</w:t>
            </w: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0.103</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0.381</w:t>
            </w: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0.74</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0.087</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0.085</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0.54</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-0.444</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0.034</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0.158</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0.084</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0.059</w:t>
            </w: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0.025</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0.017</w:t>
            </w: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0.62</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3173" w:type="dxa"/>
            <w:gridSpan w:val="9"/>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Pooled Model</w:t>
            </w:r>
          </w:p>
        </w:tc>
        <w:tc>
          <w:tcPr>
            <w:tcW w:w="818"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1.885</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0.184</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0.420</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B91342" w:rsidRPr="00F01DEB" w:rsidTr="00B91342">
        <w:trPr>
          <w:gridAfter w:val="1"/>
          <w:wAfter w:w="185" w:type="dxa"/>
          <w:trHeight w:val="255"/>
        </w:trPr>
        <w:tc>
          <w:tcPr>
            <w:tcW w:w="500"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1.483</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0.338</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08</w:t>
            </w:r>
          </w:p>
        </w:tc>
        <w:tc>
          <w:tcPr>
            <w:tcW w:w="82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0.287</w:t>
            </w:r>
          </w:p>
        </w:tc>
        <w:tc>
          <w:tcPr>
            <w:tcW w:w="833"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-0.497</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0.160</w:t>
            </w:r>
          </w:p>
        </w:tc>
        <w:tc>
          <w:tcPr>
            <w:tcW w:w="833" w:type="dxa"/>
            <w:gridSpan w:val="3"/>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0.029</w:t>
            </w:r>
          </w:p>
        </w:tc>
        <w:tc>
          <w:tcPr>
            <w:tcW w:w="666"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0.711</w:t>
            </w:r>
          </w:p>
        </w:tc>
        <w:tc>
          <w:tcPr>
            <w:tcW w:w="539"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B91342" w:rsidRPr="00F01DEB" w:rsidTr="00016C03">
        <w:trPr>
          <w:gridAfter w:val="1"/>
          <w:wAfter w:w="185" w:type="dxa"/>
          <w:trHeight w:val="255"/>
        </w:trPr>
        <w:tc>
          <w:tcPr>
            <w:tcW w:w="500"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0.081</w:t>
            </w:r>
          </w:p>
        </w:tc>
        <w:tc>
          <w:tcPr>
            <w:tcW w:w="666"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826"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0.540</w:t>
            </w:r>
          </w:p>
        </w:tc>
        <w:tc>
          <w:tcPr>
            <w:tcW w:w="833"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666"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833" w:type="dxa"/>
            <w:gridSpan w:val="3"/>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666"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sz w:val="20"/>
                <w:szCs w:val="20"/>
              </w:rPr>
            </w:pPr>
          </w:p>
        </w:tc>
        <w:tc>
          <w:tcPr>
            <w:tcW w:w="539"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B91342" w:rsidRPr="00F01DEB" w:rsidTr="00016C03">
        <w:trPr>
          <w:gridAfter w:val="1"/>
          <w:wAfter w:w="185" w:type="dxa"/>
          <w:trHeight w:val="255"/>
        </w:trPr>
        <w:tc>
          <w:tcPr>
            <w:tcW w:w="500"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0.241</w:t>
            </w:r>
          </w:p>
        </w:tc>
        <w:tc>
          <w:tcPr>
            <w:tcW w:w="666"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0.210</w:t>
            </w:r>
          </w:p>
        </w:tc>
        <w:tc>
          <w:tcPr>
            <w:tcW w:w="833"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826"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0.473</w:t>
            </w:r>
          </w:p>
        </w:tc>
        <w:tc>
          <w:tcPr>
            <w:tcW w:w="833"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-0.019</w:t>
            </w:r>
          </w:p>
        </w:tc>
        <w:tc>
          <w:tcPr>
            <w:tcW w:w="666"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0.491</w:t>
            </w:r>
          </w:p>
        </w:tc>
        <w:tc>
          <w:tcPr>
            <w:tcW w:w="833" w:type="dxa"/>
            <w:gridSpan w:val="3"/>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-0.008</w:t>
            </w:r>
          </w:p>
        </w:tc>
        <w:tc>
          <w:tcPr>
            <w:tcW w:w="666"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0.422</w:t>
            </w:r>
          </w:p>
        </w:tc>
        <w:tc>
          <w:tcPr>
            <w:tcW w:w="539"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54</w:t>
            </w:r>
          </w:p>
        </w:tc>
        <w:tc>
          <w:tcPr>
            <w:tcW w:w="660" w:type="dxa"/>
            <w:gridSpan w:val="2"/>
            <w:tcBorders>
              <w:top w:val="nil"/>
              <w:left w:val="nil"/>
              <w:bottom w:val="single" w:sz="4" w:space="0" w:color="auto"/>
              <w:right w:val="nil"/>
            </w:tcBorders>
            <w:shd w:val="clear" w:color="auto" w:fill="auto"/>
            <w:noWrap/>
            <w:vAlign w:val="bottom"/>
            <w:hideMark/>
          </w:tcPr>
          <w:p w:rsidR="00B91342" w:rsidRPr="00F01DEB" w:rsidRDefault="00B91342"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bl>
    <w:p w:rsidR="00016C03" w:rsidRPr="00F01DEB" w:rsidRDefault="00016C03"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Notes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TQ is Tobin’s Q = (market value of equity + total assets - equity) / total assets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Prof is profitability = operating income / total assets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CCC is cash conversion cycle = accounts receivables days + inventory days - accounts payables days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DR is debt ratio = debt / total assets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Size = log (sales)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Since we have a cross-sectional data, heteroscedasticity was found to be significant. And since it is of unknown form, it was corrected by using White’s (1980) consistent covariance matrix</w:t>
      </w:r>
    </w:p>
    <w:p w:rsidR="00016C03" w:rsidRPr="00F01DEB" w:rsidRDefault="009F5E30" w:rsidP="00F01DEB">
      <w:pPr>
        <w:bidi w:val="0"/>
        <w:spacing w:line="240" w:lineRule="auto"/>
        <w:rPr>
          <w:rFonts w:ascii="Times New Roman" w:hAnsi="Times New Roman" w:cs="Times New Roman"/>
          <w:sz w:val="20"/>
          <w:szCs w:val="20"/>
        </w:rPr>
      </w:pPr>
      <w:r w:rsidRPr="00F01DEB">
        <w:rPr>
          <w:rFonts w:ascii="Times New Roman" w:hAnsi="Times New Roman" w:cs="Times New Roman"/>
        </w:rPr>
        <w:t xml:space="preserve">Table (6) illustrates the results of testing the influence of cash conversion cycle on the performance of the nonfinancial Bahraini firms. The results show that there is no effect at </w:t>
      </w:r>
      <w:proofErr w:type="gramStart"/>
      <w:r w:rsidRPr="00F01DEB">
        <w:rPr>
          <w:rFonts w:ascii="Times New Roman" w:hAnsi="Times New Roman" w:cs="Times New Roman"/>
        </w:rPr>
        <w:t>all of</w:t>
      </w:r>
      <w:proofErr w:type="gramEnd"/>
      <w:r w:rsidRPr="00F01DEB">
        <w:rPr>
          <w:rFonts w:ascii="Times New Roman" w:hAnsi="Times New Roman" w:cs="Times New Roman"/>
        </w:rPr>
        <w:t xml:space="preserve"> the efficiency of the working capital </w:t>
      </w:r>
      <w:r w:rsidR="00A423B0" w:rsidRPr="00F01DEB">
        <w:rPr>
          <w:rFonts w:ascii="Times New Roman" w:hAnsi="Times New Roman" w:cs="Times New Roman"/>
        </w:rPr>
        <w:t xml:space="preserve">management </w:t>
      </w:r>
      <w:r w:rsidRPr="00F01DEB">
        <w:rPr>
          <w:rFonts w:ascii="Times New Roman" w:hAnsi="Times New Roman" w:cs="Times New Roman"/>
        </w:rPr>
        <w:t>on corporate performance, in all models and in all regressions. Also, the predicted effect of the control variables doesn’t exist except in one model. The results in this table confirm the conclusion</w:t>
      </w:r>
      <w:r w:rsidR="0044240B" w:rsidRPr="00F01DEB">
        <w:rPr>
          <w:rFonts w:ascii="Times New Roman" w:hAnsi="Times New Roman" w:cs="Times New Roman"/>
        </w:rPr>
        <w:t>s</w:t>
      </w:r>
      <w:r w:rsidRPr="00F01DEB">
        <w:rPr>
          <w:rFonts w:ascii="Times New Roman" w:hAnsi="Times New Roman" w:cs="Times New Roman"/>
        </w:rPr>
        <w:t xml:space="preserve"> brought up by the previous </w:t>
      </w:r>
      <w:r w:rsidRPr="00F01DEB">
        <w:rPr>
          <w:rFonts w:ascii="Times New Roman" w:hAnsi="Times New Roman" w:cs="Times New Roman"/>
          <w:sz w:val="20"/>
          <w:szCs w:val="20"/>
        </w:rPr>
        <w:t>results for firms in other GCC countries.</w:t>
      </w:r>
    </w:p>
    <w:p w:rsidR="00016C03" w:rsidRPr="00F01DEB" w:rsidRDefault="00016C03"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Table (6) shows the effect of working capital efficiency on Bahraini corporate performance</w:t>
      </w:r>
    </w:p>
    <w:tbl>
      <w:tblPr>
        <w:tblW w:w="8526" w:type="dxa"/>
        <w:tblLook w:val="04A0" w:firstRow="1" w:lastRow="0" w:firstColumn="1" w:lastColumn="0" w:noHBand="0" w:noVBand="1"/>
      </w:tblPr>
      <w:tblGrid>
        <w:gridCol w:w="620"/>
        <w:gridCol w:w="944"/>
        <w:gridCol w:w="833"/>
        <w:gridCol w:w="666"/>
        <w:gridCol w:w="766"/>
        <w:gridCol w:w="727"/>
        <w:gridCol w:w="733"/>
        <w:gridCol w:w="727"/>
        <w:gridCol w:w="733"/>
        <w:gridCol w:w="727"/>
        <w:gridCol w:w="539"/>
        <w:gridCol w:w="660"/>
      </w:tblGrid>
      <w:tr w:rsidR="00016C03" w:rsidRPr="00F01DEB" w:rsidTr="00016C03">
        <w:trPr>
          <w:trHeight w:val="255"/>
        </w:trPr>
        <w:tc>
          <w:tcPr>
            <w:tcW w:w="620"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944"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w:t>
            </w:r>
          </w:p>
        </w:tc>
        <w:tc>
          <w:tcPr>
            <w:tcW w:w="666"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617"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CCC</w:t>
            </w:r>
          </w:p>
        </w:tc>
        <w:tc>
          <w:tcPr>
            <w:tcW w:w="727"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733"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DR</w:t>
            </w:r>
          </w:p>
        </w:tc>
        <w:tc>
          <w:tcPr>
            <w:tcW w:w="727"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733"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Size</w:t>
            </w:r>
          </w:p>
        </w:tc>
        <w:tc>
          <w:tcPr>
            <w:tcW w:w="727"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539"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Obs</w:t>
            </w:r>
            <w:proofErr w:type="spellEnd"/>
          </w:p>
        </w:tc>
        <w:tc>
          <w:tcPr>
            <w:tcW w:w="660" w:type="dxa"/>
            <w:tcBorders>
              <w:top w:val="single" w:sz="4" w:space="0" w:color="auto"/>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Adj</w:t>
            </w:r>
            <w:proofErr w:type="spellEnd"/>
            <w:r w:rsidRPr="00F01DEB">
              <w:rPr>
                <w:rFonts w:ascii="Times New Roman" w:eastAsia="Times New Roman" w:hAnsi="Times New Roman" w:cs="Times New Roman"/>
                <w:color w:val="000000"/>
                <w:sz w:val="20"/>
                <w:szCs w:val="20"/>
              </w:rPr>
              <w:t xml:space="preserve"> R2</w:t>
            </w:r>
          </w:p>
        </w:tc>
      </w:tr>
      <w:tr w:rsidR="00016C03" w:rsidRPr="00F01DEB" w:rsidTr="00016C03">
        <w:trPr>
          <w:trHeight w:val="255"/>
        </w:trPr>
        <w:tc>
          <w:tcPr>
            <w:tcW w:w="620"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2743" w:type="dxa"/>
            <w:gridSpan w:val="4"/>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Fixed Effect Model</w:t>
            </w:r>
          </w:p>
        </w:tc>
        <w:tc>
          <w:tcPr>
            <w:tcW w:w="727"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p>
        </w:tc>
        <w:tc>
          <w:tcPr>
            <w:tcW w:w="733"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727"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539"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660" w:type="dxa"/>
            <w:tcBorders>
              <w:top w:val="single" w:sz="4" w:space="0" w:color="auto"/>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0.27</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0.92</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0.29</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1.24</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-0.15</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0.24</w:t>
            </w: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0.93</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0.68</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0.92</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0.62</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0.16</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0.32</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0.06</w:t>
            </w: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34</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0.37</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2743" w:type="dxa"/>
            <w:gridSpan w:val="4"/>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Variable Effect Model</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0.999</w:t>
            </w: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0.003</w:t>
            </w: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0.79</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0.92</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3.332</w:t>
            </w: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0.217</w:t>
            </w: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0.36</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1.19</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-0.14</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0.33</w:t>
            </w: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0.94</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0.999</w:t>
            </w: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0.003</w:t>
            </w: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0.79</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0.92</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-0.085</w:t>
            </w: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0.694</w:t>
            </w: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0.60</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0.86</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0.56</w:t>
            </w: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34</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0.94</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2743" w:type="dxa"/>
            <w:gridSpan w:val="4"/>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Pooled Model</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1.033</w:t>
            </w: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0.71</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016C03" w:rsidRPr="00F01DEB" w:rsidTr="00016C03">
        <w:trPr>
          <w:trHeight w:val="255"/>
        </w:trPr>
        <w:tc>
          <w:tcPr>
            <w:tcW w:w="62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1.929</w:t>
            </w:r>
          </w:p>
        </w:tc>
        <w:tc>
          <w:tcPr>
            <w:tcW w:w="666"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0.039</w:t>
            </w:r>
          </w:p>
        </w:tc>
        <w:tc>
          <w:tcPr>
            <w:tcW w:w="61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0.93</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-0.27</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0.63</w:t>
            </w:r>
          </w:p>
        </w:tc>
        <w:tc>
          <w:tcPr>
            <w:tcW w:w="733"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w:t>
            </w:r>
          </w:p>
        </w:tc>
        <w:tc>
          <w:tcPr>
            <w:tcW w:w="727"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0.29</w:t>
            </w:r>
          </w:p>
        </w:tc>
        <w:tc>
          <w:tcPr>
            <w:tcW w:w="539"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bottom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016C03" w:rsidRPr="00F01DEB" w:rsidTr="00016C03">
        <w:trPr>
          <w:trHeight w:val="255"/>
        </w:trPr>
        <w:tc>
          <w:tcPr>
            <w:tcW w:w="620"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1.929</w:t>
            </w:r>
          </w:p>
        </w:tc>
        <w:tc>
          <w:tcPr>
            <w:tcW w:w="666"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0.039</w:t>
            </w:r>
          </w:p>
        </w:tc>
        <w:tc>
          <w:tcPr>
            <w:tcW w:w="617"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0.63</w:t>
            </w:r>
          </w:p>
        </w:tc>
        <w:tc>
          <w:tcPr>
            <w:tcW w:w="733"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727"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33"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727"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30</w:t>
            </w:r>
          </w:p>
        </w:tc>
        <w:tc>
          <w:tcPr>
            <w:tcW w:w="660" w:type="dxa"/>
            <w:tcBorders>
              <w:top w:val="nil"/>
              <w:left w:val="nil"/>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016C03" w:rsidRPr="00F01DEB" w:rsidTr="00016C03">
        <w:trPr>
          <w:trHeight w:val="255"/>
        </w:trPr>
        <w:tc>
          <w:tcPr>
            <w:tcW w:w="620"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-0.075</w:t>
            </w:r>
          </w:p>
        </w:tc>
        <w:tc>
          <w:tcPr>
            <w:tcW w:w="666"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0.171</w:t>
            </w:r>
          </w:p>
        </w:tc>
        <w:tc>
          <w:tcPr>
            <w:tcW w:w="617"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w:t>
            </w:r>
            <w:r w:rsidR="009F5E30" w:rsidRPr="00F01DEB">
              <w:rPr>
                <w:rFonts w:ascii="Times New Roman" w:eastAsia="Times New Roman" w:hAnsi="Times New Roman" w:cs="Times New Roman"/>
                <w:color w:val="000000"/>
                <w:sz w:val="20"/>
                <w:szCs w:val="20"/>
              </w:rPr>
              <w:t>1</w:t>
            </w:r>
          </w:p>
        </w:tc>
        <w:tc>
          <w:tcPr>
            <w:tcW w:w="727"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0.41</w:t>
            </w:r>
          </w:p>
        </w:tc>
        <w:tc>
          <w:tcPr>
            <w:tcW w:w="733"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w:t>
            </w:r>
          </w:p>
        </w:tc>
        <w:tc>
          <w:tcPr>
            <w:tcW w:w="727"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0.39</w:t>
            </w:r>
          </w:p>
        </w:tc>
        <w:tc>
          <w:tcPr>
            <w:tcW w:w="733"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c>
          <w:tcPr>
            <w:tcW w:w="727"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c>
          <w:tcPr>
            <w:tcW w:w="539"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34</w:t>
            </w:r>
          </w:p>
        </w:tc>
        <w:tc>
          <w:tcPr>
            <w:tcW w:w="660" w:type="dxa"/>
            <w:tcBorders>
              <w:top w:val="nil"/>
              <w:left w:val="nil"/>
              <w:bottom w:val="single" w:sz="4" w:space="0" w:color="auto"/>
              <w:right w:val="nil"/>
            </w:tcBorders>
            <w:shd w:val="clear" w:color="auto" w:fill="auto"/>
            <w:noWrap/>
            <w:vAlign w:val="bottom"/>
            <w:hideMark/>
          </w:tcPr>
          <w:p w:rsidR="00016C03" w:rsidRPr="00F01DEB" w:rsidRDefault="00016C03"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w:t>
            </w:r>
          </w:p>
        </w:tc>
      </w:tr>
    </w:tbl>
    <w:p w:rsidR="00016C03" w:rsidRPr="00F01DEB" w:rsidRDefault="00016C03"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Notes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TQ is Tobin’s Q = (market value of equity + total assets - equity) / total assets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Prof is profitability = operating income / total assets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CCC is cash conversion cycle = accounts receivables days + inventory days - accounts payables days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DR is debt ratio = debt / total assets</w:t>
      </w:r>
    </w:p>
    <w:p w:rsidR="00016C03"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Size = log (sales)</w:t>
      </w:r>
    </w:p>
    <w:p w:rsidR="0062143E" w:rsidRPr="00F01DEB" w:rsidRDefault="00016C03"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Since we have a cross-sectional data, heteroscedasticity was found to be significant. And since it is of unknown form, it was corrected by using White’s (1980) consistent covariance matrix</w:t>
      </w:r>
    </w:p>
    <w:p w:rsidR="0062143E" w:rsidRPr="00F01DEB" w:rsidRDefault="0062143E" w:rsidP="00F01DEB">
      <w:pPr>
        <w:bidi w:val="0"/>
        <w:spacing w:line="240" w:lineRule="auto"/>
        <w:rPr>
          <w:rFonts w:ascii="Times New Roman" w:hAnsi="Times New Roman" w:cs="Times New Roman"/>
        </w:rPr>
      </w:pPr>
    </w:p>
    <w:p w:rsidR="0062143E" w:rsidRPr="00F01DEB" w:rsidRDefault="0062143E" w:rsidP="00F01DEB">
      <w:pPr>
        <w:bidi w:val="0"/>
        <w:spacing w:line="240" w:lineRule="auto"/>
        <w:rPr>
          <w:rFonts w:ascii="Times New Roman" w:hAnsi="Times New Roman" w:cs="Times New Roman"/>
        </w:rPr>
      </w:pPr>
      <w:r w:rsidRPr="00F01DEB">
        <w:rPr>
          <w:rFonts w:ascii="Times New Roman" w:hAnsi="Times New Roman" w:cs="Times New Roman"/>
        </w:rPr>
        <w:t>Table (</w:t>
      </w:r>
      <w:r w:rsidR="0044240B" w:rsidRPr="00F01DEB">
        <w:rPr>
          <w:rFonts w:ascii="Times New Roman" w:hAnsi="Times New Roman" w:cs="Times New Roman"/>
        </w:rPr>
        <w:t>7</w:t>
      </w:r>
      <w:r w:rsidRPr="00F01DEB">
        <w:rPr>
          <w:rFonts w:ascii="Times New Roman" w:hAnsi="Times New Roman" w:cs="Times New Roman"/>
        </w:rPr>
        <w:t xml:space="preserve">) </w:t>
      </w:r>
      <w:r w:rsidR="0044240B" w:rsidRPr="00F01DEB">
        <w:rPr>
          <w:rFonts w:ascii="Times New Roman" w:hAnsi="Times New Roman" w:cs="Times New Roman"/>
        </w:rPr>
        <w:t xml:space="preserve">examines the effect of working capital management efficiency on Omani corporate performance. This table </w:t>
      </w:r>
      <w:r w:rsidRPr="00F01DEB">
        <w:rPr>
          <w:rFonts w:ascii="Times New Roman" w:hAnsi="Times New Roman" w:cs="Times New Roman"/>
        </w:rPr>
        <w:t xml:space="preserve">also concludes that the </w:t>
      </w:r>
      <w:r w:rsidR="0044240B" w:rsidRPr="00F01DEB">
        <w:rPr>
          <w:rFonts w:ascii="Times New Roman" w:hAnsi="Times New Roman" w:cs="Times New Roman"/>
        </w:rPr>
        <w:t>effect, if any, is trivial. That is, only when considering the fixed effect model</w:t>
      </w:r>
      <w:r w:rsidR="00A423B0" w:rsidRPr="00F01DEB">
        <w:rPr>
          <w:rFonts w:ascii="Times New Roman" w:hAnsi="Times New Roman" w:cs="Times New Roman"/>
        </w:rPr>
        <w:t>,</w:t>
      </w:r>
      <w:r w:rsidR="0044240B" w:rsidRPr="00F01DEB">
        <w:rPr>
          <w:rFonts w:ascii="Times New Roman" w:hAnsi="Times New Roman" w:cs="Times New Roman"/>
        </w:rPr>
        <w:t xml:space="preserve"> there appears to be influence of the cash conversion cycle on the market based performance measure, although that effect is minimal. The results in this table also </w:t>
      </w:r>
      <w:r w:rsidR="00A423B0" w:rsidRPr="00F01DEB">
        <w:rPr>
          <w:rFonts w:ascii="Times New Roman" w:hAnsi="Times New Roman" w:cs="Times New Roman"/>
        </w:rPr>
        <w:t xml:space="preserve">resemble those </w:t>
      </w:r>
      <w:r w:rsidR="0044240B" w:rsidRPr="00F01DEB">
        <w:rPr>
          <w:rFonts w:ascii="Times New Roman" w:hAnsi="Times New Roman" w:cs="Times New Roman"/>
        </w:rPr>
        <w:t xml:space="preserve">in other GCC countries. </w:t>
      </w:r>
    </w:p>
    <w:p w:rsidR="0062143E" w:rsidRPr="00F01DEB" w:rsidRDefault="0062143E"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Table (7) shows the effect of working capital efficiency on Omani corporate performance</w:t>
      </w:r>
    </w:p>
    <w:tbl>
      <w:tblPr>
        <w:tblW w:w="8692" w:type="dxa"/>
        <w:tblLook w:val="04A0" w:firstRow="1" w:lastRow="0" w:firstColumn="1" w:lastColumn="0" w:noHBand="0" w:noVBand="1"/>
      </w:tblPr>
      <w:tblGrid>
        <w:gridCol w:w="520"/>
        <w:gridCol w:w="944"/>
        <w:gridCol w:w="833"/>
        <w:gridCol w:w="766"/>
        <w:gridCol w:w="833"/>
        <w:gridCol w:w="666"/>
        <w:gridCol w:w="833"/>
        <w:gridCol w:w="666"/>
        <w:gridCol w:w="666"/>
        <w:gridCol w:w="766"/>
        <w:gridCol w:w="539"/>
        <w:gridCol w:w="660"/>
      </w:tblGrid>
      <w:tr w:rsidR="0062143E" w:rsidRPr="00F01DEB" w:rsidTr="0062143E">
        <w:trPr>
          <w:trHeight w:val="255"/>
        </w:trPr>
        <w:tc>
          <w:tcPr>
            <w:tcW w:w="520"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944"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w:t>
            </w:r>
          </w:p>
        </w:tc>
        <w:tc>
          <w:tcPr>
            <w:tcW w:w="766"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CCC</w:t>
            </w:r>
          </w:p>
        </w:tc>
        <w:tc>
          <w:tcPr>
            <w:tcW w:w="666"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833"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DR</w:t>
            </w:r>
          </w:p>
        </w:tc>
        <w:tc>
          <w:tcPr>
            <w:tcW w:w="666"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666"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Size</w:t>
            </w:r>
          </w:p>
        </w:tc>
        <w:tc>
          <w:tcPr>
            <w:tcW w:w="766"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w:t>
            </w:r>
            <w:proofErr w:type="spellStart"/>
            <w:r w:rsidRPr="00F01DEB">
              <w:rPr>
                <w:rFonts w:ascii="Times New Roman" w:eastAsia="Times New Roman" w:hAnsi="Times New Roman" w:cs="Times New Roman"/>
                <w:color w:val="000000"/>
                <w:sz w:val="20"/>
                <w:szCs w:val="20"/>
              </w:rPr>
              <w:t>val</w:t>
            </w:r>
            <w:proofErr w:type="spellEnd"/>
          </w:p>
        </w:tc>
        <w:tc>
          <w:tcPr>
            <w:tcW w:w="539"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Obs</w:t>
            </w:r>
            <w:proofErr w:type="spellEnd"/>
          </w:p>
        </w:tc>
        <w:tc>
          <w:tcPr>
            <w:tcW w:w="660" w:type="dxa"/>
            <w:tcBorders>
              <w:top w:val="single" w:sz="4" w:space="0" w:color="auto"/>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Adj</w:t>
            </w:r>
            <w:proofErr w:type="spellEnd"/>
            <w:r w:rsidRPr="00F01DEB">
              <w:rPr>
                <w:rFonts w:ascii="Times New Roman" w:eastAsia="Times New Roman" w:hAnsi="Times New Roman" w:cs="Times New Roman"/>
                <w:color w:val="000000"/>
                <w:sz w:val="20"/>
                <w:szCs w:val="20"/>
              </w:rPr>
              <w:t xml:space="preserve"> R2</w:t>
            </w:r>
          </w:p>
        </w:tc>
      </w:tr>
      <w:tr w:rsidR="0062143E" w:rsidRPr="00F01DEB" w:rsidTr="0062143E">
        <w:trPr>
          <w:trHeight w:val="255"/>
        </w:trPr>
        <w:tc>
          <w:tcPr>
            <w:tcW w:w="520"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833"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3098" w:type="dxa"/>
            <w:gridSpan w:val="4"/>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Fixed Effect Model</w:t>
            </w:r>
          </w:p>
        </w:tc>
        <w:tc>
          <w:tcPr>
            <w:tcW w:w="666"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766"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539"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660" w:type="dxa"/>
            <w:tcBorders>
              <w:top w:val="single" w:sz="4" w:space="0" w:color="auto"/>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180</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0.71</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03</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-0.731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0.307</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180</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0.74</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0.586</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188</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0.71</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0.941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-0.204</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0.027</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0.017</w:t>
            </w: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188</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0.77</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3098" w:type="dxa"/>
            <w:gridSpan w:val="4"/>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Variable Effect Model</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1.347</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0.167</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180</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0.72</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-1.107</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0.257</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02</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0.037</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-0.743</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0.003</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0.156</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0.006</w:t>
            </w: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180</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0.73</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0.071</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0.429</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188</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0.72</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-0.216</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0.0587</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0.854</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-0.185</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0.020</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w:t>
            </w: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188</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0.77</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3098" w:type="dxa"/>
            <w:gridSpan w:val="4"/>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The Pooled Model</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1.383</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0.340</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180</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62143E" w:rsidRPr="00F01DEB" w:rsidTr="0062143E">
        <w:trPr>
          <w:trHeight w:val="255"/>
        </w:trPr>
        <w:tc>
          <w:tcPr>
            <w:tcW w:w="52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 (2)</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0.715</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0.218</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0.648</w:t>
            </w:r>
          </w:p>
        </w:tc>
        <w:tc>
          <w:tcPr>
            <w:tcW w:w="833"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-0.839</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0.057</w:t>
            </w:r>
          </w:p>
        </w:tc>
        <w:tc>
          <w:tcPr>
            <w:tcW w:w="766"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0.0732</w:t>
            </w:r>
          </w:p>
        </w:tc>
        <w:tc>
          <w:tcPr>
            <w:tcW w:w="539"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180</w:t>
            </w:r>
          </w:p>
        </w:tc>
        <w:tc>
          <w:tcPr>
            <w:tcW w:w="660" w:type="dxa"/>
            <w:tcBorders>
              <w:top w:val="nil"/>
              <w:left w:val="nil"/>
              <w:bottom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w:t>
            </w:r>
          </w:p>
        </w:tc>
      </w:tr>
      <w:tr w:rsidR="0062143E" w:rsidRPr="00F01DEB" w:rsidTr="0062143E">
        <w:trPr>
          <w:trHeight w:val="255"/>
        </w:trPr>
        <w:tc>
          <w:tcPr>
            <w:tcW w:w="520"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(3)</w:t>
            </w:r>
          </w:p>
        </w:tc>
        <w:tc>
          <w:tcPr>
            <w:tcW w:w="833"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0.074</w:t>
            </w:r>
          </w:p>
        </w:tc>
        <w:tc>
          <w:tcPr>
            <w:tcW w:w="766"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833"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0.026</w:t>
            </w:r>
          </w:p>
        </w:tc>
        <w:tc>
          <w:tcPr>
            <w:tcW w:w="833"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666"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666"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766"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sz w:val="20"/>
                <w:szCs w:val="20"/>
              </w:rPr>
            </w:pPr>
          </w:p>
        </w:tc>
        <w:tc>
          <w:tcPr>
            <w:tcW w:w="539"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188</w:t>
            </w:r>
          </w:p>
        </w:tc>
        <w:tc>
          <w:tcPr>
            <w:tcW w:w="660" w:type="dxa"/>
            <w:tcBorders>
              <w:top w:val="nil"/>
              <w:left w:val="nil"/>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r>
      <w:tr w:rsidR="0062143E" w:rsidRPr="00F01DEB" w:rsidTr="0062143E">
        <w:trPr>
          <w:trHeight w:val="255"/>
        </w:trPr>
        <w:tc>
          <w:tcPr>
            <w:tcW w:w="520"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p>
        </w:tc>
        <w:tc>
          <w:tcPr>
            <w:tcW w:w="944"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 (4)</w:t>
            </w:r>
          </w:p>
        </w:tc>
        <w:tc>
          <w:tcPr>
            <w:tcW w:w="833"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-0.114</w:t>
            </w:r>
          </w:p>
        </w:tc>
        <w:tc>
          <w:tcPr>
            <w:tcW w:w="766"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0.104</w:t>
            </w:r>
          </w:p>
        </w:tc>
        <w:tc>
          <w:tcPr>
            <w:tcW w:w="833"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w:t>
            </w:r>
            <w:r w:rsidR="0045004B">
              <w:rPr>
                <w:rFonts w:ascii="Times New Roman" w:eastAsia="Times New Roman" w:hAnsi="Times New Roman" w:cs="Times New Roman"/>
                <w:color w:val="000000"/>
                <w:sz w:val="20"/>
                <w:szCs w:val="20"/>
              </w:rPr>
              <w:t>0</w:t>
            </w:r>
            <w:r w:rsidRPr="00F01DEB">
              <w:rPr>
                <w:rFonts w:ascii="Times New Roman" w:eastAsia="Times New Roman" w:hAnsi="Times New Roman" w:cs="Times New Roman"/>
                <w:color w:val="000000"/>
                <w:sz w:val="20"/>
                <w:szCs w:val="20"/>
              </w:rPr>
              <w:t>01</w:t>
            </w:r>
          </w:p>
        </w:tc>
        <w:tc>
          <w:tcPr>
            <w:tcW w:w="666"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0.174</w:t>
            </w:r>
          </w:p>
        </w:tc>
        <w:tc>
          <w:tcPr>
            <w:tcW w:w="833"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-0.140</w:t>
            </w:r>
          </w:p>
        </w:tc>
        <w:tc>
          <w:tcPr>
            <w:tcW w:w="666"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w:t>
            </w:r>
          </w:p>
        </w:tc>
        <w:tc>
          <w:tcPr>
            <w:tcW w:w="666"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0.014</w:t>
            </w:r>
          </w:p>
        </w:tc>
        <w:tc>
          <w:tcPr>
            <w:tcW w:w="766"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0.007</w:t>
            </w:r>
          </w:p>
        </w:tc>
        <w:tc>
          <w:tcPr>
            <w:tcW w:w="539"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188</w:t>
            </w:r>
          </w:p>
        </w:tc>
        <w:tc>
          <w:tcPr>
            <w:tcW w:w="660" w:type="dxa"/>
            <w:tcBorders>
              <w:top w:val="nil"/>
              <w:left w:val="nil"/>
              <w:bottom w:val="single" w:sz="4" w:space="0" w:color="auto"/>
              <w:right w:val="nil"/>
            </w:tcBorders>
            <w:shd w:val="clear" w:color="auto" w:fill="auto"/>
            <w:noWrap/>
            <w:vAlign w:val="bottom"/>
            <w:hideMark/>
          </w:tcPr>
          <w:p w:rsidR="0062143E" w:rsidRPr="00F01DEB" w:rsidRDefault="0062143E"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0.17</w:t>
            </w:r>
          </w:p>
        </w:tc>
      </w:tr>
    </w:tbl>
    <w:p w:rsidR="0062143E" w:rsidRPr="00F01DEB" w:rsidRDefault="0062143E"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Notes</w:t>
      </w:r>
    </w:p>
    <w:p w:rsidR="0062143E" w:rsidRPr="00F01DEB" w:rsidRDefault="0062143E"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TQ is Tobin’s Q = (market value of equity + total assets - equity) / total assets</w:t>
      </w:r>
    </w:p>
    <w:p w:rsidR="0062143E" w:rsidRPr="00F01DEB" w:rsidRDefault="0062143E"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Prof is profitability = operating income / total assets</w:t>
      </w:r>
    </w:p>
    <w:p w:rsidR="0062143E" w:rsidRPr="00F01DEB" w:rsidRDefault="0062143E"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CCC is cash conversion cycle = accounts receivables days + inventory days - accounts payables days</w:t>
      </w:r>
    </w:p>
    <w:p w:rsidR="0062143E" w:rsidRPr="00F01DEB" w:rsidRDefault="0062143E"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DR is debt ratio = debt / total assets</w:t>
      </w:r>
    </w:p>
    <w:p w:rsidR="0062143E" w:rsidRPr="00F01DEB" w:rsidRDefault="0062143E"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Size = log (sales)</w:t>
      </w:r>
    </w:p>
    <w:p w:rsidR="0062143E" w:rsidRPr="00F01DEB" w:rsidRDefault="0062143E"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Since we have a cross-sectional data, heteroscedasticity was found to be significant. And since it is of unknown form, it was corrected by using White’s (1980) consistent covariance matrix</w:t>
      </w:r>
    </w:p>
    <w:p w:rsidR="0062143E" w:rsidRPr="00F01DEB" w:rsidRDefault="0044240B" w:rsidP="00F01DEB">
      <w:pPr>
        <w:bidi w:val="0"/>
        <w:spacing w:line="240" w:lineRule="auto"/>
        <w:rPr>
          <w:rFonts w:ascii="Times New Roman" w:hAnsi="Times New Roman" w:cs="Times New Roman"/>
        </w:rPr>
      </w:pPr>
      <w:proofErr w:type="gramStart"/>
      <w:r w:rsidRPr="00F01DEB">
        <w:rPr>
          <w:rFonts w:ascii="Times New Roman" w:hAnsi="Times New Roman" w:cs="Times New Roman"/>
        </w:rPr>
        <w:lastRenderedPageBreak/>
        <w:t>In order to</w:t>
      </w:r>
      <w:proofErr w:type="gramEnd"/>
      <w:r w:rsidRPr="00F01DEB">
        <w:rPr>
          <w:rFonts w:ascii="Times New Roman" w:hAnsi="Times New Roman" w:cs="Times New Roman"/>
        </w:rPr>
        <w:t xml:space="preserve"> corroborate the results obtained so far, a</w:t>
      </w:r>
      <w:r w:rsidR="00762DA7" w:rsidRPr="00F01DEB">
        <w:rPr>
          <w:rFonts w:ascii="Times New Roman" w:hAnsi="Times New Roman" w:cs="Times New Roman"/>
        </w:rPr>
        <w:t>nother</w:t>
      </w:r>
      <w:r w:rsidRPr="00F01DEB">
        <w:rPr>
          <w:rFonts w:ascii="Times New Roman" w:hAnsi="Times New Roman" w:cs="Times New Roman"/>
        </w:rPr>
        <w:t xml:space="preserve"> test is carried out to examine the influence of the cash conversion cycle on corporate performance </w:t>
      </w:r>
      <w:r w:rsidR="00C5379C" w:rsidRPr="00F01DEB">
        <w:rPr>
          <w:rFonts w:ascii="Times New Roman" w:hAnsi="Times New Roman" w:cs="Times New Roman"/>
        </w:rPr>
        <w:t>by pooling</w:t>
      </w:r>
      <w:r w:rsidRPr="00F01DEB">
        <w:rPr>
          <w:rFonts w:ascii="Times New Roman" w:hAnsi="Times New Roman" w:cs="Times New Roman"/>
        </w:rPr>
        <w:t xml:space="preserve"> all nonfinancial firms in the GCC countries</w:t>
      </w:r>
      <w:r w:rsidR="00C5379C" w:rsidRPr="00F01DEB">
        <w:rPr>
          <w:rFonts w:ascii="Times New Roman" w:hAnsi="Times New Roman" w:cs="Times New Roman"/>
        </w:rPr>
        <w:t xml:space="preserve"> together</w:t>
      </w:r>
      <w:r w:rsidRPr="00F01DEB">
        <w:rPr>
          <w:rFonts w:ascii="Times New Roman" w:hAnsi="Times New Roman" w:cs="Times New Roman"/>
        </w:rPr>
        <w:t xml:space="preserve">. </w:t>
      </w:r>
      <w:r w:rsidR="00B06ECF" w:rsidRPr="00F01DEB">
        <w:rPr>
          <w:rFonts w:ascii="Times New Roman" w:hAnsi="Times New Roman" w:cs="Times New Roman"/>
        </w:rPr>
        <w:t xml:space="preserve">Results of this analysis are contained in table (8). </w:t>
      </w:r>
      <w:r w:rsidRPr="00F01DEB">
        <w:rPr>
          <w:rFonts w:ascii="Times New Roman" w:hAnsi="Times New Roman" w:cs="Times New Roman"/>
        </w:rPr>
        <w:t xml:space="preserve">Dummy </w:t>
      </w:r>
      <w:r w:rsidR="00762DA7" w:rsidRPr="00F01DEB">
        <w:rPr>
          <w:rFonts w:ascii="Times New Roman" w:hAnsi="Times New Roman" w:cs="Times New Roman"/>
        </w:rPr>
        <w:t xml:space="preserve">variables that represent the GCC countries versus Kuwait have been set </w:t>
      </w:r>
      <w:r w:rsidR="00A423B0" w:rsidRPr="00F01DEB">
        <w:rPr>
          <w:rFonts w:ascii="Times New Roman" w:hAnsi="Times New Roman" w:cs="Times New Roman"/>
        </w:rPr>
        <w:t>to inspect any possible differences between</w:t>
      </w:r>
    </w:p>
    <w:p w:rsidR="0062143E" w:rsidRPr="00F01DEB" w:rsidRDefault="006A1B55"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Table (8) shows the effect of working capital on </w:t>
      </w:r>
      <w:r w:rsidR="0044240B" w:rsidRPr="00F01DEB">
        <w:rPr>
          <w:rFonts w:ascii="Times New Roman" w:hAnsi="Times New Roman" w:cs="Times New Roman"/>
          <w:sz w:val="20"/>
          <w:szCs w:val="20"/>
        </w:rPr>
        <w:t xml:space="preserve">all nonfinancial </w:t>
      </w:r>
      <w:r w:rsidRPr="00F01DEB">
        <w:rPr>
          <w:rFonts w:ascii="Times New Roman" w:hAnsi="Times New Roman" w:cs="Times New Roman"/>
          <w:sz w:val="20"/>
          <w:szCs w:val="20"/>
        </w:rPr>
        <w:t>GCC firms performance</w:t>
      </w:r>
    </w:p>
    <w:tbl>
      <w:tblPr>
        <w:tblW w:w="8620" w:type="dxa"/>
        <w:tblLook w:val="04A0" w:firstRow="1" w:lastRow="0" w:firstColumn="1" w:lastColumn="0" w:noHBand="0" w:noVBand="1"/>
      </w:tblPr>
      <w:tblGrid>
        <w:gridCol w:w="960"/>
        <w:gridCol w:w="1340"/>
        <w:gridCol w:w="1340"/>
        <w:gridCol w:w="1340"/>
        <w:gridCol w:w="1340"/>
        <w:gridCol w:w="1340"/>
        <w:gridCol w:w="960"/>
      </w:tblGrid>
      <w:tr w:rsidR="006A1B55" w:rsidRPr="00F01DEB" w:rsidTr="006A1B55">
        <w:trPr>
          <w:trHeight w:val="315"/>
        </w:trPr>
        <w:tc>
          <w:tcPr>
            <w:tcW w:w="960" w:type="dxa"/>
            <w:tcBorders>
              <w:top w:val="single" w:sz="4" w:space="0" w:color="auto"/>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rPr>
                <w:rFonts w:ascii="Times New Roman" w:eastAsia="Times New Roman" w:hAnsi="Times New Roman" w:cs="Times New Roman"/>
                <w:sz w:val="20"/>
                <w:szCs w:val="20"/>
              </w:rPr>
            </w:pPr>
          </w:p>
        </w:tc>
        <w:tc>
          <w:tcPr>
            <w:tcW w:w="1340" w:type="dxa"/>
            <w:tcBorders>
              <w:top w:val="single" w:sz="4" w:space="0" w:color="auto"/>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single" w:sz="4" w:space="0" w:color="auto"/>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w:t>
            </w:r>
          </w:p>
        </w:tc>
        <w:tc>
          <w:tcPr>
            <w:tcW w:w="1340" w:type="dxa"/>
            <w:tcBorders>
              <w:top w:val="single" w:sz="4" w:space="0" w:color="auto"/>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TQ</w:t>
            </w:r>
          </w:p>
        </w:tc>
        <w:tc>
          <w:tcPr>
            <w:tcW w:w="1340" w:type="dxa"/>
            <w:tcBorders>
              <w:top w:val="single" w:sz="4" w:space="0" w:color="auto"/>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w:t>
            </w:r>
          </w:p>
        </w:tc>
        <w:tc>
          <w:tcPr>
            <w:tcW w:w="1340" w:type="dxa"/>
            <w:tcBorders>
              <w:top w:val="single" w:sz="4" w:space="0" w:color="auto"/>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Prof</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w:t>
            </w:r>
          </w:p>
        </w:tc>
        <w:tc>
          <w:tcPr>
            <w:tcW w:w="1340"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1.508</w:t>
            </w:r>
          </w:p>
        </w:tc>
        <w:tc>
          <w:tcPr>
            <w:tcW w:w="1340"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0.6582</w:t>
            </w:r>
          </w:p>
        </w:tc>
        <w:tc>
          <w:tcPr>
            <w:tcW w:w="1340"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0.5671</w:t>
            </w:r>
          </w:p>
        </w:tc>
        <w:tc>
          <w:tcPr>
            <w:tcW w:w="1340" w:type="dxa"/>
            <w:tcBorders>
              <w:top w:val="single" w:sz="4" w:space="0" w:color="auto"/>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-0.6243</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(0.2304)</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44240B"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w:t>
            </w:r>
            <w:r w:rsidR="006A1B55" w:rsidRPr="00F01DEB">
              <w:rPr>
                <w:rFonts w:ascii="Times New Roman" w:eastAsia="Times New Roman" w:hAnsi="Times New Roman" w:cs="Times New Roman"/>
                <w:color w:val="000000"/>
                <w:sz w:val="20"/>
                <w:szCs w:val="20"/>
              </w:rPr>
              <w:t>0.001</w:t>
            </w:r>
            <w:r w:rsidRPr="00F01DEB">
              <w:rPr>
                <w:rFonts w:ascii="Times New Roman" w:eastAsia="Times New Roman" w:hAnsi="Times New Roman" w:cs="Times New Roman"/>
                <w:color w:val="000000"/>
                <w:sz w:val="20"/>
                <w:szCs w:val="20"/>
              </w:rPr>
              <w:t>)</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CCC</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-0.0003</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-0.0004</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(0.05)</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0.0192</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0.1853</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DR</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-0.6749</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0.2634</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(0.0026)</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Size</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0.0709</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0.1321</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(0.3122)</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UAE</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0.038</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-0.0433</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(0.6064)</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(0.3774)</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Bah</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-0.0271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0.1915</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(0.7919)</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(0.0002)</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Qatar</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0.795</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-0.1864</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(0.0018)</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KSA</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1.0978</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-0.0488</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(0.2047)</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Oman</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0.4649</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0.168</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c>
          <w:tcPr>
            <w:tcW w:w="134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(0.0001)</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Obs</w:t>
            </w:r>
            <w:proofErr w:type="spellEnd"/>
          </w:p>
        </w:tc>
        <w:tc>
          <w:tcPr>
            <w:tcW w:w="1340"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874</w:t>
            </w:r>
          </w:p>
        </w:tc>
        <w:tc>
          <w:tcPr>
            <w:tcW w:w="1340"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874</w:t>
            </w:r>
          </w:p>
        </w:tc>
        <w:tc>
          <w:tcPr>
            <w:tcW w:w="1340"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908</w:t>
            </w:r>
          </w:p>
        </w:tc>
        <w:tc>
          <w:tcPr>
            <w:tcW w:w="1340" w:type="dxa"/>
            <w:tcBorders>
              <w:top w:val="nil"/>
              <w:left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908</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r w:rsidR="006A1B55" w:rsidRPr="00F01DEB" w:rsidTr="006A1B55">
        <w:trPr>
          <w:trHeight w:val="315"/>
        </w:trPr>
        <w:tc>
          <w:tcPr>
            <w:tcW w:w="96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sz w:val="20"/>
                <w:szCs w:val="20"/>
              </w:rPr>
            </w:pPr>
          </w:p>
        </w:tc>
        <w:tc>
          <w:tcPr>
            <w:tcW w:w="134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roofErr w:type="spellStart"/>
            <w:r w:rsidRPr="00F01DEB">
              <w:rPr>
                <w:rFonts w:ascii="Times New Roman" w:eastAsia="Times New Roman" w:hAnsi="Times New Roman" w:cs="Times New Roman"/>
                <w:color w:val="000000"/>
                <w:sz w:val="20"/>
                <w:szCs w:val="20"/>
              </w:rPr>
              <w:t>Adj</w:t>
            </w:r>
            <w:proofErr w:type="spellEnd"/>
            <w:r w:rsidRPr="00F01DEB">
              <w:rPr>
                <w:rFonts w:ascii="Times New Roman" w:eastAsia="Times New Roman" w:hAnsi="Times New Roman" w:cs="Times New Roman"/>
                <w:color w:val="000000"/>
                <w:sz w:val="20"/>
                <w:szCs w:val="20"/>
              </w:rPr>
              <w:t xml:space="preserve"> R2</w:t>
            </w:r>
          </w:p>
        </w:tc>
        <w:tc>
          <w:tcPr>
            <w:tcW w:w="134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0.01</w:t>
            </w:r>
          </w:p>
        </w:tc>
        <w:tc>
          <w:tcPr>
            <w:tcW w:w="134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0.21</w:t>
            </w:r>
          </w:p>
        </w:tc>
        <w:tc>
          <w:tcPr>
            <w:tcW w:w="134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0.004</w:t>
            </w:r>
          </w:p>
        </w:tc>
        <w:tc>
          <w:tcPr>
            <w:tcW w:w="1340" w:type="dxa"/>
            <w:tcBorders>
              <w:top w:val="nil"/>
              <w:left w:val="nil"/>
              <w:bottom w:val="single" w:sz="4" w:space="0" w:color="auto"/>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r w:rsidRPr="00F01DEB">
              <w:rPr>
                <w:rFonts w:ascii="Times New Roman" w:eastAsia="Times New Roman" w:hAnsi="Times New Roman" w:cs="Times New Roman"/>
                <w:color w:val="000000"/>
                <w:sz w:val="20"/>
                <w:szCs w:val="20"/>
              </w:rPr>
              <w:t>0.08</w:t>
            </w:r>
          </w:p>
        </w:tc>
        <w:tc>
          <w:tcPr>
            <w:tcW w:w="960" w:type="dxa"/>
            <w:tcBorders>
              <w:top w:val="nil"/>
              <w:left w:val="nil"/>
              <w:bottom w:val="nil"/>
              <w:right w:val="nil"/>
            </w:tcBorders>
            <w:shd w:val="clear" w:color="auto" w:fill="auto"/>
            <w:noWrap/>
            <w:vAlign w:val="bottom"/>
            <w:hideMark/>
          </w:tcPr>
          <w:p w:rsidR="006A1B55" w:rsidRPr="00F01DEB" w:rsidRDefault="006A1B55" w:rsidP="00F01DEB">
            <w:pPr>
              <w:bidi w:val="0"/>
              <w:spacing w:after="0" w:line="240" w:lineRule="auto"/>
              <w:jc w:val="center"/>
              <w:rPr>
                <w:rFonts w:ascii="Times New Roman" w:eastAsia="Times New Roman" w:hAnsi="Times New Roman" w:cs="Times New Roman"/>
                <w:color w:val="000000"/>
                <w:sz w:val="20"/>
                <w:szCs w:val="20"/>
              </w:rPr>
            </w:pPr>
          </w:p>
        </w:tc>
      </w:tr>
    </w:tbl>
    <w:p w:rsidR="006A1B55" w:rsidRPr="00F01DEB" w:rsidRDefault="006A1B55" w:rsidP="00F01DEB">
      <w:p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Notes</w:t>
      </w:r>
    </w:p>
    <w:p w:rsidR="006A1B55" w:rsidRPr="00F01DEB" w:rsidRDefault="006A1B55"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TQ is Tobin’s Q = (market value of equity + total assets - equity) / total assets</w:t>
      </w:r>
    </w:p>
    <w:p w:rsidR="006A1B55" w:rsidRPr="00F01DEB" w:rsidRDefault="006A1B55"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Prof is profitability = operating income / total assets</w:t>
      </w:r>
    </w:p>
    <w:p w:rsidR="006A1B55" w:rsidRPr="00F01DEB" w:rsidRDefault="006A1B55"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CCC is cash conversion cycle = accounts receivables days + inventory days - accounts payables days</w:t>
      </w:r>
    </w:p>
    <w:p w:rsidR="006A1B55" w:rsidRPr="00F01DEB" w:rsidRDefault="006A1B55"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DR is debt ratio = debt / total assets</w:t>
      </w:r>
    </w:p>
    <w:p w:rsidR="006A1B55" w:rsidRPr="00F01DEB" w:rsidRDefault="006A1B55"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Size = log (sales)</w:t>
      </w:r>
    </w:p>
    <w:p w:rsidR="006A1B55" w:rsidRPr="00F01DEB" w:rsidRDefault="006A1B55"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Numbers between parenthesis are probability values testing the hypothesis that the coefficient is zero </w:t>
      </w:r>
    </w:p>
    <w:p w:rsidR="006A1B55" w:rsidRPr="00F01DEB" w:rsidRDefault="006A1B55" w:rsidP="00F01DEB">
      <w:pPr>
        <w:pStyle w:val="ListParagraph"/>
        <w:numPr>
          <w:ilvl w:val="0"/>
          <w:numId w:val="1"/>
        </w:numPr>
        <w:bidi w:val="0"/>
        <w:spacing w:line="240" w:lineRule="auto"/>
        <w:rPr>
          <w:rFonts w:ascii="Times New Roman" w:hAnsi="Times New Roman" w:cs="Times New Roman"/>
          <w:sz w:val="20"/>
          <w:szCs w:val="20"/>
        </w:rPr>
      </w:pPr>
      <w:r w:rsidRPr="00F01DEB">
        <w:rPr>
          <w:rFonts w:ascii="Times New Roman" w:hAnsi="Times New Roman" w:cs="Times New Roman"/>
          <w:sz w:val="20"/>
          <w:szCs w:val="20"/>
        </w:rPr>
        <w:t xml:space="preserve"> Since we have a cross-sectional data, heteroscedasticity was found to be significant. And since it is of unknown form, it was corrected by using White’s (1980) consistent covariance matrix</w:t>
      </w:r>
    </w:p>
    <w:p w:rsidR="0062143E" w:rsidRPr="00F01DEB" w:rsidRDefault="0062143E" w:rsidP="00F01DEB">
      <w:pPr>
        <w:bidi w:val="0"/>
        <w:spacing w:line="240" w:lineRule="auto"/>
        <w:rPr>
          <w:rFonts w:ascii="Times New Roman" w:hAnsi="Times New Roman" w:cs="Times New Roman"/>
        </w:rPr>
      </w:pPr>
    </w:p>
    <w:p w:rsidR="00195D28" w:rsidRPr="00F01DEB" w:rsidRDefault="00195D28" w:rsidP="00F01DEB">
      <w:pPr>
        <w:bidi w:val="0"/>
        <w:spacing w:line="240" w:lineRule="auto"/>
        <w:rPr>
          <w:rFonts w:ascii="Times New Roman" w:hAnsi="Times New Roman" w:cs="Times New Roman"/>
        </w:rPr>
      </w:pPr>
      <w:r w:rsidRPr="00F01DEB">
        <w:rPr>
          <w:rFonts w:ascii="Times New Roman" w:hAnsi="Times New Roman" w:cs="Times New Roman"/>
        </w:rPr>
        <w:t xml:space="preserve">the countries, a conclusion that is gleaned from the results of the </w:t>
      </w:r>
      <w:r w:rsidR="00E41C62" w:rsidRPr="00F01DEB">
        <w:rPr>
          <w:rFonts w:ascii="Times New Roman" w:hAnsi="Times New Roman" w:cs="Times New Roman"/>
        </w:rPr>
        <w:t xml:space="preserve">all </w:t>
      </w:r>
      <w:r w:rsidRPr="00F01DEB">
        <w:rPr>
          <w:rFonts w:ascii="Times New Roman" w:hAnsi="Times New Roman" w:cs="Times New Roman"/>
        </w:rPr>
        <w:t>previous tables for firms in each country. First, it is obvious that the effect of the working capital management on firm performance is significant in the first three regressions but not regression 4. Second, the effect</w:t>
      </w:r>
      <w:r w:rsidR="00E41C62" w:rsidRPr="00F01DEB">
        <w:rPr>
          <w:rFonts w:ascii="Times New Roman" w:hAnsi="Times New Roman" w:cs="Times New Roman"/>
        </w:rPr>
        <w:t xml:space="preserve"> </w:t>
      </w:r>
      <w:r w:rsidR="00317550" w:rsidRPr="00F01DEB">
        <w:rPr>
          <w:rFonts w:ascii="Times New Roman" w:hAnsi="Times New Roman" w:cs="Times New Roman"/>
        </w:rPr>
        <w:t>appears to be trivial. Taken</w:t>
      </w:r>
      <w:r w:rsidRPr="00F01DEB">
        <w:rPr>
          <w:rFonts w:ascii="Times New Roman" w:hAnsi="Times New Roman" w:cs="Times New Roman"/>
        </w:rPr>
        <w:t xml:space="preserve"> together, the results in this table resemble the previous ones considering each GCC country by itself. Country differences appear to be insignificant except for Oman and Qatar which confirm</w:t>
      </w:r>
      <w:r w:rsidR="00317550" w:rsidRPr="00F01DEB">
        <w:rPr>
          <w:rFonts w:ascii="Times New Roman" w:hAnsi="Times New Roman" w:cs="Times New Roman"/>
        </w:rPr>
        <w:t>s</w:t>
      </w:r>
      <w:r w:rsidRPr="00F01DEB">
        <w:rPr>
          <w:rFonts w:ascii="Times New Roman" w:hAnsi="Times New Roman" w:cs="Times New Roman"/>
        </w:rPr>
        <w:t xml:space="preserve"> the previous results as some differences exist between </w:t>
      </w:r>
      <w:r w:rsidR="00E41C62" w:rsidRPr="00F01DEB">
        <w:rPr>
          <w:rFonts w:ascii="Times New Roman" w:hAnsi="Times New Roman" w:cs="Times New Roman"/>
        </w:rPr>
        <w:t xml:space="preserve">firms in </w:t>
      </w:r>
      <w:r w:rsidRPr="00F01DEB">
        <w:rPr>
          <w:rFonts w:ascii="Times New Roman" w:hAnsi="Times New Roman" w:cs="Times New Roman"/>
        </w:rPr>
        <w:t>the GCC countries.</w:t>
      </w:r>
    </w:p>
    <w:p w:rsidR="00C5379C" w:rsidRPr="00F01DEB" w:rsidRDefault="00C5379C" w:rsidP="00F01DEB">
      <w:pPr>
        <w:pStyle w:val="ListParagraph"/>
        <w:numPr>
          <w:ilvl w:val="0"/>
          <w:numId w:val="2"/>
        </w:numPr>
        <w:bidi w:val="0"/>
        <w:spacing w:line="240" w:lineRule="auto"/>
        <w:rPr>
          <w:rFonts w:ascii="Times New Roman" w:hAnsi="Times New Roman" w:cs="Times New Roman"/>
        </w:rPr>
      </w:pPr>
      <w:r w:rsidRPr="00F01DEB">
        <w:rPr>
          <w:rFonts w:ascii="Times New Roman" w:hAnsi="Times New Roman" w:cs="Times New Roman"/>
          <w:u w:val="single"/>
        </w:rPr>
        <w:t>Conclusion</w:t>
      </w:r>
    </w:p>
    <w:p w:rsidR="00C5379C" w:rsidRPr="00F01DEB" w:rsidRDefault="00317550" w:rsidP="00F01DEB">
      <w:pPr>
        <w:bidi w:val="0"/>
        <w:spacing w:line="240" w:lineRule="auto"/>
        <w:rPr>
          <w:rFonts w:ascii="Times New Roman" w:hAnsi="Times New Roman" w:cs="Times New Roman"/>
        </w:rPr>
      </w:pPr>
      <w:r w:rsidRPr="00F01DEB">
        <w:rPr>
          <w:rFonts w:ascii="Times New Roman" w:hAnsi="Times New Roman" w:cs="Times New Roman"/>
        </w:rPr>
        <w:t xml:space="preserve">The results </w:t>
      </w:r>
      <w:r w:rsidR="00C5379C" w:rsidRPr="00F01DEB">
        <w:rPr>
          <w:rFonts w:ascii="Times New Roman" w:hAnsi="Times New Roman" w:cs="Times New Roman"/>
        </w:rPr>
        <w:t xml:space="preserve">in this paper </w:t>
      </w:r>
      <w:r w:rsidRPr="00F01DEB">
        <w:rPr>
          <w:rFonts w:ascii="Times New Roman" w:hAnsi="Times New Roman" w:cs="Times New Roman"/>
        </w:rPr>
        <w:t xml:space="preserve">suggest that the predictive power of the theoretical propositions </w:t>
      </w:r>
      <w:r w:rsidR="00E41C62" w:rsidRPr="00F01DEB">
        <w:rPr>
          <w:rFonts w:ascii="Times New Roman" w:hAnsi="Times New Roman" w:cs="Times New Roman"/>
        </w:rPr>
        <w:t xml:space="preserve">with respect to the influence of working capital in creating value </w:t>
      </w:r>
      <w:r w:rsidRPr="00F01DEB">
        <w:rPr>
          <w:rFonts w:ascii="Times New Roman" w:hAnsi="Times New Roman" w:cs="Times New Roman"/>
        </w:rPr>
        <w:t>differ</w:t>
      </w:r>
      <w:r w:rsidR="00E41C62" w:rsidRPr="00F01DEB">
        <w:rPr>
          <w:rFonts w:ascii="Times New Roman" w:hAnsi="Times New Roman" w:cs="Times New Roman"/>
        </w:rPr>
        <w:t>s</w:t>
      </w:r>
      <w:r w:rsidRPr="00F01DEB">
        <w:rPr>
          <w:rFonts w:ascii="Times New Roman" w:hAnsi="Times New Roman" w:cs="Times New Roman"/>
        </w:rPr>
        <w:t xml:space="preserve"> in</w:t>
      </w:r>
      <w:r w:rsidR="00E41C62" w:rsidRPr="00F01DEB">
        <w:rPr>
          <w:rFonts w:ascii="Times New Roman" w:hAnsi="Times New Roman" w:cs="Times New Roman"/>
        </w:rPr>
        <w:t xml:space="preserve"> </w:t>
      </w:r>
      <w:r w:rsidRPr="00F01DEB">
        <w:rPr>
          <w:rFonts w:ascii="Times New Roman" w:hAnsi="Times New Roman" w:cs="Times New Roman"/>
        </w:rPr>
        <w:t xml:space="preserve">different settings and environments. </w:t>
      </w:r>
      <w:r w:rsidRPr="00F01DEB">
        <w:rPr>
          <w:rFonts w:ascii="Times New Roman" w:hAnsi="Times New Roman" w:cs="Times New Roman"/>
        </w:rPr>
        <w:lastRenderedPageBreak/>
        <w:t xml:space="preserve">Business practices and norms as well as corporate cultures could lay their effects on test results. GCC countries represents an alliance that is part of emerging markets. The results of the above analysis might represent an anomalous evidence or irregularity in financial markets that tend sometimes to fail to penalize inefficient managers with respect to their working capital </w:t>
      </w:r>
      <w:r w:rsidR="00E41C62" w:rsidRPr="00F01DEB">
        <w:rPr>
          <w:rFonts w:ascii="Times New Roman" w:hAnsi="Times New Roman" w:cs="Times New Roman"/>
        </w:rPr>
        <w:t xml:space="preserve">management </w:t>
      </w:r>
      <w:r w:rsidRPr="00F01DEB">
        <w:rPr>
          <w:rFonts w:ascii="Times New Roman" w:hAnsi="Times New Roman" w:cs="Times New Roman"/>
        </w:rPr>
        <w:t xml:space="preserve">style or skills. Although the theory and the empirical evidence in different parts of the world </w:t>
      </w:r>
      <w:r w:rsidR="00F75E67" w:rsidRPr="00F01DEB">
        <w:rPr>
          <w:rFonts w:ascii="Times New Roman" w:hAnsi="Times New Roman" w:cs="Times New Roman"/>
        </w:rPr>
        <w:t xml:space="preserve">are in consensus </w:t>
      </w:r>
      <w:proofErr w:type="gramStart"/>
      <w:r w:rsidR="00F75E67" w:rsidRPr="00F01DEB">
        <w:rPr>
          <w:rFonts w:ascii="Times New Roman" w:hAnsi="Times New Roman" w:cs="Times New Roman"/>
        </w:rPr>
        <w:t>with regard to</w:t>
      </w:r>
      <w:proofErr w:type="gramEnd"/>
      <w:r w:rsidR="00F75E67" w:rsidRPr="00F01DEB">
        <w:rPr>
          <w:rFonts w:ascii="Times New Roman" w:hAnsi="Times New Roman" w:cs="Times New Roman"/>
        </w:rPr>
        <w:t xml:space="preserve"> the effect of working capital management on corporate profitability, this effect appears to be susceptible in GCC corporate sector as part of </w:t>
      </w:r>
      <w:r w:rsidR="00E41C62" w:rsidRPr="00F01DEB">
        <w:rPr>
          <w:rFonts w:ascii="Times New Roman" w:hAnsi="Times New Roman" w:cs="Times New Roman"/>
        </w:rPr>
        <w:t xml:space="preserve">the </w:t>
      </w:r>
      <w:r w:rsidR="00F75E67" w:rsidRPr="00F01DEB">
        <w:rPr>
          <w:rFonts w:ascii="Times New Roman" w:hAnsi="Times New Roman" w:cs="Times New Roman"/>
        </w:rPr>
        <w:t xml:space="preserve">emerging markets. Therefore, </w:t>
      </w:r>
      <w:r w:rsidR="001A7988" w:rsidRPr="00F01DEB">
        <w:rPr>
          <w:rFonts w:ascii="Times New Roman" w:hAnsi="Times New Roman" w:cs="Times New Roman"/>
        </w:rPr>
        <w:t xml:space="preserve">nonfinancial firm </w:t>
      </w:r>
      <w:r w:rsidR="00F75E67" w:rsidRPr="00F01DEB">
        <w:rPr>
          <w:rFonts w:ascii="Times New Roman" w:hAnsi="Times New Roman" w:cs="Times New Roman"/>
        </w:rPr>
        <w:t xml:space="preserve">managers in GCC countries need to pay close attention </w:t>
      </w:r>
      <w:r w:rsidR="001A7988" w:rsidRPr="00F01DEB">
        <w:rPr>
          <w:rFonts w:ascii="Times New Roman" w:hAnsi="Times New Roman" w:cs="Times New Roman"/>
        </w:rPr>
        <w:t xml:space="preserve">to more efficient working capital management </w:t>
      </w:r>
      <w:proofErr w:type="gramStart"/>
      <w:r w:rsidR="001A7988" w:rsidRPr="00F01DEB">
        <w:rPr>
          <w:rFonts w:ascii="Times New Roman" w:hAnsi="Times New Roman" w:cs="Times New Roman"/>
        </w:rPr>
        <w:t>in order to</w:t>
      </w:r>
      <w:proofErr w:type="gramEnd"/>
      <w:r w:rsidR="001A7988" w:rsidRPr="00F01DEB">
        <w:rPr>
          <w:rFonts w:ascii="Times New Roman" w:hAnsi="Times New Roman" w:cs="Times New Roman"/>
        </w:rPr>
        <w:t xml:space="preserve"> improve or boost the shareholders wealth as managers can create additional profits for their firms by correctly handling the cash conversion cycle and keeping each different component (accounts receivables, accounts payables, inventory) to </w:t>
      </w:r>
      <w:r w:rsidR="00E41C62" w:rsidRPr="00F01DEB">
        <w:rPr>
          <w:rFonts w:ascii="Times New Roman" w:hAnsi="Times New Roman" w:cs="Times New Roman"/>
        </w:rPr>
        <w:t xml:space="preserve">its </w:t>
      </w:r>
      <w:r w:rsidR="001A7988" w:rsidRPr="00F01DEB">
        <w:rPr>
          <w:rFonts w:ascii="Times New Roman" w:hAnsi="Times New Roman" w:cs="Times New Roman"/>
        </w:rPr>
        <w:t>optimal level</w:t>
      </w:r>
      <w:r w:rsidR="00E41C62" w:rsidRPr="00F01DEB">
        <w:rPr>
          <w:rFonts w:ascii="Times New Roman" w:hAnsi="Times New Roman" w:cs="Times New Roman"/>
        </w:rPr>
        <w:t>.</w:t>
      </w:r>
      <w:r w:rsidR="00C5379C" w:rsidRPr="00F01DEB">
        <w:rPr>
          <w:rFonts w:ascii="Times New Roman" w:hAnsi="Times New Roman" w:cs="Times New Roman"/>
        </w:rPr>
        <w:t xml:space="preserve"> As a final point, the results in this paper repudiate the main hypothesis which predicts a negative and significant effect of working capital management on corporate profitability.</w:t>
      </w:r>
    </w:p>
    <w:p w:rsidR="00E41C62" w:rsidRPr="00F01DEB" w:rsidRDefault="00C5379C" w:rsidP="00F01DEB">
      <w:pPr>
        <w:bidi w:val="0"/>
        <w:spacing w:line="240" w:lineRule="auto"/>
        <w:rPr>
          <w:rFonts w:ascii="Times New Roman" w:hAnsi="Times New Roman" w:cs="Times New Roman"/>
        </w:rPr>
      </w:pPr>
      <w:r w:rsidRPr="00F01DEB">
        <w:rPr>
          <w:rFonts w:ascii="Times New Roman" w:hAnsi="Times New Roman" w:cs="Times New Roman"/>
        </w:rPr>
        <w:t>To conclude, t</w:t>
      </w:r>
      <w:r w:rsidR="00E41C62" w:rsidRPr="00F01DEB">
        <w:rPr>
          <w:rFonts w:ascii="Times New Roman" w:hAnsi="Times New Roman" w:cs="Times New Roman"/>
        </w:rPr>
        <w:t xml:space="preserve">his paper investigates how corporate </w:t>
      </w:r>
      <w:r w:rsidRPr="00F01DEB">
        <w:rPr>
          <w:rFonts w:ascii="Times New Roman" w:hAnsi="Times New Roman" w:cs="Times New Roman"/>
        </w:rPr>
        <w:t xml:space="preserve">working capital </w:t>
      </w:r>
      <w:r w:rsidR="00E41C62" w:rsidRPr="00F01DEB">
        <w:rPr>
          <w:rFonts w:ascii="Times New Roman" w:hAnsi="Times New Roman" w:cs="Times New Roman"/>
        </w:rPr>
        <w:t xml:space="preserve">management affects corporate performance by examining the relationship between corporate accounting and market performance and the cash conversion cycle. Some </w:t>
      </w:r>
      <w:r w:rsidRPr="00F01DEB">
        <w:rPr>
          <w:rFonts w:ascii="Times New Roman" w:hAnsi="Times New Roman" w:cs="Times New Roman"/>
        </w:rPr>
        <w:t>f</w:t>
      </w:r>
      <w:r w:rsidR="00E41C62" w:rsidRPr="00F01DEB">
        <w:rPr>
          <w:rFonts w:ascii="Times New Roman" w:hAnsi="Times New Roman" w:cs="Times New Roman"/>
        </w:rPr>
        <w:t>inancial variables of a sample of nonfinancial firms from the GCC six countries ha</w:t>
      </w:r>
      <w:r w:rsidR="007B61FD" w:rsidRPr="00F01DEB">
        <w:rPr>
          <w:rFonts w:ascii="Times New Roman" w:hAnsi="Times New Roman" w:cs="Times New Roman"/>
        </w:rPr>
        <w:t xml:space="preserve">ve </w:t>
      </w:r>
      <w:r w:rsidR="00E41C62" w:rsidRPr="00F01DEB">
        <w:rPr>
          <w:rFonts w:ascii="Times New Roman" w:hAnsi="Times New Roman" w:cs="Times New Roman"/>
        </w:rPr>
        <w:t xml:space="preserve">been analyzed </w:t>
      </w:r>
      <w:r w:rsidR="007B61FD" w:rsidRPr="00F01DEB">
        <w:rPr>
          <w:rFonts w:ascii="Times New Roman" w:hAnsi="Times New Roman" w:cs="Times New Roman"/>
        </w:rPr>
        <w:t xml:space="preserve">employing cross sectional and pooling methods. The results are unique in the sense they contradict the theoretical propositions as well as the mass of the previous literature. That is, this paper finds a feeble, if any, relationship between cash conversion cycle and corporate profitability. This paper conjectures that firms in GCC countries, being part </w:t>
      </w:r>
      <w:r w:rsidRPr="00F01DEB">
        <w:rPr>
          <w:rFonts w:ascii="Times New Roman" w:hAnsi="Times New Roman" w:cs="Times New Roman"/>
        </w:rPr>
        <w:t xml:space="preserve">of </w:t>
      </w:r>
      <w:r w:rsidR="007B61FD" w:rsidRPr="00F01DEB">
        <w:rPr>
          <w:rFonts w:ascii="Times New Roman" w:hAnsi="Times New Roman" w:cs="Times New Roman"/>
        </w:rPr>
        <w:t xml:space="preserve">the emerging markets, solicit </w:t>
      </w:r>
      <w:r w:rsidRPr="00F01DEB">
        <w:rPr>
          <w:rFonts w:ascii="Times New Roman" w:hAnsi="Times New Roman" w:cs="Times New Roman"/>
        </w:rPr>
        <w:t xml:space="preserve">lavish </w:t>
      </w:r>
      <w:r w:rsidR="007B61FD" w:rsidRPr="00F01DEB">
        <w:rPr>
          <w:rFonts w:ascii="Times New Roman" w:hAnsi="Times New Roman" w:cs="Times New Roman"/>
        </w:rPr>
        <w:t>government subsidies which provide enough</w:t>
      </w:r>
      <w:r w:rsidRPr="00F01DEB">
        <w:rPr>
          <w:rFonts w:ascii="Times New Roman" w:hAnsi="Times New Roman" w:cs="Times New Roman"/>
        </w:rPr>
        <w:t>, cheap</w:t>
      </w:r>
      <w:r w:rsidR="007B61FD" w:rsidRPr="00F01DEB">
        <w:rPr>
          <w:rFonts w:ascii="Times New Roman" w:hAnsi="Times New Roman" w:cs="Times New Roman"/>
        </w:rPr>
        <w:t xml:space="preserve"> </w:t>
      </w:r>
      <w:r w:rsidR="004A36E6" w:rsidRPr="00F01DEB">
        <w:rPr>
          <w:rFonts w:ascii="Times New Roman" w:hAnsi="Times New Roman" w:cs="Times New Roman"/>
        </w:rPr>
        <w:t xml:space="preserve">and continuous </w:t>
      </w:r>
      <w:r w:rsidR="007B61FD" w:rsidRPr="00F01DEB">
        <w:rPr>
          <w:rFonts w:ascii="Times New Roman" w:hAnsi="Times New Roman" w:cs="Times New Roman"/>
        </w:rPr>
        <w:t>financing</w:t>
      </w:r>
      <w:r w:rsidR="00A423B0" w:rsidRPr="00F01DEB">
        <w:rPr>
          <w:rFonts w:ascii="Times New Roman" w:hAnsi="Times New Roman" w:cs="Times New Roman"/>
        </w:rPr>
        <w:t xml:space="preserve"> for working capital</w:t>
      </w:r>
      <w:r w:rsidR="004A36E6" w:rsidRPr="00F01DEB">
        <w:rPr>
          <w:rFonts w:ascii="Times New Roman" w:hAnsi="Times New Roman" w:cs="Times New Roman"/>
        </w:rPr>
        <w:t>. Therefore, managing working capital efficiently becomes less enviable.</w:t>
      </w:r>
    </w:p>
    <w:p w:rsidR="004A36E6" w:rsidRPr="00F01DEB" w:rsidRDefault="004A36E6" w:rsidP="00F01DEB">
      <w:pPr>
        <w:bidi w:val="0"/>
        <w:spacing w:line="240" w:lineRule="auto"/>
        <w:rPr>
          <w:rFonts w:ascii="Times New Roman" w:hAnsi="Times New Roman" w:cs="Times New Roman"/>
        </w:rPr>
      </w:pPr>
      <w:r w:rsidRPr="00F01DEB">
        <w:rPr>
          <w:rFonts w:ascii="Times New Roman" w:hAnsi="Times New Roman" w:cs="Times New Roman"/>
        </w:rPr>
        <w:t>The empirical tests show abstemiously (i.e. few regression models) that there is a negative relationship between the cash conversion cycle and the corporate accounting and the market performance but that relationship is very minimal. Other tests show insignificant rela</w:t>
      </w:r>
      <w:r w:rsidR="00A423B0" w:rsidRPr="00F01DEB">
        <w:rPr>
          <w:rFonts w:ascii="Times New Roman" w:hAnsi="Times New Roman" w:cs="Times New Roman"/>
        </w:rPr>
        <w:t xml:space="preserve">tionship. The control variables, </w:t>
      </w:r>
      <w:r w:rsidRPr="00F01DEB">
        <w:rPr>
          <w:rFonts w:ascii="Times New Roman" w:hAnsi="Times New Roman" w:cs="Times New Roman"/>
        </w:rPr>
        <w:t>the debt ratio and the firm size</w:t>
      </w:r>
      <w:r w:rsidR="00A423B0" w:rsidRPr="00F01DEB">
        <w:rPr>
          <w:rFonts w:ascii="Times New Roman" w:hAnsi="Times New Roman" w:cs="Times New Roman"/>
        </w:rPr>
        <w:t>,</w:t>
      </w:r>
      <w:r w:rsidRPr="00F01DEB">
        <w:rPr>
          <w:rFonts w:ascii="Times New Roman" w:hAnsi="Times New Roman" w:cs="Times New Roman"/>
        </w:rPr>
        <w:t xml:space="preserve"> appear to be according to the theoretical predictions and conform to the related empirical studies.  </w:t>
      </w:r>
    </w:p>
    <w:p w:rsidR="00650D27" w:rsidRPr="00F01DEB" w:rsidRDefault="00650D27" w:rsidP="00F01DEB">
      <w:pPr>
        <w:bidi w:val="0"/>
        <w:spacing w:line="240" w:lineRule="auto"/>
        <w:rPr>
          <w:rFonts w:ascii="Times New Roman" w:hAnsi="Times New Roman" w:cs="Times New Roman"/>
        </w:rPr>
      </w:pPr>
    </w:p>
    <w:p w:rsidR="00D33116" w:rsidRPr="00F01DEB" w:rsidRDefault="00D33116" w:rsidP="00F01DEB">
      <w:pPr>
        <w:bidi w:val="0"/>
        <w:spacing w:line="240" w:lineRule="auto"/>
        <w:rPr>
          <w:rFonts w:ascii="Times New Roman" w:hAnsi="Times New Roman" w:cs="Times New Roman"/>
        </w:rPr>
      </w:pPr>
    </w:p>
    <w:p w:rsidR="007708C3" w:rsidRPr="00F01DEB" w:rsidRDefault="007708C3" w:rsidP="00F01DEB">
      <w:pPr>
        <w:bidi w:val="0"/>
        <w:spacing w:line="240" w:lineRule="auto"/>
        <w:rPr>
          <w:rFonts w:ascii="Times New Roman" w:hAnsi="Times New Roman" w:cs="Times New Roman"/>
        </w:rPr>
      </w:pPr>
      <w:r w:rsidRPr="00F01DEB">
        <w:rPr>
          <w:rFonts w:ascii="Times New Roman" w:hAnsi="Times New Roman" w:cs="Times New Roman"/>
        </w:rPr>
        <w:br w:type="page"/>
      </w:r>
    </w:p>
    <w:p w:rsidR="007708C3" w:rsidRPr="00F01DEB" w:rsidRDefault="007708C3" w:rsidP="00F01DEB">
      <w:pPr>
        <w:bidi w:val="0"/>
        <w:spacing w:line="240" w:lineRule="auto"/>
        <w:jc w:val="center"/>
        <w:rPr>
          <w:rFonts w:ascii="Times New Roman" w:hAnsi="Times New Roman" w:cs="Times New Roman"/>
          <w:u w:val="single"/>
        </w:rPr>
      </w:pPr>
      <w:r w:rsidRPr="00F01DEB">
        <w:rPr>
          <w:rFonts w:ascii="Times New Roman" w:hAnsi="Times New Roman" w:cs="Times New Roman"/>
          <w:u w:val="single"/>
        </w:rPr>
        <w:lastRenderedPageBreak/>
        <w:t>References</w:t>
      </w:r>
    </w:p>
    <w:p w:rsidR="00A727BF" w:rsidRPr="00F01DEB" w:rsidRDefault="00A727BF" w:rsidP="00F01DEB">
      <w:pPr>
        <w:autoSpaceDE w:val="0"/>
        <w:autoSpaceDN w:val="0"/>
        <w:bidi w:val="0"/>
        <w:adjustRightInd w:val="0"/>
        <w:spacing w:after="0" w:line="240" w:lineRule="auto"/>
        <w:rPr>
          <w:rFonts w:ascii="Times New Roman" w:hAnsi="Times New Roman" w:cs="Times New Roman"/>
        </w:rPr>
      </w:pPr>
    </w:p>
    <w:p w:rsidR="007466F8" w:rsidRPr="00F01DEB" w:rsidRDefault="007466F8" w:rsidP="00F01DEB">
      <w:pPr>
        <w:autoSpaceDE w:val="0"/>
        <w:autoSpaceDN w:val="0"/>
        <w:bidi w:val="0"/>
        <w:adjustRightInd w:val="0"/>
        <w:spacing w:after="0" w:line="240" w:lineRule="auto"/>
        <w:rPr>
          <w:rFonts w:ascii="Times New Roman" w:hAnsi="Times New Roman" w:cs="Times New Roman"/>
        </w:rPr>
      </w:pPr>
    </w:p>
    <w:p w:rsidR="007466F8" w:rsidRPr="00F01DEB" w:rsidRDefault="007466F8" w:rsidP="00F01DEB">
      <w:pPr>
        <w:autoSpaceDE w:val="0"/>
        <w:autoSpaceDN w:val="0"/>
        <w:bidi w:val="0"/>
        <w:adjustRightInd w:val="0"/>
        <w:spacing w:after="0" w:line="240" w:lineRule="auto"/>
        <w:rPr>
          <w:rFonts w:ascii="Times New Roman" w:hAnsi="Times New Roman" w:cs="Times New Roman"/>
        </w:rPr>
      </w:pPr>
      <w:r w:rsidRPr="00F01DEB">
        <w:rPr>
          <w:rFonts w:ascii="Times New Roman" w:hAnsi="Times New Roman" w:cs="Times New Roman"/>
        </w:rPr>
        <w:t xml:space="preserve">Abdulrahman, </w:t>
      </w:r>
      <w:r w:rsidR="009C69BD" w:rsidRPr="00F01DEB">
        <w:rPr>
          <w:rFonts w:ascii="Times New Roman" w:hAnsi="Times New Roman" w:cs="Times New Roman"/>
        </w:rPr>
        <w:t>A</w:t>
      </w:r>
      <w:r w:rsidR="00C5379C" w:rsidRPr="00F01DEB">
        <w:rPr>
          <w:rFonts w:ascii="Times New Roman" w:hAnsi="Times New Roman" w:cs="Times New Roman"/>
        </w:rPr>
        <w:t>.</w:t>
      </w:r>
      <w:r w:rsidR="009C69BD" w:rsidRPr="00F01DEB">
        <w:rPr>
          <w:rFonts w:ascii="Times New Roman" w:hAnsi="Times New Roman" w:cs="Times New Roman"/>
        </w:rPr>
        <w:t xml:space="preserve">, T., Qayyum, A. and M. </w:t>
      </w:r>
      <w:proofErr w:type="spellStart"/>
      <w:r w:rsidR="009C69BD" w:rsidRPr="00F01DEB">
        <w:rPr>
          <w:rFonts w:ascii="Times New Roman" w:hAnsi="Times New Roman" w:cs="Times New Roman"/>
        </w:rPr>
        <w:t>Bodla</w:t>
      </w:r>
      <w:proofErr w:type="spellEnd"/>
      <w:r w:rsidR="009C69BD" w:rsidRPr="00F01DEB">
        <w:rPr>
          <w:rFonts w:ascii="Times New Roman" w:hAnsi="Times New Roman" w:cs="Times New Roman"/>
        </w:rPr>
        <w:t xml:space="preserve">, (2010), </w:t>
      </w:r>
      <w:r w:rsidR="00E2572C" w:rsidRPr="00F01DEB">
        <w:rPr>
          <w:rFonts w:ascii="Times New Roman" w:hAnsi="Times New Roman" w:cs="Times New Roman"/>
        </w:rPr>
        <w:t>“</w:t>
      </w:r>
      <w:r w:rsidR="009C69BD" w:rsidRPr="00F01DEB">
        <w:rPr>
          <w:rFonts w:ascii="Times New Roman" w:hAnsi="Times New Roman" w:cs="Times New Roman"/>
        </w:rPr>
        <w:t>Working Capital Management and Corporate Performance of Manufacturing Sector in Pakistan</w:t>
      </w:r>
      <w:r w:rsidR="00E2572C" w:rsidRPr="00F01DEB">
        <w:rPr>
          <w:rFonts w:ascii="Times New Roman" w:hAnsi="Times New Roman" w:cs="Times New Roman"/>
        </w:rPr>
        <w:t>”</w:t>
      </w:r>
      <w:r w:rsidR="009C69BD" w:rsidRPr="00F01DEB">
        <w:rPr>
          <w:rFonts w:ascii="Times New Roman" w:hAnsi="Times New Roman" w:cs="Times New Roman"/>
        </w:rPr>
        <w:t xml:space="preserve">, </w:t>
      </w:r>
      <w:r w:rsidRPr="00F01DEB">
        <w:rPr>
          <w:rFonts w:ascii="Times New Roman" w:hAnsi="Times New Roman" w:cs="Times New Roman"/>
        </w:rPr>
        <w:t>International Research Journal of Finance and Economics</w:t>
      </w:r>
      <w:r w:rsidR="009C69BD" w:rsidRPr="00F01DEB">
        <w:rPr>
          <w:rFonts w:ascii="Times New Roman" w:hAnsi="Times New Roman" w:cs="Times New Roman"/>
        </w:rPr>
        <w:t>, Issue 47, pp 156-169</w:t>
      </w:r>
    </w:p>
    <w:p w:rsidR="007466F8" w:rsidRPr="00F01DEB" w:rsidRDefault="007466F8" w:rsidP="00F01DEB">
      <w:pPr>
        <w:autoSpaceDE w:val="0"/>
        <w:autoSpaceDN w:val="0"/>
        <w:bidi w:val="0"/>
        <w:adjustRightInd w:val="0"/>
        <w:spacing w:after="0" w:line="240" w:lineRule="auto"/>
        <w:rPr>
          <w:rFonts w:ascii="Times New Roman" w:hAnsi="Times New Roman" w:cs="Times New Roman"/>
        </w:rPr>
      </w:pPr>
    </w:p>
    <w:p w:rsidR="00A727BF" w:rsidRPr="00F01DEB" w:rsidRDefault="00A727BF" w:rsidP="00F01DEB">
      <w:pPr>
        <w:autoSpaceDE w:val="0"/>
        <w:autoSpaceDN w:val="0"/>
        <w:bidi w:val="0"/>
        <w:adjustRightInd w:val="0"/>
        <w:spacing w:after="0" w:line="240" w:lineRule="auto"/>
        <w:rPr>
          <w:rFonts w:ascii="Times New Roman" w:hAnsi="Times New Roman" w:cs="Times New Roman"/>
        </w:rPr>
      </w:pPr>
      <w:r w:rsidRPr="00F01DEB">
        <w:rPr>
          <w:rFonts w:ascii="Times New Roman" w:hAnsi="Times New Roman" w:cs="Times New Roman"/>
        </w:rPr>
        <w:t xml:space="preserve">Berryman, J. (1983), “Small </w:t>
      </w:r>
      <w:r w:rsidR="00E2572C" w:rsidRPr="00F01DEB">
        <w:rPr>
          <w:rFonts w:ascii="Times New Roman" w:hAnsi="Times New Roman" w:cs="Times New Roman"/>
        </w:rPr>
        <w:t>B</w:t>
      </w:r>
      <w:r w:rsidRPr="00F01DEB">
        <w:rPr>
          <w:rFonts w:ascii="Times New Roman" w:hAnsi="Times New Roman" w:cs="Times New Roman"/>
        </w:rPr>
        <w:t xml:space="preserve">usiness </w:t>
      </w:r>
      <w:r w:rsidR="00E2572C" w:rsidRPr="00F01DEB">
        <w:rPr>
          <w:rFonts w:ascii="Times New Roman" w:hAnsi="Times New Roman" w:cs="Times New Roman"/>
        </w:rPr>
        <w:t>F</w:t>
      </w:r>
      <w:r w:rsidRPr="00F01DEB">
        <w:rPr>
          <w:rFonts w:ascii="Times New Roman" w:hAnsi="Times New Roman" w:cs="Times New Roman"/>
        </w:rPr>
        <w:t xml:space="preserve">ailure and </w:t>
      </w:r>
      <w:r w:rsidR="00E2572C" w:rsidRPr="00F01DEB">
        <w:rPr>
          <w:rFonts w:ascii="Times New Roman" w:hAnsi="Times New Roman" w:cs="Times New Roman"/>
        </w:rPr>
        <w:t>B</w:t>
      </w:r>
      <w:r w:rsidRPr="00F01DEB">
        <w:rPr>
          <w:rFonts w:ascii="Times New Roman" w:hAnsi="Times New Roman" w:cs="Times New Roman"/>
        </w:rPr>
        <w:t xml:space="preserve">ankruptcy: </w:t>
      </w:r>
      <w:r w:rsidR="00E2572C" w:rsidRPr="00F01DEB">
        <w:rPr>
          <w:rFonts w:ascii="Times New Roman" w:hAnsi="Times New Roman" w:cs="Times New Roman"/>
        </w:rPr>
        <w:t>A</w:t>
      </w:r>
      <w:r w:rsidRPr="00F01DEB">
        <w:rPr>
          <w:rFonts w:ascii="Times New Roman" w:hAnsi="Times New Roman" w:cs="Times New Roman"/>
        </w:rPr>
        <w:t xml:space="preserve"> </w:t>
      </w:r>
      <w:r w:rsidR="00E2572C" w:rsidRPr="00F01DEB">
        <w:rPr>
          <w:rFonts w:ascii="Times New Roman" w:hAnsi="Times New Roman" w:cs="Times New Roman"/>
        </w:rPr>
        <w:t>S</w:t>
      </w:r>
      <w:r w:rsidRPr="00F01DEB">
        <w:rPr>
          <w:rFonts w:ascii="Times New Roman" w:hAnsi="Times New Roman" w:cs="Times New Roman"/>
        </w:rPr>
        <w:t xml:space="preserve">urvey of the </w:t>
      </w:r>
      <w:r w:rsidR="00E2572C" w:rsidRPr="00F01DEB">
        <w:rPr>
          <w:rFonts w:ascii="Times New Roman" w:hAnsi="Times New Roman" w:cs="Times New Roman"/>
        </w:rPr>
        <w:t>L</w:t>
      </w:r>
      <w:r w:rsidRPr="00F01DEB">
        <w:rPr>
          <w:rFonts w:ascii="Times New Roman" w:hAnsi="Times New Roman" w:cs="Times New Roman"/>
        </w:rPr>
        <w:t xml:space="preserve">iterature”, European Small Business Journal, V. </w:t>
      </w:r>
      <w:r w:rsidR="00E2572C" w:rsidRPr="00F01DEB">
        <w:rPr>
          <w:rFonts w:ascii="Times New Roman" w:hAnsi="Times New Roman" w:cs="Times New Roman"/>
        </w:rPr>
        <w:t>(</w:t>
      </w:r>
      <w:r w:rsidRPr="00F01DEB">
        <w:rPr>
          <w:rFonts w:ascii="Times New Roman" w:hAnsi="Times New Roman" w:cs="Times New Roman"/>
        </w:rPr>
        <w:t>1</w:t>
      </w:r>
      <w:r w:rsidR="00E2572C" w:rsidRPr="00F01DEB">
        <w:rPr>
          <w:rFonts w:ascii="Times New Roman" w:hAnsi="Times New Roman" w:cs="Times New Roman"/>
        </w:rPr>
        <w:t>)</w:t>
      </w:r>
      <w:r w:rsidRPr="00F01DEB">
        <w:rPr>
          <w:rFonts w:ascii="Times New Roman" w:hAnsi="Times New Roman" w:cs="Times New Roman"/>
        </w:rPr>
        <w:t xml:space="preserve"> No. </w:t>
      </w:r>
      <w:r w:rsidR="00E2572C" w:rsidRPr="00F01DEB">
        <w:rPr>
          <w:rFonts w:ascii="Times New Roman" w:hAnsi="Times New Roman" w:cs="Times New Roman"/>
        </w:rPr>
        <w:t>(</w:t>
      </w:r>
      <w:r w:rsidRPr="00F01DEB">
        <w:rPr>
          <w:rFonts w:ascii="Times New Roman" w:hAnsi="Times New Roman" w:cs="Times New Roman"/>
        </w:rPr>
        <w:t>4</w:t>
      </w:r>
      <w:r w:rsidR="00E2572C" w:rsidRPr="00F01DEB">
        <w:rPr>
          <w:rFonts w:ascii="Times New Roman" w:hAnsi="Times New Roman" w:cs="Times New Roman"/>
        </w:rPr>
        <w:t>)</w:t>
      </w:r>
      <w:r w:rsidRPr="00F01DEB">
        <w:rPr>
          <w:rFonts w:ascii="Times New Roman" w:hAnsi="Times New Roman" w:cs="Times New Roman"/>
        </w:rPr>
        <w:t>, pp. 47-59</w:t>
      </w:r>
    </w:p>
    <w:p w:rsidR="007708C3" w:rsidRPr="00F01DEB" w:rsidRDefault="007708C3" w:rsidP="00F01DEB">
      <w:pPr>
        <w:bidi w:val="0"/>
        <w:spacing w:line="240" w:lineRule="auto"/>
        <w:rPr>
          <w:rFonts w:ascii="Times New Roman" w:hAnsi="Times New Roman" w:cs="Times New Roman"/>
        </w:rPr>
      </w:pPr>
    </w:p>
    <w:p w:rsidR="006540A7" w:rsidRPr="00F01DEB" w:rsidRDefault="008724B3" w:rsidP="00F01DEB">
      <w:pPr>
        <w:autoSpaceDE w:val="0"/>
        <w:autoSpaceDN w:val="0"/>
        <w:bidi w:val="0"/>
        <w:adjustRightInd w:val="0"/>
        <w:spacing w:after="0" w:line="240" w:lineRule="auto"/>
        <w:rPr>
          <w:rFonts w:ascii="Times New Roman" w:hAnsi="Times New Roman" w:cs="Times New Roman"/>
        </w:rPr>
      </w:pPr>
      <w:r w:rsidRPr="00F01DEB">
        <w:rPr>
          <w:rFonts w:ascii="Times New Roman" w:hAnsi="Times New Roman" w:cs="Times New Roman"/>
        </w:rPr>
        <w:t xml:space="preserve">Chung, K. and P. Stephen, (1994), </w:t>
      </w:r>
      <w:proofErr w:type="gramStart"/>
      <w:r w:rsidRPr="00F01DEB">
        <w:rPr>
          <w:rFonts w:ascii="Times New Roman" w:hAnsi="Times New Roman" w:cs="Times New Roman"/>
        </w:rPr>
        <w:t>“ A</w:t>
      </w:r>
      <w:proofErr w:type="gramEnd"/>
      <w:r w:rsidRPr="00F01DEB">
        <w:rPr>
          <w:rFonts w:ascii="Times New Roman" w:hAnsi="Times New Roman" w:cs="Times New Roman"/>
        </w:rPr>
        <w:t xml:space="preserve"> simpl</w:t>
      </w:r>
      <w:r w:rsidR="00030404" w:rsidRPr="00F01DEB">
        <w:rPr>
          <w:rFonts w:ascii="Times New Roman" w:hAnsi="Times New Roman" w:cs="Times New Roman"/>
        </w:rPr>
        <w:t xml:space="preserve">e Approximation of Tobin’s Q”, </w:t>
      </w:r>
    </w:p>
    <w:p w:rsidR="008724B3" w:rsidRPr="00F01DEB" w:rsidRDefault="008724B3" w:rsidP="00F01DEB">
      <w:pPr>
        <w:autoSpaceDE w:val="0"/>
        <w:autoSpaceDN w:val="0"/>
        <w:bidi w:val="0"/>
        <w:adjustRightInd w:val="0"/>
        <w:spacing w:after="0" w:line="240" w:lineRule="auto"/>
        <w:rPr>
          <w:rFonts w:ascii="Times New Roman" w:hAnsi="Times New Roman" w:cs="Times New Roman"/>
        </w:rPr>
      </w:pPr>
      <w:r w:rsidRPr="00F01DEB">
        <w:rPr>
          <w:rFonts w:ascii="Times New Roman" w:hAnsi="Times New Roman" w:cs="Times New Roman"/>
        </w:rPr>
        <w:t>Financial management, V. 23, No. 3, pp. 70-74</w:t>
      </w:r>
    </w:p>
    <w:p w:rsidR="008724B3" w:rsidRPr="00F01DEB" w:rsidRDefault="008724B3" w:rsidP="00F01DEB">
      <w:pPr>
        <w:autoSpaceDE w:val="0"/>
        <w:autoSpaceDN w:val="0"/>
        <w:bidi w:val="0"/>
        <w:adjustRightInd w:val="0"/>
        <w:spacing w:after="0" w:line="240" w:lineRule="auto"/>
        <w:rPr>
          <w:rFonts w:ascii="Times New Roman" w:hAnsi="Times New Roman" w:cs="Times New Roman"/>
        </w:rPr>
      </w:pPr>
    </w:p>
    <w:p w:rsidR="00575044" w:rsidRPr="00F01DEB" w:rsidRDefault="00E2572C" w:rsidP="00F01DEB">
      <w:pPr>
        <w:autoSpaceDE w:val="0"/>
        <w:autoSpaceDN w:val="0"/>
        <w:bidi w:val="0"/>
        <w:adjustRightInd w:val="0"/>
        <w:spacing w:after="0" w:line="240" w:lineRule="auto"/>
        <w:rPr>
          <w:rFonts w:ascii="Times New Roman" w:hAnsi="Times New Roman" w:cs="Times New Roman"/>
        </w:rPr>
      </w:pPr>
      <w:proofErr w:type="spellStart"/>
      <w:r w:rsidRPr="00F01DEB">
        <w:rPr>
          <w:rFonts w:ascii="Times New Roman" w:hAnsi="Times New Roman" w:cs="Times New Roman"/>
        </w:rPr>
        <w:t>Deloof</w:t>
      </w:r>
      <w:proofErr w:type="spellEnd"/>
      <w:r w:rsidRPr="00F01DEB">
        <w:rPr>
          <w:rFonts w:ascii="Times New Roman" w:hAnsi="Times New Roman" w:cs="Times New Roman"/>
        </w:rPr>
        <w:t>, M. (2003), “Does W</w:t>
      </w:r>
      <w:r w:rsidR="00575044" w:rsidRPr="00F01DEB">
        <w:rPr>
          <w:rFonts w:ascii="Times New Roman" w:hAnsi="Times New Roman" w:cs="Times New Roman"/>
        </w:rPr>
        <w:t xml:space="preserve">orking </w:t>
      </w:r>
      <w:r w:rsidRPr="00F01DEB">
        <w:rPr>
          <w:rFonts w:ascii="Times New Roman" w:hAnsi="Times New Roman" w:cs="Times New Roman"/>
        </w:rPr>
        <w:t>C</w:t>
      </w:r>
      <w:r w:rsidR="00575044" w:rsidRPr="00F01DEB">
        <w:rPr>
          <w:rFonts w:ascii="Times New Roman" w:hAnsi="Times New Roman" w:cs="Times New Roman"/>
        </w:rPr>
        <w:t xml:space="preserve">apital </w:t>
      </w:r>
      <w:r w:rsidRPr="00F01DEB">
        <w:rPr>
          <w:rFonts w:ascii="Times New Roman" w:hAnsi="Times New Roman" w:cs="Times New Roman"/>
        </w:rPr>
        <w:t>M</w:t>
      </w:r>
      <w:r w:rsidR="00575044" w:rsidRPr="00F01DEB">
        <w:rPr>
          <w:rFonts w:ascii="Times New Roman" w:hAnsi="Times New Roman" w:cs="Times New Roman"/>
        </w:rPr>
        <w:t xml:space="preserve">anagement </w:t>
      </w:r>
      <w:r w:rsidRPr="00F01DEB">
        <w:rPr>
          <w:rFonts w:ascii="Times New Roman" w:hAnsi="Times New Roman" w:cs="Times New Roman"/>
        </w:rPr>
        <w:t>A</w:t>
      </w:r>
      <w:r w:rsidR="00575044" w:rsidRPr="00F01DEB">
        <w:rPr>
          <w:rFonts w:ascii="Times New Roman" w:hAnsi="Times New Roman" w:cs="Times New Roman"/>
        </w:rPr>
        <w:t xml:space="preserve">ffects </w:t>
      </w:r>
      <w:r w:rsidRPr="00F01DEB">
        <w:rPr>
          <w:rFonts w:ascii="Times New Roman" w:hAnsi="Times New Roman" w:cs="Times New Roman"/>
        </w:rPr>
        <w:t>P</w:t>
      </w:r>
      <w:r w:rsidR="00575044" w:rsidRPr="00F01DEB">
        <w:rPr>
          <w:rFonts w:ascii="Times New Roman" w:hAnsi="Times New Roman" w:cs="Times New Roman"/>
        </w:rPr>
        <w:t xml:space="preserve">rofitability of Belgian </w:t>
      </w:r>
      <w:r w:rsidRPr="00F01DEB">
        <w:rPr>
          <w:rFonts w:ascii="Times New Roman" w:hAnsi="Times New Roman" w:cs="Times New Roman"/>
        </w:rPr>
        <w:t>F</w:t>
      </w:r>
      <w:r w:rsidR="00575044" w:rsidRPr="00F01DEB">
        <w:rPr>
          <w:rFonts w:ascii="Times New Roman" w:hAnsi="Times New Roman" w:cs="Times New Roman"/>
        </w:rPr>
        <w:t>irms?”, Journal of Business Finance &amp; Accounting, V</w:t>
      </w:r>
      <w:r w:rsidRPr="00F01DEB">
        <w:rPr>
          <w:rFonts w:ascii="Times New Roman" w:hAnsi="Times New Roman" w:cs="Times New Roman"/>
        </w:rPr>
        <w:t>. (</w:t>
      </w:r>
      <w:r w:rsidR="00575044" w:rsidRPr="00F01DEB">
        <w:rPr>
          <w:rFonts w:ascii="Times New Roman" w:hAnsi="Times New Roman" w:cs="Times New Roman"/>
        </w:rPr>
        <w:t>30</w:t>
      </w:r>
      <w:r w:rsidRPr="00F01DEB">
        <w:rPr>
          <w:rFonts w:ascii="Times New Roman" w:hAnsi="Times New Roman" w:cs="Times New Roman"/>
        </w:rPr>
        <w:t>),</w:t>
      </w:r>
      <w:r w:rsidR="00575044" w:rsidRPr="00F01DEB">
        <w:rPr>
          <w:rFonts w:ascii="Times New Roman" w:hAnsi="Times New Roman" w:cs="Times New Roman"/>
        </w:rPr>
        <w:t xml:space="preserve"> No. </w:t>
      </w:r>
      <w:r w:rsidRPr="00F01DEB">
        <w:rPr>
          <w:rFonts w:ascii="Times New Roman" w:hAnsi="Times New Roman" w:cs="Times New Roman"/>
        </w:rPr>
        <w:t>(</w:t>
      </w:r>
      <w:r w:rsidR="00575044" w:rsidRPr="00F01DEB">
        <w:rPr>
          <w:rFonts w:ascii="Times New Roman" w:hAnsi="Times New Roman" w:cs="Times New Roman"/>
        </w:rPr>
        <w:t>3</w:t>
      </w:r>
      <w:r w:rsidRPr="00F01DEB">
        <w:rPr>
          <w:rFonts w:ascii="Times New Roman" w:hAnsi="Times New Roman" w:cs="Times New Roman"/>
        </w:rPr>
        <w:t>)</w:t>
      </w:r>
      <w:r w:rsidR="00575044" w:rsidRPr="00F01DEB">
        <w:rPr>
          <w:rFonts w:ascii="Times New Roman" w:hAnsi="Times New Roman" w:cs="Times New Roman"/>
        </w:rPr>
        <w:t>, pp. 573-87</w:t>
      </w:r>
    </w:p>
    <w:p w:rsidR="00575044" w:rsidRPr="00F01DEB" w:rsidRDefault="00575044" w:rsidP="00F01DEB">
      <w:pPr>
        <w:autoSpaceDE w:val="0"/>
        <w:autoSpaceDN w:val="0"/>
        <w:bidi w:val="0"/>
        <w:adjustRightInd w:val="0"/>
        <w:spacing w:after="0" w:line="240" w:lineRule="auto"/>
        <w:rPr>
          <w:rFonts w:ascii="Times New Roman" w:hAnsi="Times New Roman" w:cs="Times New Roman"/>
        </w:rPr>
      </w:pPr>
    </w:p>
    <w:p w:rsidR="007708C3" w:rsidRPr="00F01DEB" w:rsidRDefault="007708C3" w:rsidP="00F01DEB">
      <w:pPr>
        <w:bidi w:val="0"/>
        <w:spacing w:line="240" w:lineRule="auto"/>
        <w:rPr>
          <w:rFonts w:ascii="Times New Roman" w:hAnsi="Times New Roman" w:cs="Times New Roman"/>
        </w:rPr>
      </w:pPr>
      <w:r w:rsidRPr="00F01DEB">
        <w:rPr>
          <w:rFonts w:ascii="Times New Roman" w:hAnsi="Times New Roman" w:cs="Times New Roman"/>
        </w:rPr>
        <w:t xml:space="preserve">Duggal, R. and M. </w:t>
      </w:r>
      <w:proofErr w:type="spellStart"/>
      <w:r w:rsidRPr="00F01DEB">
        <w:rPr>
          <w:rFonts w:ascii="Times New Roman" w:hAnsi="Times New Roman" w:cs="Times New Roman"/>
        </w:rPr>
        <w:t>Budden</w:t>
      </w:r>
      <w:proofErr w:type="spellEnd"/>
      <w:r w:rsidRPr="00F01DEB">
        <w:rPr>
          <w:rFonts w:ascii="Times New Roman" w:hAnsi="Times New Roman" w:cs="Times New Roman"/>
        </w:rPr>
        <w:t>, (2015), “Further Evidence Of The Creation Of Value Through The Management Of Net Working Capital: An Analysis Of S&amp;P 500 Firms”, Journal of Business and Economics Research, V. (13), No. (1</w:t>
      </w:r>
      <w:proofErr w:type="gramStart"/>
      <w:r w:rsidRPr="00F01DEB">
        <w:rPr>
          <w:rFonts w:ascii="Times New Roman" w:hAnsi="Times New Roman" w:cs="Times New Roman"/>
        </w:rPr>
        <w:t>),  79</w:t>
      </w:r>
      <w:proofErr w:type="gramEnd"/>
      <w:r w:rsidRPr="00F01DEB">
        <w:rPr>
          <w:rFonts w:ascii="Times New Roman" w:hAnsi="Times New Roman" w:cs="Times New Roman"/>
        </w:rPr>
        <w:t>-82</w:t>
      </w:r>
    </w:p>
    <w:p w:rsidR="00A727BF" w:rsidRPr="00F01DEB" w:rsidRDefault="00A727BF" w:rsidP="00F01DEB">
      <w:pPr>
        <w:autoSpaceDE w:val="0"/>
        <w:autoSpaceDN w:val="0"/>
        <w:bidi w:val="0"/>
        <w:adjustRightInd w:val="0"/>
        <w:spacing w:after="0" w:line="240" w:lineRule="auto"/>
        <w:rPr>
          <w:rFonts w:ascii="Times New Roman" w:hAnsi="Times New Roman" w:cs="Times New Roman"/>
        </w:rPr>
      </w:pPr>
      <w:r w:rsidRPr="00F01DEB">
        <w:rPr>
          <w:rFonts w:ascii="Times New Roman" w:hAnsi="Times New Roman" w:cs="Times New Roman"/>
        </w:rPr>
        <w:t xml:space="preserve">Dunn, P. and </w:t>
      </w:r>
      <w:r w:rsidR="00C80A96" w:rsidRPr="00F01DEB">
        <w:rPr>
          <w:rFonts w:ascii="Times New Roman" w:hAnsi="Times New Roman" w:cs="Times New Roman"/>
        </w:rPr>
        <w:t xml:space="preserve">L. </w:t>
      </w:r>
      <w:r w:rsidRPr="00F01DEB">
        <w:rPr>
          <w:rFonts w:ascii="Times New Roman" w:hAnsi="Times New Roman" w:cs="Times New Roman"/>
        </w:rPr>
        <w:t>Cheatham, (1993), “Funda</w:t>
      </w:r>
      <w:r w:rsidR="00E2572C" w:rsidRPr="00F01DEB">
        <w:rPr>
          <w:rFonts w:ascii="Times New Roman" w:hAnsi="Times New Roman" w:cs="Times New Roman"/>
        </w:rPr>
        <w:t>mentals of S</w:t>
      </w:r>
      <w:r w:rsidRPr="00F01DEB">
        <w:rPr>
          <w:rFonts w:ascii="Times New Roman" w:hAnsi="Times New Roman" w:cs="Times New Roman"/>
        </w:rPr>
        <w:t xml:space="preserve">mall </w:t>
      </w:r>
      <w:r w:rsidR="00E2572C" w:rsidRPr="00F01DEB">
        <w:rPr>
          <w:rFonts w:ascii="Times New Roman" w:hAnsi="Times New Roman" w:cs="Times New Roman"/>
        </w:rPr>
        <w:t>B</w:t>
      </w:r>
      <w:r w:rsidRPr="00F01DEB">
        <w:rPr>
          <w:rFonts w:ascii="Times New Roman" w:hAnsi="Times New Roman" w:cs="Times New Roman"/>
        </w:rPr>
        <w:t xml:space="preserve">usiness </w:t>
      </w:r>
      <w:r w:rsidR="00E2572C" w:rsidRPr="00F01DEB">
        <w:rPr>
          <w:rFonts w:ascii="Times New Roman" w:hAnsi="Times New Roman" w:cs="Times New Roman"/>
        </w:rPr>
        <w:t>F</w:t>
      </w:r>
      <w:r w:rsidRPr="00F01DEB">
        <w:rPr>
          <w:rFonts w:ascii="Times New Roman" w:hAnsi="Times New Roman" w:cs="Times New Roman"/>
        </w:rPr>
        <w:t xml:space="preserve">inancial </w:t>
      </w:r>
      <w:r w:rsidR="00E2572C" w:rsidRPr="00F01DEB">
        <w:rPr>
          <w:rFonts w:ascii="Times New Roman" w:hAnsi="Times New Roman" w:cs="Times New Roman"/>
        </w:rPr>
        <w:t>M</w:t>
      </w:r>
      <w:r w:rsidRPr="00F01DEB">
        <w:rPr>
          <w:rFonts w:ascii="Times New Roman" w:hAnsi="Times New Roman" w:cs="Times New Roman"/>
        </w:rPr>
        <w:t xml:space="preserve">anagement for </w:t>
      </w:r>
      <w:r w:rsidR="00E2572C" w:rsidRPr="00F01DEB">
        <w:rPr>
          <w:rFonts w:ascii="Times New Roman" w:hAnsi="Times New Roman" w:cs="Times New Roman"/>
        </w:rPr>
        <w:t>S</w:t>
      </w:r>
      <w:r w:rsidRPr="00F01DEB">
        <w:rPr>
          <w:rFonts w:ascii="Times New Roman" w:hAnsi="Times New Roman" w:cs="Times New Roman"/>
        </w:rPr>
        <w:t xml:space="preserve">tart-up, </w:t>
      </w:r>
      <w:r w:rsidR="00E2572C" w:rsidRPr="00F01DEB">
        <w:rPr>
          <w:rFonts w:ascii="Times New Roman" w:hAnsi="Times New Roman" w:cs="Times New Roman"/>
        </w:rPr>
        <w:t>S</w:t>
      </w:r>
      <w:r w:rsidRPr="00F01DEB">
        <w:rPr>
          <w:rFonts w:ascii="Times New Roman" w:hAnsi="Times New Roman" w:cs="Times New Roman"/>
        </w:rPr>
        <w:t xml:space="preserve">urvival, </w:t>
      </w:r>
      <w:r w:rsidR="00E2572C" w:rsidRPr="00F01DEB">
        <w:rPr>
          <w:rFonts w:ascii="Times New Roman" w:hAnsi="Times New Roman" w:cs="Times New Roman"/>
        </w:rPr>
        <w:t>G</w:t>
      </w:r>
      <w:r w:rsidRPr="00F01DEB">
        <w:rPr>
          <w:rFonts w:ascii="Times New Roman" w:hAnsi="Times New Roman" w:cs="Times New Roman"/>
        </w:rPr>
        <w:t xml:space="preserve">rowth, and </w:t>
      </w:r>
      <w:r w:rsidR="00E2572C" w:rsidRPr="00F01DEB">
        <w:rPr>
          <w:rFonts w:ascii="Times New Roman" w:hAnsi="Times New Roman" w:cs="Times New Roman"/>
        </w:rPr>
        <w:t>C</w:t>
      </w:r>
      <w:r w:rsidRPr="00F01DEB">
        <w:rPr>
          <w:rFonts w:ascii="Times New Roman" w:hAnsi="Times New Roman" w:cs="Times New Roman"/>
        </w:rPr>
        <w:t xml:space="preserve">hanging </w:t>
      </w:r>
      <w:r w:rsidR="00E2572C" w:rsidRPr="00F01DEB">
        <w:rPr>
          <w:rFonts w:ascii="Times New Roman" w:hAnsi="Times New Roman" w:cs="Times New Roman"/>
        </w:rPr>
        <w:t>E</w:t>
      </w:r>
      <w:r w:rsidRPr="00F01DEB">
        <w:rPr>
          <w:rFonts w:ascii="Times New Roman" w:hAnsi="Times New Roman" w:cs="Times New Roman"/>
        </w:rPr>
        <w:t xml:space="preserve">conomic </w:t>
      </w:r>
      <w:r w:rsidR="00E2572C" w:rsidRPr="00F01DEB">
        <w:rPr>
          <w:rFonts w:ascii="Times New Roman" w:hAnsi="Times New Roman" w:cs="Times New Roman"/>
        </w:rPr>
        <w:t>C</w:t>
      </w:r>
      <w:r w:rsidRPr="00F01DEB">
        <w:rPr>
          <w:rFonts w:ascii="Times New Roman" w:hAnsi="Times New Roman" w:cs="Times New Roman"/>
        </w:rPr>
        <w:t>ircumstances”, Managerial Finance, V</w:t>
      </w:r>
      <w:r w:rsidR="00E2572C" w:rsidRPr="00F01DEB">
        <w:rPr>
          <w:rFonts w:ascii="Times New Roman" w:hAnsi="Times New Roman" w:cs="Times New Roman"/>
        </w:rPr>
        <w:t>. (</w:t>
      </w:r>
      <w:r w:rsidRPr="00F01DEB">
        <w:rPr>
          <w:rFonts w:ascii="Times New Roman" w:hAnsi="Times New Roman" w:cs="Times New Roman"/>
        </w:rPr>
        <w:t>19</w:t>
      </w:r>
      <w:r w:rsidR="00E2572C" w:rsidRPr="00F01DEB">
        <w:rPr>
          <w:rFonts w:ascii="Times New Roman" w:hAnsi="Times New Roman" w:cs="Times New Roman"/>
        </w:rPr>
        <w:t>),</w:t>
      </w:r>
      <w:r w:rsidRPr="00F01DEB">
        <w:rPr>
          <w:rFonts w:ascii="Times New Roman" w:hAnsi="Times New Roman" w:cs="Times New Roman"/>
        </w:rPr>
        <w:t xml:space="preserve"> No. </w:t>
      </w:r>
      <w:r w:rsidR="00E2572C" w:rsidRPr="00F01DEB">
        <w:rPr>
          <w:rFonts w:ascii="Times New Roman" w:hAnsi="Times New Roman" w:cs="Times New Roman"/>
        </w:rPr>
        <w:t>(</w:t>
      </w:r>
      <w:r w:rsidRPr="00F01DEB">
        <w:rPr>
          <w:rFonts w:ascii="Times New Roman" w:hAnsi="Times New Roman" w:cs="Times New Roman"/>
        </w:rPr>
        <w:t>8</w:t>
      </w:r>
      <w:r w:rsidR="00E2572C" w:rsidRPr="00F01DEB">
        <w:rPr>
          <w:rFonts w:ascii="Times New Roman" w:hAnsi="Times New Roman" w:cs="Times New Roman"/>
        </w:rPr>
        <w:t>)</w:t>
      </w:r>
      <w:r w:rsidRPr="00F01DEB">
        <w:rPr>
          <w:rFonts w:ascii="Times New Roman" w:hAnsi="Times New Roman" w:cs="Times New Roman"/>
        </w:rPr>
        <w:t>, pp. 1-13</w:t>
      </w:r>
    </w:p>
    <w:p w:rsidR="00A727BF" w:rsidRPr="00F01DEB" w:rsidRDefault="00A727BF" w:rsidP="00F01DEB">
      <w:pPr>
        <w:autoSpaceDE w:val="0"/>
        <w:autoSpaceDN w:val="0"/>
        <w:bidi w:val="0"/>
        <w:adjustRightInd w:val="0"/>
        <w:spacing w:after="0" w:line="240" w:lineRule="auto"/>
        <w:rPr>
          <w:rFonts w:ascii="Times New Roman" w:hAnsi="Times New Roman" w:cs="Times New Roman"/>
        </w:rPr>
      </w:pPr>
    </w:p>
    <w:p w:rsidR="002C3825" w:rsidRPr="00F01DEB" w:rsidRDefault="002C3825" w:rsidP="00F01DEB">
      <w:pPr>
        <w:autoSpaceDE w:val="0"/>
        <w:autoSpaceDN w:val="0"/>
        <w:bidi w:val="0"/>
        <w:adjustRightInd w:val="0"/>
        <w:spacing w:after="0" w:line="240" w:lineRule="auto"/>
        <w:rPr>
          <w:rFonts w:ascii="Times New Roman" w:hAnsi="Times New Roman" w:cs="Times New Roman"/>
        </w:rPr>
      </w:pPr>
      <w:proofErr w:type="spellStart"/>
      <w:r w:rsidRPr="00F01DEB">
        <w:rPr>
          <w:rFonts w:ascii="Times New Roman" w:hAnsi="Times New Roman" w:cs="Times New Roman"/>
        </w:rPr>
        <w:t>Haron</w:t>
      </w:r>
      <w:proofErr w:type="spellEnd"/>
      <w:r w:rsidRPr="00F01DEB">
        <w:rPr>
          <w:rFonts w:ascii="Times New Roman" w:hAnsi="Times New Roman" w:cs="Times New Roman"/>
        </w:rPr>
        <w:t xml:space="preserve">, R., and N. </w:t>
      </w:r>
      <w:proofErr w:type="spellStart"/>
      <w:r w:rsidRPr="00F01DEB">
        <w:rPr>
          <w:rFonts w:ascii="Times New Roman" w:hAnsi="Times New Roman" w:cs="Times New Roman"/>
        </w:rPr>
        <w:t>Nomran</w:t>
      </w:r>
      <w:proofErr w:type="spellEnd"/>
      <w:r w:rsidRPr="00F01DEB">
        <w:rPr>
          <w:rFonts w:ascii="Times New Roman" w:hAnsi="Times New Roman" w:cs="Times New Roman"/>
        </w:rPr>
        <w:t xml:space="preserve"> (2016), </w:t>
      </w:r>
      <w:r w:rsidR="00E2572C" w:rsidRPr="00F01DEB">
        <w:rPr>
          <w:rFonts w:ascii="Times New Roman" w:hAnsi="Times New Roman" w:cs="Times New Roman"/>
        </w:rPr>
        <w:t>“</w:t>
      </w:r>
      <w:r w:rsidRPr="00F01DEB">
        <w:rPr>
          <w:rFonts w:ascii="Times New Roman" w:hAnsi="Times New Roman" w:cs="Times New Roman"/>
        </w:rPr>
        <w:t xml:space="preserve">Determinants of </w:t>
      </w:r>
      <w:r w:rsidR="00E2572C" w:rsidRPr="00F01DEB">
        <w:rPr>
          <w:rFonts w:ascii="Times New Roman" w:hAnsi="Times New Roman" w:cs="Times New Roman"/>
        </w:rPr>
        <w:t>W</w:t>
      </w:r>
      <w:r w:rsidRPr="00F01DEB">
        <w:rPr>
          <w:rFonts w:ascii="Times New Roman" w:hAnsi="Times New Roman" w:cs="Times New Roman"/>
        </w:rPr>
        <w:t xml:space="preserve">orking </w:t>
      </w:r>
      <w:proofErr w:type="spellStart"/>
      <w:r w:rsidR="00E2572C" w:rsidRPr="00F01DEB">
        <w:rPr>
          <w:rFonts w:ascii="Times New Roman" w:hAnsi="Times New Roman" w:cs="Times New Roman"/>
        </w:rPr>
        <w:t>C</w:t>
      </w:r>
      <w:r w:rsidRPr="00F01DEB">
        <w:rPr>
          <w:rFonts w:ascii="Times New Roman" w:hAnsi="Times New Roman" w:cs="Times New Roman"/>
        </w:rPr>
        <w:t>capital</w:t>
      </w:r>
      <w:proofErr w:type="spellEnd"/>
    </w:p>
    <w:p w:rsidR="002C3825" w:rsidRPr="00F01DEB" w:rsidRDefault="00E2572C" w:rsidP="00F01DEB">
      <w:pPr>
        <w:autoSpaceDE w:val="0"/>
        <w:autoSpaceDN w:val="0"/>
        <w:bidi w:val="0"/>
        <w:adjustRightInd w:val="0"/>
        <w:spacing w:after="0" w:line="240" w:lineRule="auto"/>
        <w:rPr>
          <w:rFonts w:ascii="Times New Roman" w:hAnsi="Times New Roman" w:cs="Times New Roman"/>
          <w:b/>
          <w:bCs/>
        </w:rPr>
      </w:pPr>
      <w:r w:rsidRPr="00F01DEB">
        <w:rPr>
          <w:rFonts w:ascii="Times New Roman" w:hAnsi="Times New Roman" w:cs="Times New Roman"/>
        </w:rPr>
        <w:t>M</w:t>
      </w:r>
      <w:r w:rsidR="002C3825" w:rsidRPr="00F01DEB">
        <w:rPr>
          <w:rFonts w:ascii="Times New Roman" w:hAnsi="Times New Roman" w:cs="Times New Roman"/>
        </w:rPr>
        <w:t xml:space="preserve">anagement </w:t>
      </w:r>
      <w:r w:rsidRPr="00F01DEB">
        <w:rPr>
          <w:rFonts w:ascii="Times New Roman" w:hAnsi="Times New Roman" w:cs="Times New Roman"/>
        </w:rPr>
        <w:t>B</w:t>
      </w:r>
      <w:r w:rsidR="002C3825" w:rsidRPr="00F01DEB">
        <w:rPr>
          <w:rFonts w:ascii="Times New Roman" w:hAnsi="Times New Roman" w:cs="Times New Roman"/>
        </w:rPr>
        <w:t xml:space="preserve">efore, </w:t>
      </w:r>
      <w:r w:rsidRPr="00F01DEB">
        <w:rPr>
          <w:rFonts w:ascii="Times New Roman" w:hAnsi="Times New Roman" w:cs="Times New Roman"/>
        </w:rPr>
        <w:t>D</w:t>
      </w:r>
      <w:r w:rsidR="002C3825" w:rsidRPr="00F01DEB">
        <w:rPr>
          <w:rFonts w:ascii="Times New Roman" w:hAnsi="Times New Roman" w:cs="Times New Roman"/>
        </w:rPr>
        <w:t xml:space="preserve">uring, and </w:t>
      </w:r>
      <w:r w:rsidRPr="00F01DEB">
        <w:rPr>
          <w:rFonts w:ascii="Times New Roman" w:hAnsi="Times New Roman" w:cs="Times New Roman"/>
        </w:rPr>
        <w:t>A</w:t>
      </w:r>
      <w:r w:rsidR="002C3825" w:rsidRPr="00F01DEB">
        <w:rPr>
          <w:rFonts w:ascii="Times New Roman" w:hAnsi="Times New Roman" w:cs="Times New Roman"/>
        </w:rPr>
        <w:t xml:space="preserve">fter the </w:t>
      </w:r>
      <w:r w:rsidRPr="00F01DEB">
        <w:rPr>
          <w:rFonts w:ascii="Times New Roman" w:hAnsi="Times New Roman" w:cs="Times New Roman"/>
        </w:rPr>
        <w:t>G</w:t>
      </w:r>
      <w:r w:rsidR="002C3825" w:rsidRPr="00F01DEB">
        <w:rPr>
          <w:rFonts w:ascii="Times New Roman" w:hAnsi="Times New Roman" w:cs="Times New Roman"/>
        </w:rPr>
        <w:t xml:space="preserve">lobal </w:t>
      </w:r>
      <w:r w:rsidRPr="00F01DEB">
        <w:rPr>
          <w:rFonts w:ascii="Times New Roman" w:hAnsi="Times New Roman" w:cs="Times New Roman"/>
        </w:rPr>
        <w:t>F</w:t>
      </w:r>
      <w:r w:rsidR="002C3825" w:rsidRPr="00F01DEB">
        <w:rPr>
          <w:rFonts w:ascii="Times New Roman" w:hAnsi="Times New Roman" w:cs="Times New Roman"/>
        </w:rPr>
        <w:t xml:space="preserve">inancial </w:t>
      </w:r>
      <w:r w:rsidRPr="00F01DEB">
        <w:rPr>
          <w:rFonts w:ascii="Times New Roman" w:hAnsi="Times New Roman" w:cs="Times New Roman"/>
        </w:rPr>
        <w:t>C</w:t>
      </w:r>
      <w:r w:rsidR="002C3825" w:rsidRPr="00F01DEB">
        <w:rPr>
          <w:rFonts w:ascii="Times New Roman" w:hAnsi="Times New Roman" w:cs="Times New Roman"/>
        </w:rPr>
        <w:t>risis of</w:t>
      </w:r>
      <w:r w:rsidR="00DE0F87" w:rsidRPr="00F01DEB">
        <w:rPr>
          <w:rFonts w:ascii="Times New Roman" w:hAnsi="Times New Roman" w:cs="Times New Roman"/>
        </w:rPr>
        <w:t xml:space="preserve"> </w:t>
      </w:r>
      <w:r w:rsidR="002C3825" w:rsidRPr="00F01DEB">
        <w:rPr>
          <w:rFonts w:ascii="Times New Roman" w:hAnsi="Times New Roman" w:cs="Times New Roman"/>
        </w:rPr>
        <w:t xml:space="preserve">2008: </w:t>
      </w:r>
      <w:r w:rsidRPr="00F01DEB">
        <w:rPr>
          <w:rFonts w:ascii="Times New Roman" w:hAnsi="Times New Roman" w:cs="Times New Roman"/>
        </w:rPr>
        <w:t>E</w:t>
      </w:r>
      <w:r w:rsidR="002C3825" w:rsidRPr="00F01DEB">
        <w:rPr>
          <w:rFonts w:ascii="Times New Roman" w:hAnsi="Times New Roman" w:cs="Times New Roman"/>
        </w:rPr>
        <w:t>vidence from Malaysia</w:t>
      </w:r>
      <w:r w:rsidRPr="00F01DEB">
        <w:rPr>
          <w:rFonts w:ascii="Times New Roman" w:hAnsi="Times New Roman" w:cs="Times New Roman"/>
        </w:rPr>
        <w:t>”</w:t>
      </w:r>
      <w:r w:rsidR="002C3825" w:rsidRPr="00F01DEB">
        <w:rPr>
          <w:rFonts w:ascii="Times New Roman" w:hAnsi="Times New Roman" w:cs="Times New Roman"/>
        </w:rPr>
        <w:t>, The Journal of Developing Areas, V. (50), No. (5), pp 461 - 469</w:t>
      </w:r>
    </w:p>
    <w:p w:rsidR="002C3825" w:rsidRPr="00F01DEB" w:rsidRDefault="002C3825" w:rsidP="00F01DEB">
      <w:pPr>
        <w:autoSpaceDE w:val="0"/>
        <w:autoSpaceDN w:val="0"/>
        <w:bidi w:val="0"/>
        <w:adjustRightInd w:val="0"/>
        <w:spacing w:after="0" w:line="240" w:lineRule="auto"/>
        <w:rPr>
          <w:rFonts w:ascii="Times New Roman" w:hAnsi="Times New Roman" w:cs="Times New Roman"/>
        </w:rPr>
      </w:pPr>
    </w:p>
    <w:p w:rsidR="001A7F8E" w:rsidRPr="00F01DEB" w:rsidRDefault="008724B3" w:rsidP="00F01DEB">
      <w:pPr>
        <w:bidi w:val="0"/>
        <w:spacing w:line="240" w:lineRule="auto"/>
        <w:rPr>
          <w:rFonts w:ascii="Times New Roman" w:hAnsi="Times New Roman" w:cs="Times New Roman"/>
        </w:rPr>
      </w:pPr>
      <w:r w:rsidRPr="00F01DEB">
        <w:rPr>
          <w:rFonts w:ascii="Times New Roman" w:hAnsi="Times New Roman" w:cs="Times New Roman"/>
        </w:rPr>
        <w:t>Hyland, David. (1997), “Why Firms Diversify: An Empirical Examination”, A Doctoral Dissertation, Ohio State University</w:t>
      </w:r>
    </w:p>
    <w:p w:rsidR="00030404" w:rsidRPr="00F01DEB" w:rsidRDefault="000A2D1A" w:rsidP="00F01DEB">
      <w:pPr>
        <w:bidi w:val="0"/>
        <w:spacing w:line="240" w:lineRule="auto"/>
        <w:rPr>
          <w:rFonts w:ascii="Times New Roman" w:hAnsi="Times New Roman" w:cs="Times New Roman"/>
        </w:rPr>
      </w:pPr>
      <w:hyperlink r:id="rId9" w:history="1">
        <w:proofErr w:type="spellStart"/>
        <w:r w:rsidR="00030404" w:rsidRPr="00F01DEB">
          <w:rPr>
            <w:rFonts w:ascii="Times New Roman" w:hAnsi="Times New Roman" w:cs="Times New Roman"/>
          </w:rPr>
          <w:t>Kieschnick</w:t>
        </w:r>
        <w:proofErr w:type="spellEnd"/>
      </w:hyperlink>
      <w:r w:rsidR="00030404" w:rsidRPr="00F01DEB">
        <w:rPr>
          <w:rFonts w:ascii="Times New Roman" w:hAnsi="Times New Roman" w:cs="Times New Roman"/>
        </w:rPr>
        <w:t xml:space="preserve">, R., </w:t>
      </w:r>
      <w:proofErr w:type="spellStart"/>
      <w:r w:rsidR="00030404" w:rsidRPr="00F01DEB">
        <w:rPr>
          <w:rFonts w:ascii="Times New Roman" w:hAnsi="Times New Roman" w:cs="Times New Roman"/>
        </w:rPr>
        <w:t>Laplante</w:t>
      </w:r>
      <w:proofErr w:type="spellEnd"/>
      <w:r w:rsidR="00030404" w:rsidRPr="00F01DEB">
        <w:rPr>
          <w:rFonts w:ascii="Times New Roman" w:hAnsi="Times New Roman" w:cs="Times New Roman"/>
        </w:rPr>
        <w:t xml:space="preserve">, M. and </w:t>
      </w:r>
      <w:proofErr w:type="spellStart"/>
      <w:r w:rsidR="00030404" w:rsidRPr="00F01DEB">
        <w:rPr>
          <w:rFonts w:ascii="Times New Roman" w:hAnsi="Times New Roman" w:cs="Times New Roman"/>
        </w:rPr>
        <w:t>Rabih</w:t>
      </w:r>
      <w:proofErr w:type="spellEnd"/>
      <w:r w:rsidR="00030404" w:rsidRPr="00F01DEB">
        <w:rPr>
          <w:rFonts w:ascii="Times New Roman" w:hAnsi="Times New Roman" w:cs="Times New Roman"/>
        </w:rPr>
        <w:t xml:space="preserve"> </w:t>
      </w:r>
      <w:proofErr w:type="spellStart"/>
      <w:r w:rsidR="00030404" w:rsidRPr="00F01DEB">
        <w:rPr>
          <w:rFonts w:ascii="Times New Roman" w:hAnsi="Times New Roman" w:cs="Times New Roman"/>
        </w:rPr>
        <w:t>Moussawi</w:t>
      </w:r>
      <w:proofErr w:type="spellEnd"/>
      <w:r w:rsidR="00030404" w:rsidRPr="00F01DEB">
        <w:rPr>
          <w:rFonts w:ascii="Times New Roman" w:hAnsi="Times New Roman" w:cs="Times New Roman"/>
        </w:rPr>
        <w:t xml:space="preserve">, (2013), </w:t>
      </w:r>
      <w:r w:rsidR="00E2572C" w:rsidRPr="00F01DEB">
        <w:rPr>
          <w:rFonts w:ascii="Times New Roman" w:hAnsi="Times New Roman" w:cs="Times New Roman"/>
        </w:rPr>
        <w:t>“</w:t>
      </w:r>
      <w:r w:rsidR="00030404" w:rsidRPr="00F01DEB">
        <w:rPr>
          <w:rFonts w:ascii="Times New Roman" w:hAnsi="Times New Roman" w:cs="Times New Roman"/>
        </w:rPr>
        <w:t>Working Capital Management and Shareholders’ Wealth</w:t>
      </w:r>
      <w:r w:rsidR="00E2572C" w:rsidRPr="00F01DEB">
        <w:rPr>
          <w:rFonts w:ascii="Times New Roman" w:hAnsi="Times New Roman" w:cs="Times New Roman"/>
        </w:rPr>
        <w:t>”</w:t>
      </w:r>
      <w:r w:rsidR="00030404" w:rsidRPr="00F01DEB">
        <w:rPr>
          <w:rFonts w:ascii="Times New Roman" w:hAnsi="Times New Roman" w:cs="Times New Roman"/>
        </w:rPr>
        <w:t>, Review of Finance, V. (17), No. (5), pp 1827-1852.</w:t>
      </w:r>
    </w:p>
    <w:p w:rsidR="00735B45" w:rsidRPr="00F01DEB" w:rsidRDefault="00575044" w:rsidP="00F01DEB">
      <w:pPr>
        <w:autoSpaceDE w:val="0"/>
        <w:autoSpaceDN w:val="0"/>
        <w:bidi w:val="0"/>
        <w:adjustRightInd w:val="0"/>
        <w:spacing w:after="0" w:line="240" w:lineRule="auto"/>
        <w:rPr>
          <w:rFonts w:ascii="Times New Roman" w:hAnsi="Times New Roman" w:cs="Times New Roman"/>
        </w:rPr>
      </w:pPr>
      <w:proofErr w:type="spellStart"/>
      <w:r w:rsidRPr="00F01DEB">
        <w:rPr>
          <w:rFonts w:ascii="Times New Roman" w:hAnsi="Times New Roman" w:cs="Times New Roman"/>
        </w:rPr>
        <w:t>Lazaridis</w:t>
      </w:r>
      <w:proofErr w:type="spellEnd"/>
      <w:r w:rsidRPr="00F01DEB">
        <w:rPr>
          <w:rFonts w:ascii="Times New Roman" w:hAnsi="Times New Roman" w:cs="Times New Roman"/>
        </w:rPr>
        <w:t xml:space="preserve">, I. and </w:t>
      </w:r>
      <w:r w:rsidR="00C80A96" w:rsidRPr="00F01DEB">
        <w:rPr>
          <w:rFonts w:ascii="Times New Roman" w:hAnsi="Times New Roman" w:cs="Times New Roman"/>
        </w:rPr>
        <w:t xml:space="preserve">D. </w:t>
      </w:r>
      <w:proofErr w:type="spellStart"/>
      <w:r w:rsidRPr="00F01DEB">
        <w:rPr>
          <w:rFonts w:ascii="Times New Roman" w:hAnsi="Times New Roman" w:cs="Times New Roman"/>
        </w:rPr>
        <w:t>Tryfonidis</w:t>
      </w:r>
      <w:proofErr w:type="spellEnd"/>
      <w:r w:rsidRPr="00F01DEB">
        <w:rPr>
          <w:rFonts w:ascii="Times New Roman" w:hAnsi="Times New Roman" w:cs="Times New Roman"/>
        </w:rPr>
        <w:t>,</w:t>
      </w:r>
      <w:r w:rsidR="00C80A96" w:rsidRPr="00F01DEB">
        <w:rPr>
          <w:rFonts w:ascii="Times New Roman" w:hAnsi="Times New Roman" w:cs="Times New Roman"/>
        </w:rPr>
        <w:t xml:space="preserve"> </w:t>
      </w:r>
      <w:r w:rsidRPr="00F01DEB">
        <w:rPr>
          <w:rFonts w:ascii="Times New Roman" w:hAnsi="Times New Roman" w:cs="Times New Roman"/>
        </w:rPr>
        <w:t xml:space="preserve">(2006), “Relationship </w:t>
      </w:r>
      <w:r w:rsidR="00E2572C" w:rsidRPr="00F01DEB">
        <w:rPr>
          <w:rFonts w:ascii="Times New Roman" w:hAnsi="Times New Roman" w:cs="Times New Roman"/>
        </w:rPr>
        <w:t>B</w:t>
      </w:r>
      <w:r w:rsidRPr="00F01DEB">
        <w:rPr>
          <w:rFonts w:ascii="Times New Roman" w:hAnsi="Times New Roman" w:cs="Times New Roman"/>
        </w:rPr>
        <w:t xml:space="preserve">etween </w:t>
      </w:r>
      <w:r w:rsidR="00E2572C" w:rsidRPr="00F01DEB">
        <w:rPr>
          <w:rFonts w:ascii="Times New Roman" w:hAnsi="Times New Roman" w:cs="Times New Roman"/>
        </w:rPr>
        <w:t>W</w:t>
      </w:r>
      <w:r w:rsidRPr="00F01DEB">
        <w:rPr>
          <w:rFonts w:ascii="Times New Roman" w:hAnsi="Times New Roman" w:cs="Times New Roman"/>
        </w:rPr>
        <w:t xml:space="preserve">orking </w:t>
      </w:r>
      <w:r w:rsidR="00E2572C" w:rsidRPr="00F01DEB">
        <w:rPr>
          <w:rFonts w:ascii="Times New Roman" w:hAnsi="Times New Roman" w:cs="Times New Roman"/>
        </w:rPr>
        <w:t>C</w:t>
      </w:r>
      <w:r w:rsidRPr="00F01DEB">
        <w:rPr>
          <w:rFonts w:ascii="Times New Roman" w:hAnsi="Times New Roman" w:cs="Times New Roman"/>
        </w:rPr>
        <w:t xml:space="preserve">apital </w:t>
      </w:r>
      <w:r w:rsidR="00E2572C" w:rsidRPr="00F01DEB">
        <w:rPr>
          <w:rFonts w:ascii="Times New Roman" w:hAnsi="Times New Roman" w:cs="Times New Roman"/>
        </w:rPr>
        <w:t>M</w:t>
      </w:r>
      <w:r w:rsidRPr="00F01DEB">
        <w:rPr>
          <w:rFonts w:ascii="Times New Roman" w:hAnsi="Times New Roman" w:cs="Times New Roman"/>
        </w:rPr>
        <w:t xml:space="preserve">anagement and </w:t>
      </w:r>
      <w:r w:rsidR="00E2572C" w:rsidRPr="00F01DEB">
        <w:rPr>
          <w:rFonts w:ascii="Times New Roman" w:hAnsi="Times New Roman" w:cs="Times New Roman"/>
        </w:rPr>
        <w:t>P</w:t>
      </w:r>
      <w:r w:rsidRPr="00F01DEB">
        <w:rPr>
          <w:rFonts w:ascii="Times New Roman" w:hAnsi="Times New Roman" w:cs="Times New Roman"/>
        </w:rPr>
        <w:t xml:space="preserve">rofitability of </w:t>
      </w:r>
      <w:r w:rsidR="00E2572C" w:rsidRPr="00F01DEB">
        <w:rPr>
          <w:rFonts w:ascii="Times New Roman" w:hAnsi="Times New Roman" w:cs="Times New Roman"/>
        </w:rPr>
        <w:t>L</w:t>
      </w:r>
      <w:r w:rsidRPr="00F01DEB">
        <w:rPr>
          <w:rFonts w:ascii="Times New Roman" w:hAnsi="Times New Roman" w:cs="Times New Roman"/>
        </w:rPr>
        <w:t xml:space="preserve">isted </w:t>
      </w:r>
      <w:r w:rsidR="00E2572C" w:rsidRPr="00F01DEB">
        <w:rPr>
          <w:rFonts w:ascii="Times New Roman" w:hAnsi="Times New Roman" w:cs="Times New Roman"/>
        </w:rPr>
        <w:t>C</w:t>
      </w:r>
      <w:r w:rsidRPr="00F01DEB">
        <w:rPr>
          <w:rFonts w:ascii="Times New Roman" w:hAnsi="Times New Roman" w:cs="Times New Roman"/>
        </w:rPr>
        <w:t xml:space="preserve">ompanies in the Athens </w:t>
      </w:r>
      <w:r w:rsidR="00E2572C" w:rsidRPr="00F01DEB">
        <w:rPr>
          <w:rFonts w:ascii="Times New Roman" w:hAnsi="Times New Roman" w:cs="Times New Roman"/>
        </w:rPr>
        <w:t>S</w:t>
      </w:r>
      <w:r w:rsidRPr="00F01DEB">
        <w:rPr>
          <w:rFonts w:ascii="Times New Roman" w:hAnsi="Times New Roman" w:cs="Times New Roman"/>
        </w:rPr>
        <w:t xml:space="preserve">tock </w:t>
      </w:r>
      <w:r w:rsidR="00E2572C" w:rsidRPr="00F01DEB">
        <w:rPr>
          <w:rFonts w:ascii="Times New Roman" w:hAnsi="Times New Roman" w:cs="Times New Roman"/>
        </w:rPr>
        <w:t>E</w:t>
      </w:r>
      <w:r w:rsidRPr="00F01DEB">
        <w:rPr>
          <w:rFonts w:ascii="Times New Roman" w:hAnsi="Times New Roman" w:cs="Times New Roman"/>
        </w:rPr>
        <w:t>xchange”, Journal of Financial Management and Analysis, V</w:t>
      </w:r>
      <w:r w:rsidR="00E2572C" w:rsidRPr="00F01DEB">
        <w:rPr>
          <w:rFonts w:ascii="Times New Roman" w:hAnsi="Times New Roman" w:cs="Times New Roman"/>
        </w:rPr>
        <w:t>. (19),</w:t>
      </w:r>
      <w:r w:rsidRPr="00F01DEB">
        <w:rPr>
          <w:rFonts w:ascii="Times New Roman" w:hAnsi="Times New Roman" w:cs="Times New Roman"/>
        </w:rPr>
        <w:t xml:space="preserve"> No. </w:t>
      </w:r>
      <w:r w:rsidR="00E2572C" w:rsidRPr="00F01DEB">
        <w:rPr>
          <w:rFonts w:ascii="Times New Roman" w:hAnsi="Times New Roman" w:cs="Times New Roman"/>
        </w:rPr>
        <w:t>(</w:t>
      </w:r>
      <w:r w:rsidRPr="00F01DEB">
        <w:rPr>
          <w:rFonts w:ascii="Times New Roman" w:hAnsi="Times New Roman" w:cs="Times New Roman"/>
        </w:rPr>
        <w:t>1</w:t>
      </w:r>
      <w:r w:rsidR="00E2572C" w:rsidRPr="00F01DEB">
        <w:rPr>
          <w:rFonts w:ascii="Times New Roman" w:hAnsi="Times New Roman" w:cs="Times New Roman"/>
        </w:rPr>
        <w:t>)</w:t>
      </w:r>
      <w:r w:rsidRPr="00F01DEB">
        <w:rPr>
          <w:rFonts w:ascii="Times New Roman" w:hAnsi="Times New Roman" w:cs="Times New Roman"/>
        </w:rPr>
        <w:t>, pp. 26-35</w:t>
      </w:r>
    </w:p>
    <w:p w:rsidR="00F01DEB" w:rsidRDefault="00F01DEB" w:rsidP="00F01DEB">
      <w:pPr>
        <w:bidi w:val="0"/>
        <w:spacing w:line="240" w:lineRule="auto"/>
        <w:contextualSpacing/>
        <w:rPr>
          <w:rFonts w:ascii="Times New Roman" w:hAnsi="Times New Roman" w:cs="Times New Roman"/>
        </w:rPr>
      </w:pPr>
    </w:p>
    <w:p w:rsidR="008724B3" w:rsidRPr="00F01DEB" w:rsidRDefault="008724B3" w:rsidP="00F01DEB">
      <w:pPr>
        <w:bidi w:val="0"/>
        <w:spacing w:line="240" w:lineRule="auto"/>
        <w:contextualSpacing/>
        <w:rPr>
          <w:rFonts w:ascii="Times New Roman" w:hAnsi="Times New Roman" w:cs="Times New Roman"/>
        </w:rPr>
      </w:pPr>
      <w:r w:rsidRPr="00F01DEB">
        <w:rPr>
          <w:rFonts w:ascii="Times New Roman" w:hAnsi="Times New Roman" w:cs="Times New Roman"/>
        </w:rPr>
        <w:t xml:space="preserve">Lindenberg, E.; and A. Ross, (1981) “Tobin’s Q Ratio and Industrial Organization”, </w:t>
      </w:r>
    </w:p>
    <w:p w:rsidR="008724B3" w:rsidRPr="00F01DEB" w:rsidRDefault="008724B3" w:rsidP="00F01DEB">
      <w:pPr>
        <w:bidi w:val="0"/>
        <w:spacing w:line="240" w:lineRule="auto"/>
        <w:contextualSpacing/>
        <w:rPr>
          <w:rFonts w:ascii="Times New Roman" w:hAnsi="Times New Roman" w:cs="Times New Roman"/>
        </w:rPr>
      </w:pPr>
      <w:r w:rsidRPr="00F01DEB">
        <w:rPr>
          <w:rFonts w:ascii="Times New Roman" w:hAnsi="Times New Roman" w:cs="Times New Roman"/>
        </w:rPr>
        <w:t xml:space="preserve">Journal of Business, </w:t>
      </w:r>
      <w:r w:rsidR="00DD510C" w:rsidRPr="00F01DEB">
        <w:rPr>
          <w:rFonts w:ascii="Times New Roman" w:hAnsi="Times New Roman" w:cs="Times New Roman"/>
        </w:rPr>
        <w:t xml:space="preserve">pp </w:t>
      </w:r>
      <w:r w:rsidRPr="00F01DEB">
        <w:rPr>
          <w:rFonts w:ascii="Times New Roman" w:hAnsi="Times New Roman" w:cs="Times New Roman"/>
        </w:rPr>
        <w:t>1-32</w:t>
      </w:r>
    </w:p>
    <w:p w:rsidR="00A727BF" w:rsidRPr="00F01DEB" w:rsidRDefault="00C80A96" w:rsidP="00F01DEB">
      <w:pPr>
        <w:pStyle w:val="Default"/>
        <w:rPr>
          <w:sz w:val="22"/>
          <w:szCs w:val="22"/>
        </w:rPr>
      </w:pPr>
      <w:proofErr w:type="spellStart"/>
      <w:r w:rsidRPr="00F01DEB">
        <w:rPr>
          <w:sz w:val="22"/>
          <w:szCs w:val="22"/>
        </w:rPr>
        <w:t>Mansoori</w:t>
      </w:r>
      <w:proofErr w:type="spellEnd"/>
      <w:r w:rsidRPr="00F01DEB">
        <w:rPr>
          <w:sz w:val="22"/>
          <w:szCs w:val="22"/>
        </w:rPr>
        <w:t xml:space="preserve">, E., and D. </w:t>
      </w:r>
      <w:proofErr w:type="spellStart"/>
      <w:r w:rsidRPr="00F01DEB">
        <w:rPr>
          <w:sz w:val="22"/>
          <w:szCs w:val="22"/>
        </w:rPr>
        <w:t>Joriah</w:t>
      </w:r>
      <w:proofErr w:type="spellEnd"/>
      <w:r w:rsidRPr="00F01DEB">
        <w:rPr>
          <w:sz w:val="22"/>
          <w:szCs w:val="22"/>
        </w:rPr>
        <w:t xml:space="preserve"> (2012), </w:t>
      </w:r>
      <w:r w:rsidR="00DD510C" w:rsidRPr="00F01DEB">
        <w:rPr>
          <w:sz w:val="22"/>
          <w:szCs w:val="22"/>
        </w:rPr>
        <w:t>“</w:t>
      </w:r>
      <w:r w:rsidRPr="00F01DEB">
        <w:rPr>
          <w:color w:val="auto"/>
          <w:sz w:val="22"/>
          <w:szCs w:val="22"/>
        </w:rPr>
        <w:t>The Effect of Working Capital Management on Firm’s Profitability: E</w:t>
      </w:r>
      <w:r w:rsidRPr="00F01DEB">
        <w:rPr>
          <w:sz w:val="22"/>
          <w:szCs w:val="22"/>
        </w:rPr>
        <w:t xml:space="preserve">vidence from Singapore”, </w:t>
      </w:r>
      <w:r w:rsidR="007064FA" w:rsidRPr="00F01DEB">
        <w:rPr>
          <w:sz w:val="22"/>
          <w:szCs w:val="22"/>
        </w:rPr>
        <w:t xml:space="preserve">Interdisciplinary Journal of Contemporary </w:t>
      </w:r>
      <w:proofErr w:type="spellStart"/>
      <w:r w:rsidR="007064FA" w:rsidRPr="00F01DEB">
        <w:rPr>
          <w:sz w:val="22"/>
          <w:szCs w:val="22"/>
        </w:rPr>
        <w:t>Resrach</w:t>
      </w:r>
      <w:proofErr w:type="spellEnd"/>
      <w:r w:rsidR="007064FA" w:rsidRPr="00F01DEB">
        <w:rPr>
          <w:sz w:val="22"/>
          <w:szCs w:val="22"/>
        </w:rPr>
        <w:t xml:space="preserve"> in Business, V. (4), No. (5), pp 472-486</w:t>
      </w:r>
    </w:p>
    <w:p w:rsidR="007064FA" w:rsidRPr="00F01DEB" w:rsidRDefault="00762DA7" w:rsidP="00F01DEB">
      <w:pPr>
        <w:autoSpaceDE w:val="0"/>
        <w:autoSpaceDN w:val="0"/>
        <w:bidi w:val="0"/>
        <w:adjustRightInd w:val="0"/>
        <w:spacing w:after="0" w:line="240" w:lineRule="auto"/>
        <w:rPr>
          <w:rFonts w:ascii="Times New Roman" w:hAnsi="Times New Roman" w:cs="Times New Roman"/>
        </w:rPr>
      </w:pPr>
      <w:proofErr w:type="spellStart"/>
      <w:r w:rsidRPr="00F01DEB">
        <w:rPr>
          <w:rFonts w:ascii="Times New Roman" w:hAnsi="Times New Roman" w:cs="Times New Roman"/>
        </w:rPr>
        <w:t>Oseifuah</w:t>
      </w:r>
      <w:proofErr w:type="spellEnd"/>
      <w:r w:rsidRPr="00F01DEB">
        <w:rPr>
          <w:rFonts w:ascii="Times New Roman" w:hAnsi="Times New Roman" w:cs="Times New Roman"/>
        </w:rPr>
        <w:t xml:space="preserve">, E. and A. </w:t>
      </w:r>
      <w:proofErr w:type="spellStart"/>
      <w:r w:rsidRPr="00F01DEB">
        <w:rPr>
          <w:rFonts w:ascii="Times New Roman" w:hAnsi="Times New Roman" w:cs="Times New Roman"/>
        </w:rPr>
        <w:t>Gyekye</w:t>
      </w:r>
      <w:proofErr w:type="spellEnd"/>
      <w:r w:rsidRPr="00F01DEB">
        <w:rPr>
          <w:rFonts w:ascii="Times New Roman" w:hAnsi="Times New Roman" w:cs="Times New Roman"/>
        </w:rPr>
        <w:t>, (2017),</w:t>
      </w:r>
      <w:r w:rsidRPr="00F01DEB">
        <w:t xml:space="preserve"> </w:t>
      </w:r>
      <w:r w:rsidR="00DD510C" w:rsidRPr="00F01DEB">
        <w:t>“</w:t>
      </w:r>
      <w:r w:rsidRPr="00F01DEB">
        <w:rPr>
          <w:rFonts w:ascii="Times New Roman" w:hAnsi="Times New Roman" w:cs="Times New Roman"/>
        </w:rPr>
        <w:t xml:space="preserve">Working </w:t>
      </w:r>
      <w:r w:rsidR="00DD510C" w:rsidRPr="00F01DEB">
        <w:rPr>
          <w:rFonts w:ascii="Times New Roman" w:hAnsi="Times New Roman" w:cs="Times New Roman"/>
        </w:rPr>
        <w:t>C</w:t>
      </w:r>
      <w:r w:rsidRPr="00F01DEB">
        <w:rPr>
          <w:rFonts w:ascii="Times New Roman" w:hAnsi="Times New Roman" w:cs="Times New Roman"/>
        </w:rPr>
        <w:t xml:space="preserve">apital </w:t>
      </w:r>
      <w:r w:rsidR="00DD510C" w:rsidRPr="00F01DEB">
        <w:rPr>
          <w:rFonts w:ascii="Times New Roman" w:hAnsi="Times New Roman" w:cs="Times New Roman"/>
        </w:rPr>
        <w:t>M</w:t>
      </w:r>
      <w:r w:rsidRPr="00F01DEB">
        <w:rPr>
          <w:rFonts w:ascii="Times New Roman" w:hAnsi="Times New Roman" w:cs="Times New Roman"/>
        </w:rPr>
        <w:t xml:space="preserve">anagement and </w:t>
      </w:r>
      <w:r w:rsidR="00DD510C" w:rsidRPr="00F01DEB">
        <w:rPr>
          <w:rFonts w:ascii="Times New Roman" w:hAnsi="Times New Roman" w:cs="Times New Roman"/>
        </w:rPr>
        <w:t>S</w:t>
      </w:r>
      <w:r w:rsidRPr="00F01DEB">
        <w:rPr>
          <w:rFonts w:ascii="Times New Roman" w:hAnsi="Times New Roman" w:cs="Times New Roman"/>
        </w:rPr>
        <w:t xml:space="preserve">hareholders' </w:t>
      </w:r>
      <w:r w:rsidR="00DD510C" w:rsidRPr="00F01DEB">
        <w:rPr>
          <w:rFonts w:ascii="Times New Roman" w:hAnsi="Times New Roman" w:cs="Times New Roman"/>
        </w:rPr>
        <w:t>W</w:t>
      </w:r>
      <w:r w:rsidRPr="00F01DEB">
        <w:rPr>
          <w:rFonts w:ascii="Times New Roman" w:hAnsi="Times New Roman" w:cs="Times New Roman"/>
        </w:rPr>
        <w:t xml:space="preserve">ealth </w:t>
      </w:r>
      <w:r w:rsidR="00DD510C" w:rsidRPr="00F01DEB">
        <w:rPr>
          <w:rFonts w:ascii="Times New Roman" w:hAnsi="Times New Roman" w:cs="Times New Roman"/>
        </w:rPr>
        <w:t>C</w:t>
      </w:r>
      <w:r w:rsidRPr="00F01DEB">
        <w:rPr>
          <w:rFonts w:ascii="Times New Roman" w:hAnsi="Times New Roman" w:cs="Times New Roman"/>
        </w:rPr>
        <w:t xml:space="preserve">reation: </w:t>
      </w:r>
      <w:r w:rsidR="00DD510C" w:rsidRPr="00F01DEB">
        <w:rPr>
          <w:rFonts w:ascii="Times New Roman" w:hAnsi="Times New Roman" w:cs="Times New Roman"/>
        </w:rPr>
        <w:t>E</w:t>
      </w:r>
      <w:r w:rsidRPr="00F01DEB">
        <w:rPr>
          <w:rFonts w:ascii="Times New Roman" w:hAnsi="Times New Roman" w:cs="Times New Roman"/>
        </w:rPr>
        <w:t xml:space="preserve">vidence from </w:t>
      </w:r>
      <w:r w:rsidR="00DD510C" w:rsidRPr="00F01DEB">
        <w:rPr>
          <w:rFonts w:ascii="Times New Roman" w:hAnsi="Times New Roman" w:cs="Times New Roman"/>
        </w:rPr>
        <w:t>N</w:t>
      </w:r>
      <w:r w:rsidRPr="00F01DEB">
        <w:rPr>
          <w:rFonts w:ascii="Times New Roman" w:hAnsi="Times New Roman" w:cs="Times New Roman"/>
        </w:rPr>
        <w:t>on-</w:t>
      </w:r>
      <w:r w:rsidR="00DD510C" w:rsidRPr="00F01DEB">
        <w:rPr>
          <w:rFonts w:ascii="Times New Roman" w:hAnsi="Times New Roman" w:cs="Times New Roman"/>
        </w:rPr>
        <w:t>F</w:t>
      </w:r>
      <w:r w:rsidRPr="00F01DEB">
        <w:rPr>
          <w:rFonts w:ascii="Times New Roman" w:hAnsi="Times New Roman" w:cs="Times New Roman"/>
        </w:rPr>
        <w:t xml:space="preserve">inancial </w:t>
      </w:r>
      <w:r w:rsidR="00DD510C" w:rsidRPr="00F01DEB">
        <w:rPr>
          <w:rFonts w:ascii="Times New Roman" w:hAnsi="Times New Roman" w:cs="Times New Roman"/>
        </w:rPr>
        <w:t>F</w:t>
      </w:r>
      <w:r w:rsidRPr="00F01DEB">
        <w:rPr>
          <w:rFonts w:ascii="Times New Roman" w:hAnsi="Times New Roman" w:cs="Times New Roman"/>
        </w:rPr>
        <w:t xml:space="preserve">irms </w:t>
      </w:r>
      <w:r w:rsidR="00DD510C" w:rsidRPr="00F01DEB">
        <w:rPr>
          <w:rFonts w:ascii="Times New Roman" w:hAnsi="Times New Roman" w:cs="Times New Roman"/>
        </w:rPr>
        <w:t>L</w:t>
      </w:r>
      <w:r w:rsidRPr="00F01DEB">
        <w:rPr>
          <w:rFonts w:ascii="Times New Roman" w:hAnsi="Times New Roman" w:cs="Times New Roman"/>
        </w:rPr>
        <w:t>isted on the Johannesburg Stock</w:t>
      </w:r>
      <w:r w:rsidR="00DD510C" w:rsidRPr="00F01DEB">
        <w:rPr>
          <w:rFonts w:ascii="Times New Roman" w:hAnsi="Times New Roman" w:cs="Times New Roman"/>
        </w:rPr>
        <w:t xml:space="preserve"> </w:t>
      </w:r>
      <w:r w:rsidRPr="00F01DEB">
        <w:rPr>
          <w:rFonts w:ascii="Times New Roman" w:hAnsi="Times New Roman" w:cs="Times New Roman"/>
        </w:rPr>
        <w:t>Exchange</w:t>
      </w:r>
      <w:r w:rsidR="00DD510C" w:rsidRPr="00F01DEB">
        <w:rPr>
          <w:rFonts w:ascii="Times New Roman" w:hAnsi="Times New Roman" w:cs="Times New Roman"/>
        </w:rPr>
        <w:t>”</w:t>
      </w:r>
      <w:r w:rsidRPr="00F01DEB">
        <w:rPr>
          <w:rFonts w:ascii="Times New Roman" w:hAnsi="Times New Roman" w:cs="Times New Roman"/>
        </w:rPr>
        <w:t>, Investment Management and Financial Innovations, V. (14), No. (1), pp 80-88</w:t>
      </w:r>
    </w:p>
    <w:p w:rsidR="007064FA" w:rsidRPr="00F01DEB" w:rsidRDefault="007064FA" w:rsidP="00F01DEB">
      <w:pPr>
        <w:pStyle w:val="Default"/>
        <w:rPr>
          <w:sz w:val="22"/>
          <w:szCs w:val="22"/>
        </w:rPr>
      </w:pPr>
    </w:p>
    <w:p w:rsidR="007064FA" w:rsidRPr="00F01DEB" w:rsidRDefault="009C3261" w:rsidP="00F01DEB">
      <w:pPr>
        <w:pStyle w:val="Default"/>
        <w:rPr>
          <w:color w:val="auto"/>
          <w:sz w:val="22"/>
          <w:szCs w:val="22"/>
        </w:rPr>
      </w:pPr>
      <w:r w:rsidRPr="00F01DEB">
        <w:rPr>
          <w:color w:val="auto"/>
          <w:sz w:val="22"/>
          <w:szCs w:val="22"/>
        </w:rPr>
        <w:t xml:space="preserve">S. </w:t>
      </w:r>
      <w:proofErr w:type="spellStart"/>
      <w:r w:rsidR="007064FA" w:rsidRPr="00F01DEB">
        <w:rPr>
          <w:color w:val="auto"/>
          <w:sz w:val="22"/>
          <w:szCs w:val="22"/>
        </w:rPr>
        <w:t>T</w:t>
      </w:r>
      <w:r w:rsidRPr="00F01DEB">
        <w:rPr>
          <w:color w:val="auto"/>
          <w:sz w:val="22"/>
          <w:szCs w:val="22"/>
        </w:rPr>
        <w:t>huvarakan</w:t>
      </w:r>
      <w:proofErr w:type="spellEnd"/>
      <w:r w:rsidR="00DD510C" w:rsidRPr="00F01DEB">
        <w:rPr>
          <w:color w:val="auto"/>
          <w:sz w:val="22"/>
          <w:szCs w:val="22"/>
        </w:rPr>
        <w:t>, (2013)</w:t>
      </w:r>
      <w:r w:rsidRPr="00F01DEB">
        <w:rPr>
          <w:color w:val="auto"/>
          <w:sz w:val="22"/>
          <w:szCs w:val="22"/>
        </w:rPr>
        <w:t xml:space="preserve">, </w:t>
      </w:r>
      <w:r w:rsidR="007064FA" w:rsidRPr="00F01DEB">
        <w:rPr>
          <w:color w:val="auto"/>
          <w:sz w:val="22"/>
          <w:szCs w:val="22"/>
        </w:rPr>
        <w:t>Impact of Working Capital Management on Profitability in UK Manufacturing Industry). Available at SSRN: </w:t>
      </w:r>
      <w:hyperlink r:id="rId10" w:tgtFrame="_blank" w:history="1">
        <w:r w:rsidR="007064FA" w:rsidRPr="00F01DEB">
          <w:rPr>
            <w:color w:val="auto"/>
            <w:sz w:val="22"/>
            <w:szCs w:val="22"/>
          </w:rPr>
          <w:t>https://ssrn.com/abstract=2345804</w:t>
        </w:r>
      </w:hyperlink>
      <w:r w:rsidR="007064FA" w:rsidRPr="00F01DEB">
        <w:rPr>
          <w:color w:val="auto"/>
          <w:sz w:val="22"/>
          <w:szCs w:val="22"/>
        </w:rPr>
        <w:t> or </w:t>
      </w:r>
      <w:hyperlink r:id="rId11" w:tgtFrame="_blank" w:history="1">
        <w:r w:rsidR="007064FA" w:rsidRPr="00F01DEB">
          <w:rPr>
            <w:color w:val="auto"/>
            <w:sz w:val="22"/>
            <w:szCs w:val="22"/>
          </w:rPr>
          <w:t>http://dx.doi.org/10.2139/ssrn.2345804</w:t>
        </w:r>
      </w:hyperlink>
    </w:p>
    <w:p w:rsidR="009A6DDD" w:rsidRPr="00F01DEB" w:rsidRDefault="009A6DDD" w:rsidP="00F01DEB">
      <w:pPr>
        <w:pStyle w:val="Default"/>
        <w:rPr>
          <w:color w:val="auto"/>
          <w:sz w:val="22"/>
          <w:szCs w:val="22"/>
        </w:rPr>
      </w:pPr>
    </w:p>
    <w:p w:rsidR="009A6DDD" w:rsidRPr="00F01DEB" w:rsidRDefault="009A6DDD" w:rsidP="00F01DEB">
      <w:pPr>
        <w:pStyle w:val="Default"/>
        <w:rPr>
          <w:color w:val="auto"/>
          <w:sz w:val="22"/>
          <w:szCs w:val="22"/>
        </w:rPr>
      </w:pPr>
      <w:r w:rsidRPr="00F01DEB">
        <w:rPr>
          <w:color w:val="auto"/>
          <w:sz w:val="22"/>
          <w:szCs w:val="22"/>
        </w:rPr>
        <w:t xml:space="preserve">Shin, H. and L. </w:t>
      </w:r>
      <w:proofErr w:type="spellStart"/>
      <w:r w:rsidRPr="00F01DEB">
        <w:rPr>
          <w:color w:val="auto"/>
          <w:sz w:val="22"/>
          <w:szCs w:val="22"/>
        </w:rPr>
        <w:t>Soenen</w:t>
      </w:r>
      <w:proofErr w:type="spellEnd"/>
      <w:r w:rsidR="00DE0F87" w:rsidRPr="00F01DEB">
        <w:rPr>
          <w:color w:val="auto"/>
          <w:sz w:val="22"/>
          <w:szCs w:val="22"/>
        </w:rPr>
        <w:t>,</w:t>
      </w:r>
      <w:r w:rsidRPr="00F01DEB">
        <w:rPr>
          <w:color w:val="auto"/>
          <w:sz w:val="22"/>
          <w:szCs w:val="22"/>
        </w:rPr>
        <w:t xml:space="preserve"> (1998), </w:t>
      </w:r>
      <w:r w:rsidR="00DD510C" w:rsidRPr="00F01DEB">
        <w:rPr>
          <w:color w:val="auto"/>
          <w:sz w:val="22"/>
          <w:szCs w:val="22"/>
        </w:rPr>
        <w:t>“</w:t>
      </w:r>
      <w:r w:rsidR="00DE0F87" w:rsidRPr="00F01DEB">
        <w:rPr>
          <w:color w:val="auto"/>
          <w:sz w:val="22"/>
          <w:szCs w:val="22"/>
        </w:rPr>
        <w:t>Efficiency</w:t>
      </w:r>
      <w:r w:rsidRPr="00F01DEB">
        <w:rPr>
          <w:color w:val="auto"/>
          <w:sz w:val="22"/>
          <w:szCs w:val="22"/>
        </w:rPr>
        <w:t xml:space="preserve"> of Working Capital Management and Corporate Profitability</w:t>
      </w:r>
      <w:r w:rsidR="00DD510C" w:rsidRPr="00F01DEB">
        <w:rPr>
          <w:color w:val="auto"/>
          <w:sz w:val="22"/>
          <w:szCs w:val="22"/>
        </w:rPr>
        <w:t>”</w:t>
      </w:r>
      <w:r w:rsidRPr="00F01DEB">
        <w:rPr>
          <w:color w:val="auto"/>
          <w:sz w:val="22"/>
          <w:szCs w:val="22"/>
        </w:rPr>
        <w:t>, Financial Practice and Education, V. (8), No. (2), pp 37-45</w:t>
      </w:r>
    </w:p>
    <w:p w:rsidR="007064FA" w:rsidRPr="00F01DEB" w:rsidRDefault="007064FA" w:rsidP="00F01DEB">
      <w:pPr>
        <w:pStyle w:val="Default"/>
        <w:rPr>
          <w:sz w:val="22"/>
          <w:szCs w:val="22"/>
        </w:rPr>
      </w:pPr>
    </w:p>
    <w:p w:rsidR="00DE0F87" w:rsidRPr="00F01DEB" w:rsidRDefault="00DE0F87" w:rsidP="00F01DEB">
      <w:pPr>
        <w:autoSpaceDE w:val="0"/>
        <w:autoSpaceDN w:val="0"/>
        <w:bidi w:val="0"/>
        <w:adjustRightInd w:val="0"/>
        <w:spacing w:after="0" w:line="240" w:lineRule="auto"/>
        <w:rPr>
          <w:rFonts w:ascii="Times New Roman" w:hAnsi="Times New Roman" w:cs="Times New Roman"/>
        </w:rPr>
      </w:pPr>
      <w:proofErr w:type="spellStart"/>
      <w:r w:rsidRPr="00F01DEB">
        <w:rPr>
          <w:rFonts w:ascii="Times New Roman" w:hAnsi="Times New Roman" w:cs="Times New Roman"/>
        </w:rPr>
        <w:lastRenderedPageBreak/>
        <w:t>Teruel</w:t>
      </w:r>
      <w:proofErr w:type="spellEnd"/>
      <w:r w:rsidRPr="00F01DEB">
        <w:rPr>
          <w:rFonts w:ascii="Times New Roman" w:hAnsi="Times New Roman" w:cs="Times New Roman"/>
        </w:rPr>
        <w:t xml:space="preserve">, G., and Martinez Solano, (2007), </w:t>
      </w:r>
      <w:r w:rsidR="00DD510C" w:rsidRPr="00F01DEB">
        <w:rPr>
          <w:rFonts w:ascii="Times New Roman" w:hAnsi="Times New Roman" w:cs="Times New Roman"/>
        </w:rPr>
        <w:t>“</w:t>
      </w:r>
      <w:r w:rsidRPr="00F01DEB">
        <w:rPr>
          <w:rFonts w:ascii="Times New Roman" w:hAnsi="Times New Roman" w:cs="Times New Roman"/>
        </w:rPr>
        <w:t xml:space="preserve">Effects of </w:t>
      </w:r>
      <w:r w:rsidR="00DD510C" w:rsidRPr="00F01DEB">
        <w:rPr>
          <w:rFonts w:ascii="Times New Roman" w:hAnsi="Times New Roman" w:cs="Times New Roman"/>
        </w:rPr>
        <w:t>W</w:t>
      </w:r>
      <w:r w:rsidRPr="00F01DEB">
        <w:rPr>
          <w:rFonts w:ascii="Times New Roman" w:hAnsi="Times New Roman" w:cs="Times New Roman"/>
        </w:rPr>
        <w:t xml:space="preserve">orking </w:t>
      </w:r>
      <w:r w:rsidR="00DD510C" w:rsidRPr="00F01DEB">
        <w:rPr>
          <w:rFonts w:ascii="Times New Roman" w:hAnsi="Times New Roman" w:cs="Times New Roman"/>
        </w:rPr>
        <w:t>C</w:t>
      </w:r>
      <w:r w:rsidRPr="00F01DEB">
        <w:rPr>
          <w:rFonts w:ascii="Times New Roman" w:hAnsi="Times New Roman" w:cs="Times New Roman"/>
        </w:rPr>
        <w:t xml:space="preserve">apital </w:t>
      </w:r>
      <w:r w:rsidR="00DD510C" w:rsidRPr="00F01DEB">
        <w:rPr>
          <w:rFonts w:ascii="Times New Roman" w:hAnsi="Times New Roman" w:cs="Times New Roman"/>
        </w:rPr>
        <w:t>M</w:t>
      </w:r>
      <w:r w:rsidRPr="00F01DEB">
        <w:rPr>
          <w:rFonts w:ascii="Times New Roman" w:hAnsi="Times New Roman" w:cs="Times New Roman"/>
        </w:rPr>
        <w:t>anagement on</w:t>
      </w:r>
    </w:p>
    <w:p w:rsidR="00DE0F87" w:rsidRPr="00F01DEB" w:rsidRDefault="00DE0F87" w:rsidP="00F01DEB">
      <w:pPr>
        <w:pStyle w:val="Default"/>
        <w:rPr>
          <w:color w:val="auto"/>
          <w:sz w:val="22"/>
          <w:szCs w:val="22"/>
        </w:rPr>
      </w:pPr>
      <w:r w:rsidRPr="00F01DEB">
        <w:rPr>
          <w:color w:val="auto"/>
          <w:sz w:val="22"/>
          <w:szCs w:val="22"/>
        </w:rPr>
        <w:t xml:space="preserve">SME </w:t>
      </w:r>
      <w:r w:rsidR="00DD510C" w:rsidRPr="00F01DEB">
        <w:rPr>
          <w:color w:val="auto"/>
          <w:sz w:val="22"/>
          <w:szCs w:val="22"/>
        </w:rPr>
        <w:t>P</w:t>
      </w:r>
      <w:r w:rsidRPr="00F01DEB">
        <w:rPr>
          <w:color w:val="auto"/>
          <w:sz w:val="22"/>
          <w:szCs w:val="22"/>
        </w:rPr>
        <w:t>rofitability</w:t>
      </w:r>
      <w:r w:rsidR="00DD510C" w:rsidRPr="00F01DEB">
        <w:rPr>
          <w:color w:val="auto"/>
          <w:sz w:val="22"/>
          <w:szCs w:val="22"/>
        </w:rPr>
        <w:t>”</w:t>
      </w:r>
      <w:r w:rsidRPr="00F01DEB">
        <w:rPr>
          <w:color w:val="auto"/>
          <w:sz w:val="22"/>
          <w:szCs w:val="22"/>
        </w:rPr>
        <w:t>, International Journal of Managerial Finance, V. (3), No. (2), pp 164-177</w:t>
      </w:r>
    </w:p>
    <w:p w:rsidR="00DE0F87" w:rsidRPr="00F01DEB" w:rsidRDefault="00DE0F87" w:rsidP="00F01DEB">
      <w:pPr>
        <w:autoSpaceDE w:val="0"/>
        <w:autoSpaceDN w:val="0"/>
        <w:bidi w:val="0"/>
        <w:adjustRightInd w:val="0"/>
        <w:spacing w:after="0" w:line="240" w:lineRule="auto"/>
        <w:rPr>
          <w:rFonts w:ascii="Times New Roman" w:hAnsi="Times New Roman" w:cs="Times New Roman"/>
          <w:color w:val="000000"/>
        </w:rPr>
      </w:pPr>
    </w:p>
    <w:p w:rsidR="007064FA" w:rsidRPr="00F01DEB" w:rsidRDefault="00981BBD" w:rsidP="00F01DEB">
      <w:pPr>
        <w:autoSpaceDE w:val="0"/>
        <w:autoSpaceDN w:val="0"/>
        <w:bidi w:val="0"/>
        <w:adjustRightInd w:val="0"/>
        <w:spacing w:after="0" w:line="240" w:lineRule="auto"/>
        <w:rPr>
          <w:rFonts w:ascii="Times New Roman" w:hAnsi="Times New Roman" w:cs="Times New Roman"/>
          <w:color w:val="000000"/>
        </w:rPr>
      </w:pPr>
      <w:proofErr w:type="spellStart"/>
      <w:r w:rsidRPr="00F01DEB">
        <w:rPr>
          <w:rFonts w:ascii="Times New Roman" w:hAnsi="Times New Roman" w:cs="Times New Roman"/>
          <w:color w:val="000000"/>
        </w:rPr>
        <w:t>Wasiuzzaman</w:t>
      </w:r>
      <w:proofErr w:type="spellEnd"/>
      <w:r w:rsidRPr="00F01DEB">
        <w:rPr>
          <w:rFonts w:ascii="Times New Roman" w:hAnsi="Times New Roman" w:cs="Times New Roman"/>
          <w:color w:val="000000"/>
        </w:rPr>
        <w:t>. Sh</w:t>
      </w:r>
      <w:r w:rsidRPr="00F01DEB">
        <w:t>., (2015), “</w:t>
      </w:r>
      <w:r w:rsidR="00DD510C" w:rsidRPr="00F01DEB">
        <w:rPr>
          <w:rFonts w:ascii="Times New Roman" w:hAnsi="Times New Roman" w:cs="Times New Roman"/>
          <w:color w:val="000000"/>
        </w:rPr>
        <w:t>Working C</w:t>
      </w:r>
      <w:r w:rsidRPr="00F01DEB">
        <w:rPr>
          <w:rFonts w:ascii="Times New Roman" w:hAnsi="Times New Roman" w:cs="Times New Roman"/>
          <w:color w:val="000000"/>
        </w:rPr>
        <w:t xml:space="preserve">apital and Firm Value </w:t>
      </w:r>
      <w:r w:rsidRPr="00F01DEB">
        <w:rPr>
          <w:rFonts w:ascii="Times New Roman" w:hAnsi="Times New Roman" w:cs="Times New Roman"/>
        </w:rPr>
        <w:t>in an Emerging Market</w:t>
      </w:r>
      <w:r w:rsidRPr="00F01DEB">
        <w:t xml:space="preserve">”, </w:t>
      </w:r>
      <w:r w:rsidRPr="00F01DEB">
        <w:rPr>
          <w:rFonts w:ascii="Times New Roman" w:hAnsi="Times New Roman" w:cs="Times New Roman"/>
          <w:color w:val="000000"/>
        </w:rPr>
        <w:t>International Journal of Managerial Finance, V. (11), No. (1), pp 60-79</w:t>
      </w:r>
    </w:p>
    <w:p w:rsidR="00981BBD" w:rsidRPr="00F01DEB" w:rsidRDefault="00981BBD" w:rsidP="00F01DEB">
      <w:pPr>
        <w:pStyle w:val="Default"/>
        <w:rPr>
          <w:sz w:val="22"/>
          <w:szCs w:val="22"/>
        </w:rPr>
      </w:pPr>
    </w:p>
    <w:p w:rsidR="009C3261" w:rsidRPr="00F01DEB" w:rsidRDefault="009C3261" w:rsidP="00F01DEB">
      <w:pPr>
        <w:pStyle w:val="Default"/>
        <w:rPr>
          <w:sz w:val="22"/>
          <w:szCs w:val="22"/>
        </w:rPr>
      </w:pPr>
    </w:p>
    <w:p w:rsidR="009C3261" w:rsidRPr="00F01DEB" w:rsidRDefault="009C3261" w:rsidP="00F01DEB">
      <w:pPr>
        <w:pStyle w:val="Default"/>
        <w:rPr>
          <w:sz w:val="22"/>
          <w:szCs w:val="22"/>
        </w:rPr>
      </w:pPr>
    </w:p>
    <w:p w:rsidR="007064FA" w:rsidRPr="00F01DEB" w:rsidRDefault="007064FA" w:rsidP="00F01DEB">
      <w:pPr>
        <w:pStyle w:val="Default"/>
        <w:rPr>
          <w:sz w:val="22"/>
          <w:szCs w:val="22"/>
        </w:rPr>
      </w:pPr>
    </w:p>
    <w:p w:rsidR="007064FA" w:rsidRPr="00F01DEB" w:rsidRDefault="007064FA" w:rsidP="00F01DEB">
      <w:pPr>
        <w:pStyle w:val="Default"/>
        <w:rPr>
          <w:sz w:val="22"/>
          <w:szCs w:val="22"/>
        </w:rPr>
      </w:pPr>
    </w:p>
    <w:p w:rsidR="007064FA" w:rsidRPr="00F01DEB" w:rsidRDefault="007064FA" w:rsidP="00F01DEB">
      <w:pPr>
        <w:pStyle w:val="Default"/>
        <w:rPr>
          <w:sz w:val="22"/>
          <w:szCs w:val="22"/>
        </w:rPr>
      </w:pPr>
    </w:p>
    <w:p w:rsidR="007064FA" w:rsidRPr="00F01DEB" w:rsidRDefault="007064FA" w:rsidP="00F01DEB">
      <w:pPr>
        <w:pStyle w:val="Default"/>
        <w:rPr>
          <w:sz w:val="22"/>
          <w:szCs w:val="22"/>
        </w:rPr>
      </w:pPr>
    </w:p>
    <w:p w:rsidR="007064FA" w:rsidRPr="00F01DEB" w:rsidRDefault="007064FA" w:rsidP="00F01DEB">
      <w:pPr>
        <w:pStyle w:val="Default"/>
        <w:rPr>
          <w:sz w:val="22"/>
          <w:szCs w:val="22"/>
        </w:rPr>
      </w:pPr>
    </w:p>
    <w:sectPr w:rsidR="007064FA" w:rsidRPr="00F01DEB" w:rsidSect="0045004B">
      <w:footerReference w:type="default" r:id="rId12"/>
      <w:pgSz w:w="11906" w:h="16838"/>
      <w:pgMar w:top="1440" w:right="1440" w:bottom="1440" w:left="144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D1A" w:rsidRDefault="000A2D1A" w:rsidP="00234AE4">
      <w:pPr>
        <w:spacing w:after="0" w:line="240" w:lineRule="auto"/>
      </w:pPr>
      <w:r>
        <w:separator/>
      </w:r>
    </w:p>
  </w:endnote>
  <w:endnote w:type="continuationSeparator" w:id="0">
    <w:p w:rsidR="000A2D1A" w:rsidRDefault="000A2D1A" w:rsidP="0023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05334115"/>
      <w:docPartObj>
        <w:docPartGallery w:val="Page Numbers (Bottom of Page)"/>
        <w:docPartUnique/>
      </w:docPartObj>
    </w:sdtPr>
    <w:sdtEndPr>
      <w:rPr>
        <w:noProof/>
      </w:rPr>
    </w:sdtEndPr>
    <w:sdtContent>
      <w:p w:rsidR="003C33C7" w:rsidRDefault="003C33C7">
        <w:pPr>
          <w:pStyle w:val="Footer"/>
          <w:jc w:val="center"/>
        </w:pPr>
        <w:r>
          <w:fldChar w:fldCharType="begin"/>
        </w:r>
        <w:r>
          <w:instrText xml:space="preserve"> PAGE   \* MERGEFORMAT </w:instrText>
        </w:r>
        <w:r>
          <w:fldChar w:fldCharType="separate"/>
        </w:r>
        <w:r w:rsidR="000D348C">
          <w:rPr>
            <w:noProof/>
            <w:rtl/>
          </w:rPr>
          <w:t>9</w:t>
        </w:r>
        <w:r>
          <w:rPr>
            <w:noProof/>
          </w:rPr>
          <w:fldChar w:fldCharType="end"/>
        </w:r>
      </w:p>
    </w:sdtContent>
  </w:sdt>
  <w:p w:rsidR="003C33C7" w:rsidRDefault="003C3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D1A" w:rsidRDefault="000A2D1A" w:rsidP="00234AE4">
      <w:pPr>
        <w:spacing w:after="0" w:line="240" w:lineRule="auto"/>
      </w:pPr>
      <w:r>
        <w:separator/>
      </w:r>
    </w:p>
  </w:footnote>
  <w:footnote w:type="continuationSeparator" w:id="0">
    <w:p w:rsidR="000A2D1A" w:rsidRDefault="000A2D1A" w:rsidP="00234AE4">
      <w:pPr>
        <w:spacing w:after="0" w:line="240" w:lineRule="auto"/>
      </w:pPr>
      <w:r>
        <w:continuationSeparator/>
      </w:r>
    </w:p>
  </w:footnote>
  <w:footnote w:id="1">
    <w:p w:rsidR="003C33C7" w:rsidRDefault="003C33C7" w:rsidP="009449AA">
      <w:pPr>
        <w:pStyle w:val="FootnoteText"/>
        <w:bidi w:val="0"/>
      </w:pPr>
      <w:r>
        <w:rPr>
          <w:rStyle w:val="FootnoteReference"/>
        </w:rPr>
        <w:footnoteRef/>
      </w:r>
      <w:r>
        <w:rPr>
          <w:rtl/>
        </w:rPr>
        <w:t xml:space="preserve"> </w:t>
      </w:r>
      <w:r w:rsidRPr="009449AA">
        <w:rPr>
          <w:rFonts w:ascii="Times New Roman" w:hAnsi="Times New Roman" w:cs="Times New Roman"/>
        </w:rPr>
        <w:t>A study by</w:t>
      </w:r>
      <w:r>
        <w:t xml:space="preserve"> </w:t>
      </w:r>
      <w:r w:rsidRPr="009449AA">
        <w:rPr>
          <w:rFonts w:ascii="Times New Roman" w:hAnsi="Times New Roman" w:cs="Times New Roman"/>
        </w:rPr>
        <w:t xml:space="preserve">Duggal et al (2015) on the largest S&amp;P 500 </w:t>
      </w:r>
      <w:r>
        <w:rPr>
          <w:rFonts w:ascii="Times New Roman" w:hAnsi="Times New Roman" w:cs="Times New Roman"/>
        </w:rPr>
        <w:t xml:space="preserve">US </w:t>
      </w:r>
      <w:r w:rsidRPr="009449AA">
        <w:rPr>
          <w:rFonts w:ascii="Times New Roman" w:hAnsi="Times New Roman" w:cs="Times New Roman"/>
        </w:rPr>
        <w:t>firms</w:t>
      </w:r>
      <w:r>
        <w:rPr>
          <w:rFonts w:ascii="Times New Roman" w:hAnsi="Times New Roman" w:cs="Times New Roman"/>
        </w:rPr>
        <w:t xml:space="preserve"> find </w:t>
      </w:r>
      <w:r w:rsidRPr="009449AA">
        <w:rPr>
          <w:rFonts w:ascii="Times New Roman" w:hAnsi="Times New Roman" w:cs="Times New Roman"/>
        </w:rPr>
        <w:t>that net working capital averaged about 45% of sales of companies in the health care sector during the period 2009-2012</w:t>
      </w:r>
    </w:p>
  </w:footnote>
  <w:footnote w:id="2">
    <w:p w:rsidR="003C33C7" w:rsidRPr="00BC0FE1" w:rsidRDefault="003C33C7" w:rsidP="00762753">
      <w:pPr>
        <w:pStyle w:val="FootnoteText"/>
        <w:bidi w:val="0"/>
      </w:pPr>
      <w:r>
        <w:rPr>
          <w:rStyle w:val="FootnoteReference"/>
        </w:rPr>
        <w:footnoteRef/>
      </w:r>
      <w:r>
        <w:rPr>
          <w:rtl/>
        </w:rPr>
        <w:t xml:space="preserve"> </w:t>
      </w:r>
      <w:r w:rsidRPr="00BC0FE1">
        <w:rPr>
          <w:rFonts w:ascii="Times New Roman" w:hAnsi="Times New Roman" w:cs="Times New Roman"/>
        </w:rPr>
        <w:t>GCC is a political and economic alliance that was established in 1981. Its main goal is to coordinate military and economic policies among member states</w:t>
      </w:r>
    </w:p>
  </w:footnote>
  <w:footnote w:id="3">
    <w:p w:rsidR="003C33C7" w:rsidRDefault="003C33C7" w:rsidP="00256343">
      <w:pPr>
        <w:pStyle w:val="FootnoteText"/>
        <w:bidi w:val="0"/>
      </w:pPr>
      <w:r w:rsidRPr="00BC0FE1">
        <w:rPr>
          <w:rStyle w:val="FootnoteReference"/>
        </w:rPr>
        <w:footnoteRef/>
      </w:r>
      <w:r w:rsidRPr="00BC0FE1">
        <w:rPr>
          <w:rtl/>
        </w:rPr>
        <w:t xml:space="preserve"> </w:t>
      </w:r>
      <w:r w:rsidRPr="00116E13">
        <w:rPr>
          <w:rFonts w:ascii="Times New Roman" w:hAnsi="Times New Roman" w:cs="Times New Roman"/>
        </w:rPr>
        <w:t>M</w:t>
      </w:r>
      <w:r w:rsidRPr="00BC0FE1">
        <w:rPr>
          <w:rFonts w:ascii="Times New Roman" w:hAnsi="Times New Roman" w:cs="Times New Roman"/>
        </w:rPr>
        <w:t xml:space="preserve">ost firms </w:t>
      </w:r>
      <w:r>
        <w:rPr>
          <w:rFonts w:ascii="Times New Roman" w:hAnsi="Times New Roman" w:cs="Times New Roman"/>
        </w:rPr>
        <w:t xml:space="preserve">in emerging markets </w:t>
      </w:r>
      <w:r w:rsidRPr="00BC0FE1">
        <w:rPr>
          <w:rFonts w:ascii="Times New Roman" w:hAnsi="Times New Roman" w:cs="Times New Roman"/>
        </w:rPr>
        <w:t xml:space="preserve">are of small size, hence their access to long term financing is somewhat limited (Chittenden et al 1998 and </w:t>
      </w:r>
      <w:proofErr w:type="spellStart"/>
      <w:r w:rsidRPr="00BC0FE1">
        <w:rPr>
          <w:rFonts w:ascii="Times New Roman" w:hAnsi="Times New Roman" w:cs="Times New Roman"/>
        </w:rPr>
        <w:t>Saccurato</w:t>
      </w:r>
      <w:proofErr w:type="spellEnd"/>
      <w:r w:rsidRPr="00BC0FE1">
        <w:rPr>
          <w:rFonts w:ascii="Times New Roman" w:hAnsi="Times New Roman" w:cs="Times New Roman"/>
        </w:rPr>
        <w:t xml:space="preserve"> 1994). In addition, Berryman (1983) and Dun and Cheatham (1993) document that failing small firms tend to have poor working capital management</w:t>
      </w:r>
    </w:p>
  </w:footnote>
  <w:footnote w:id="4">
    <w:p w:rsidR="003C33C7" w:rsidRPr="00302EA1" w:rsidRDefault="003C33C7" w:rsidP="00302EA1">
      <w:pPr>
        <w:pStyle w:val="FootnoteText"/>
        <w:bidi w:val="0"/>
        <w:rPr>
          <w:rFonts w:ascii="Times New Roman" w:hAnsi="Times New Roman" w:cs="Times New Roman"/>
        </w:rPr>
      </w:pPr>
      <w:r>
        <w:rPr>
          <w:rStyle w:val="FootnoteReference"/>
        </w:rPr>
        <w:footnoteRef/>
      </w:r>
      <w:r>
        <w:t xml:space="preserve"> </w:t>
      </w:r>
      <w:r w:rsidRPr="00302EA1">
        <w:rPr>
          <w:rFonts w:ascii="Times New Roman" w:hAnsi="Times New Roman" w:cs="Times New Roman"/>
        </w:rPr>
        <w:t xml:space="preserve">This ratio is used in other studies like David Hyland (1997). Chung and </w:t>
      </w:r>
      <w:proofErr w:type="spellStart"/>
      <w:r w:rsidRPr="00302EA1">
        <w:rPr>
          <w:rFonts w:ascii="Times New Roman" w:hAnsi="Times New Roman" w:cs="Times New Roman"/>
        </w:rPr>
        <w:t>Pruit</w:t>
      </w:r>
      <w:proofErr w:type="spellEnd"/>
      <w:r w:rsidRPr="00302EA1">
        <w:rPr>
          <w:rFonts w:ascii="Times New Roman" w:hAnsi="Times New Roman" w:cs="Times New Roman"/>
        </w:rPr>
        <w:t xml:space="preserve"> (1994) use a comparable ratio of Tobin’s Q that has about 96% correlation with Q of Lindenberg and Ross (1981).</w:t>
      </w:r>
    </w:p>
  </w:footnote>
  <w:footnote w:id="5">
    <w:p w:rsidR="003C33C7" w:rsidRPr="00357C65" w:rsidRDefault="003C33C7" w:rsidP="00357C65">
      <w:pPr>
        <w:pStyle w:val="FootnoteText"/>
        <w:bidi w:val="0"/>
        <w:rPr>
          <w:rFonts w:ascii="Times New Roman" w:hAnsi="Times New Roman" w:cs="Times New Roman"/>
        </w:rPr>
      </w:pPr>
      <w:r>
        <w:rPr>
          <w:rStyle w:val="FootnoteReference"/>
        </w:rPr>
        <w:footnoteRef/>
      </w:r>
      <w:r>
        <w:rPr>
          <w:rtl/>
        </w:rPr>
        <w:t xml:space="preserve"> </w:t>
      </w:r>
      <w:r w:rsidRPr="00357C65">
        <w:rPr>
          <w:rFonts w:ascii="Times New Roman" w:hAnsi="Times New Roman" w:cs="Times New Roman"/>
        </w:rPr>
        <w:t xml:space="preserve">Shin eta al (1998) present </w:t>
      </w:r>
      <w:r>
        <w:rPr>
          <w:rFonts w:ascii="Times New Roman" w:hAnsi="Times New Roman" w:cs="Times New Roman"/>
        </w:rPr>
        <w:t xml:space="preserve">a </w:t>
      </w:r>
      <w:r w:rsidRPr="00357C65">
        <w:rPr>
          <w:rFonts w:ascii="Times New Roman" w:hAnsi="Times New Roman" w:cs="Times New Roman"/>
        </w:rPr>
        <w:t xml:space="preserve">theoretical illustration about what </w:t>
      </w:r>
      <w:r>
        <w:rPr>
          <w:rFonts w:ascii="Times New Roman" w:hAnsi="Times New Roman" w:cs="Times New Roman"/>
        </w:rPr>
        <w:t xml:space="preserve">represents </w:t>
      </w:r>
      <w:r w:rsidRPr="00357C65">
        <w:rPr>
          <w:rFonts w:ascii="Times New Roman" w:hAnsi="Times New Roman" w:cs="Times New Roman"/>
        </w:rPr>
        <w:t>a good measure of the working cap</w:t>
      </w:r>
      <w:r>
        <w:rPr>
          <w:rFonts w:ascii="Times New Roman" w:hAnsi="Times New Roman" w:cs="Times New Roman"/>
        </w:rPr>
        <w:t>ital management. They confirm a close association between the net trade cycle and the cash conversion cycle. The preliminary tests of this paper confirm their conjecture but those tests are excluded from the context for brevity purposes.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34F2D"/>
    <w:multiLevelType w:val="hybridMultilevel"/>
    <w:tmpl w:val="60F6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B4B24"/>
    <w:multiLevelType w:val="hybridMultilevel"/>
    <w:tmpl w:val="6CD46D76"/>
    <w:lvl w:ilvl="0" w:tplc="DA72C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C8"/>
    <w:rsid w:val="000135B8"/>
    <w:rsid w:val="000147AA"/>
    <w:rsid w:val="00016C03"/>
    <w:rsid w:val="00026FF9"/>
    <w:rsid w:val="00030404"/>
    <w:rsid w:val="00037949"/>
    <w:rsid w:val="00054227"/>
    <w:rsid w:val="00086C60"/>
    <w:rsid w:val="000902E9"/>
    <w:rsid w:val="000A2D1A"/>
    <w:rsid w:val="000A61AB"/>
    <w:rsid w:val="000A69BA"/>
    <w:rsid w:val="000C1DC8"/>
    <w:rsid w:val="000D348C"/>
    <w:rsid w:val="000E0BB8"/>
    <w:rsid w:val="0010589C"/>
    <w:rsid w:val="00107753"/>
    <w:rsid w:val="001109DF"/>
    <w:rsid w:val="00116E13"/>
    <w:rsid w:val="001532FD"/>
    <w:rsid w:val="00153307"/>
    <w:rsid w:val="00195D28"/>
    <w:rsid w:val="001A7988"/>
    <w:rsid w:val="001A7F8E"/>
    <w:rsid w:val="001D596A"/>
    <w:rsid w:val="002065FA"/>
    <w:rsid w:val="002334B6"/>
    <w:rsid w:val="00234AE4"/>
    <w:rsid w:val="00247E98"/>
    <w:rsid w:val="00256343"/>
    <w:rsid w:val="00274930"/>
    <w:rsid w:val="002C3825"/>
    <w:rsid w:val="002D0898"/>
    <w:rsid w:val="00302EA1"/>
    <w:rsid w:val="003174C8"/>
    <w:rsid w:val="00317550"/>
    <w:rsid w:val="00336623"/>
    <w:rsid w:val="00350774"/>
    <w:rsid w:val="00357C65"/>
    <w:rsid w:val="00362FEC"/>
    <w:rsid w:val="003654DA"/>
    <w:rsid w:val="003837D0"/>
    <w:rsid w:val="0038544C"/>
    <w:rsid w:val="00390246"/>
    <w:rsid w:val="003B4810"/>
    <w:rsid w:val="003C33C7"/>
    <w:rsid w:val="003D430D"/>
    <w:rsid w:val="003F0410"/>
    <w:rsid w:val="00435CBC"/>
    <w:rsid w:val="0044240B"/>
    <w:rsid w:val="0045004B"/>
    <w:rsid w:val="004A36E6"/>
    <w:rsid w:val="004B572D"/>
    <w:rsid w:val="004D3FAB"/>
    <w:rsid w:val="004E5A33"/>
    <w:rsid w:val="00501D84"/>
    <w:rsid w:val="00513B14"/>
    <w:rsid w:val="00521FA4"/>
    <w:rsid w:val="00525B7E"/>
    <w:rsid w:val="0054183D"/>
    <w:rsid w:val="0054309B"/>
    <w:rsid w:val="005506FE"/>
    <w:rsid w:val="00575044"/>
    <w:rsid w:val="005A5E27"/>
    <w:rsid w:val="005B2237"/>
    <w:rsid w:val="005B3608"/>
    <w:rsid w:val="005D324E"/>
    <w:rsid w:val="005F7AA9"/>
    <w:rsid w:val="0061182C"/>
    <w:rsid w:val="0062143E"/>
    <w:rsid w:val="00650D27"/>
    <w:rsid w:val="00653792"/>
    <w:rsid w:val="006540A7"/>
    <w:rsid w:val="006A1B55"/>
    <w:rsid w:val="007057BE"/>
    <w:rsid w:val="007064FA"/>
    <w:rsid w:val="00723A3D"/>
    <w:rsid w:val="00727662"/>
    <w:rsid w:val="00735B45"/>
    <w:rsid w:val="007417B4"/>
    <w:rsid w:val="007466F8"/>
    <w:rsid w:val="00762753"/>
    <w:rsid w:val="00762DA7"/>
    <w:rsid w:val="007708C3"/>
    <w:rsid w:val="007B61FD"/>
    <w:rsid w:val="007F2886"/>
    <w:rsid w:val="007F781B"/>
    <w:rsid w:val="0083037B"/>
    <w:rsid w:val="008462B0"/>
    <w:rsid w:val="00865D5C"/>
    <w:rsid w:val="008724B3"/>
    <w:rsid w:val="00890CE0"/>
    <w:rsid w:val="008C5161"/>
    <w:rsid w:val="008C7E01"/>
    <w:rsid w:val="008D3639"/>
    <w:rsid w:val="008F5747"/>
    <w:rsid w:val="0090146D"/>
    <w:rsid w:val="009048C2"/>
    <w:rsid w:val="009449AA"/>
    <w:rsid w:val="00944D32"/>
    <w:rsid w:val="00971927"/>
    <w:rsid w:val="00981BBD"/>
    <w:rsid w:val="00983258"/>
    <w:rsid w:val="00994731"/>
    <w:rsid w:val="009A6DDD"/>
    <w:rsid w:val="009B485C"/>
    <w:rsid w:val="009C3261"/>
    <w:rsid w:val="009C69BD"/>
    <w:rsid w:val="009E7377"/>
    <w:rsid w:val="009F1056"/>
    <w:rsid w:val="009F19AE"/>
    <w:rsid w:val="009F5E30"/>
    <w:rsid w:val="009F7F10"/>
    <w:rsid w:val="00A423B0"/>
    <w:rsid w:val="00A66E47"/>
    <w:rsid w:val="00A727BF"/>
    <w:rsid w:val="00A82FD1"/>
    <w:rsid w:val="00A841FD"/>
    <w:rsid w:val="00A86466"/>
    <w:rsid w:val="00AB32CE"/>
    <w:rsid w:val="00AB439B"/>
    <w:rsid w:val="00AE324C"/>
    <w:rsid w:val="00B006CD"/>
    <w:rsid w:val="00B06ECF"/>
    <w:rsid w:val="00B1672C"/>
    <w:rsid w:val="00B23294"/>
    <w:rsid w:val="00B352AB"/>
    <w:rsid w:val="00B91342"/>
    <w:rsid w:val="00BA0B92"/>
    <w:rsid w:val="00BC0FE1"/>
    <w:rsid w:val="00BC3A65"/>
    <w:rsid w:val="00BD4CD0"/>
    <w:rsid w:val="00BE2654"/>
    <w:rsid w:val="00C11EC0"/>
    <w:rsid w:val="00C16C7C"/>
    <w:rsid w:val="00C245E4"/>
    <w:rsid w:val="00C5379C"/>
    <w:rsid w:val="00C80A96"/>
    <w:rsid w:val="00C82A3B"/>
    <w:rsid w:val="00CC0047"/>
    <w:rsid w:val="00CE366A"/>
    <w:rsid w:val="00CF3DB4"/>
    <w:rsid w:val="00D33116"/>
    <w:rsid w:val="00D36707"/>
    <w:rsid w:val="00D61D47"/>
    <w:rsid w:val="00D77537"/>
    <w:rsid w:val="00D940D8"/>
    <w:rsid w:val="00DC7BC4"/>
    <w:rsid w:val="00DD510C"/>
    <w:rsid w:val="00DE0F87"/>
    <w:rsid w:val="00DF7FDD"/>
    <w:rsid w:val="00E029E9"/>
    <w:rsid w:val="00E17AD9"/>
    <w:rsid w:val="00E2572C"/>
    <w:rsid w:val="00E41C62"/>
    <w:rsid w:val="00E67571"/>
    <w:rsid w:val="00E81C8C"/>
    <w:rsid w:val="00EC5575"/>
    <w:rsid w:val="00EE593C"/>
    <w:rsid w:val="00F01DEB"/>
    <w:rsid w:val="00F2331A"/>
    <w:rsid w:val="00F2564F"/>
    <w:rsid w:val="00F57683"/>
    <w:rsid w:val="00F576FC"/>
    <w:rsid w:val="00F72E6B"/>
    <w:rsid w:val="00F75E67"/>
    <w:rsid w:val="00F760C3"/>
    <w:rsid w:val="00F82DA7"/>
    <w:rsid w:val="00FE5EF9"/>
    <w:rsid w:val="00FF5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4FBE"/>
  <w15:chartTrackingRefBased/>
  <w15:docId w15:val="{B03C44D4-A8AF-4972-8CC6-114EDA1E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304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1532FD"/>
    <w:pPr>
      <w:keepNext/>
      <w:bidi w:val="0"/>
      <w:spacing w:after="0" w:line="480" w:lineRule="auto"/>
      <w:outlineLvl w:val="3"/>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8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50D27"/>
    <w:pPr>
      <w:ind w:left="720"/>
      <w:contextualSpacing/>
    </w:pPr>
  </w:style>
  <w:style w:type="character" w:styleId="Hyperlink">
    <w:name w:val="Hyperlink"/>
    <w:basedOn w:val="DefaultParagraphFont"/>
    <w:uiPriority w:val="99"/>
    <w:unhideWhenUsed/>
    <w:rsid w:val="007064FA"/>
    <w:rPr>
      <w:color w:val="0000FF"/>
      <w:u w:val="single"/>
    </w:rPr>
  </w:style>
  <w:style w:type="paragraph" w:styleId="Header">
    <w:name w:val="header"/>
    <w:basedOn w:val="Normal"/>
    <w:link w:val="HeaderChar"/>
    <w:uiPriority w:val="99"/>
    <w:unhideWhenUsed/>
    <w:rsid w:val="00234A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4AE4"/>
  </w:style>
  <w:style w:type="paragraph" w:styleId="Footer">
    <w:name w:val="footer"/>
    <w:basedOn w:val="Normal"/>
    <w:link w:val="FooterChar"/>
    <w:uiPriority w:val="99"/>
    <w:unhideWhenUsed/>
    <w:rsid w:val="00234A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4AE4"/>
  </w:style>
  <w:style w:type="paragraph" w:styleId="FootnoteText">
    <w:name w:val="footnote text"/>
    <w:basedOn w:val="Normal"/>
    <w:link w:val="FootnoteTextChar"/>
    <w:semiHidden/>
    <w:unhideWhenUsed/>
    <w:rsid w:val="004D3F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FAB"/>
    <w:rPr>
      <w:sz w:val="20"/>
      <w:szCs w:val="20"/>
    </w:rPr>
  </w:style>
  <w:style w:type="character" w:styleId="FootnoteReference">
    <w:name w:val="footnote reference"/>
    <w:basedOn w:val="DefaultParagraphFont"/>
    <w:semiHidden/>
    <w:unhideWhenUsed/>
    <w:rsid w:val="004D3FAB"/>
    <w:rPr>
      <w:vertAlign w:val="superscript"/>
    </w:rPr>
  </w:style>
  <w:style w:type="character" w:customStyle="1" w:styleId="Heading4Char">
    <w:name w:val="Heading 4 Char"/>
    <w:basedOn w:val="DefaultParagraphFont"/>
    <w:link w:val="Heading4"/>
    <w:rsid w:val="001532FD"/>
    <w:rPr>
      <w:rFonts w:ascii="Times New Roman" w:eastAsia="Times New Roman" w:hAnsi="Times New Roman" w:cs="Times New Roman"/>
      <w:sz w:val="24"/>
      <w:szCs w:val="24"/>
      <w:u w:val="single"/>
    </w:rPr>
  </w:style>
  <w:style w:type="table" w:styleId="TableGrid">
    <w:name w:val="Table Grid"/>
    <w:basedOn w:val="TableNormal"/>
    <w:uiPriority w:val="39"/>
    <w:rsid w:val="0036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0E0BB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l-author-name">
    <w:name w:val="al-author-name"/>
    <w:basedOn w:val="DefaultParagraphFont"/>
    <w:rsid w:val="00030404"/>
  </w:style>
  <w:style w:type="character" w:customStyle="1" w:styleId="Heading1Char">
    <w:name w:val="Heading 1 Char"/>
    <w:basedOn w:val="DefaultParagraphFont"/>
    <w:link w:val="Heading1"/>
    <w:uiPriority w:val="9"/>
    <w:rsid w:val="00030404"/>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030404"/>
    <w:rPr>
      <w:i/>
      <w:iCs/>
    </w:rPr>
  </w:style>
  <w:style w:type="character" w:styleId="UnresolvedMention">
    <w:name w:val="Unresolved Mention"/>
    <w:basedOn w:val="DefaultParagraphFont"/>
    <w:uiPriority w:val="99"/>
    <w:semiHidden/>
    <w:unhideWhenUsed/>
    <w:rsid w:val="001D59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55564">
      <w:bodyDiv w:val="1"/>
      <w:marLeft w:val="0"/>
      <w:marRight w:val="0"/>
      <w:marTop w:val="0"/>
      <w:marBottom w:val="0"/>
      <w:divBdr>
        <w:top w:val="none" w:sz="0" w:space="0" w:color="auto"/>
        <w:left w:val="none" w:sz="0" w:space="0" w:color="auto"/>
        <w:bottom w:val="none" w:sz="0" w:space="0" w:color="auto"/>
        <w:right w:val="none" w:sz="0" w:space="0" w:color="auto"/>
      </w:divBdr>
    </w:div>
    <w:div w:id="194736187">
      <w:bodyDiv w:val="1"/>
      <w:marLeft w:val="0"/>
      <w:marRight w:val="0"/>
      <w:marTop w:val="0"/>
      <w:marBottom w:val="0"/>
      <w:divBdr>
        <w:top w:val="none" w:sz="0" w:space="0" w:color="auto"/>
        <w:left w:val="none" w:sz="0" w:space="0" w:color="auto"/>
        <w:bottom w:val="none" w:sz="0" w:space="0" w:color="auto"/>
        <w:right w:val="none" w:sz="0" w:space="0" w:color="auto"/>
      </w:divBdr>
    </w:div>
    <w:div w:id="276569916">
      <w:bodyDiv w:val="1"/>
      <w:marLeft w:val="0"/>
      <w:marRight w:val="0"/>
      <w:marTop w:val="0"/>
      <w:marBottom w:val="0"/>
      <w:divBdr>
        <w:top w:val="none" w:sz="0" w:space="0" w:color="auto"/>
        <w:left w:val="none" w:sz="0" w:space="0" w:color="auto"/>
        <w:bottom w:val="none" w:sz="0" w:space="0" w:color="auto"/>
        <w:right w:val="none" w:sz="0" w:space="0" w:color="auto"/>
      </w:divBdr>
    </w:div>
    <w:div w:id="278412691">
      <w:bodyDiv w:val="1"/>
      <w:marLeft w:val="0"/>
      <w:marRight w:val="0"/>
      <w:marTop w:val="0"/>
      <w:marBottom w:val="0"/>
      <w:divBdr>
        <w:top w:val="none" w:sz="0" w:space="0" w:color="auto"/>
        <w:left w:val="none" w:sz="0" w:space="0" w:color="auto"/>
        <w:bottom w:val="none" w:sz="0" w:space="0" w:color="auto"/>
        <w:right w:val="none" w:sz="0" w:space="0" w:color="auto"/>
      </w:divBdr>
    </w:div>
    <w:div w:id="291837241">
      <w:bodyDiv w:val="1"/>
      <w:marLeft w:val="0"/>
      <w:marRight w:val="0"/>
      <w:marTop w:val="0"/>
      <w:marBottom w:val="0"/>
      <w:divBdr>
        <w:top w:val="none" w:sz="0" w:space="0" w:color="auto"/>
        <w:left w:val="none" w:sz="0" w:space="0" w:color="auto"/>
        <w:bottom w:val="none" w:sz="0" w:space="0" w:color="auto"/>
        <w:right w:val="none" w:sz="0" w:space="0" w:color="auto"/>
      </w:divBdr>
    </w:div>
    <w:div w:id="311104054">
      <w:bodyDiv w:val="1"/>
      <w:marLeft w:val="0"/>
      <w:marRight w:val="0"/>
      <w:marTop w:val="0"/>
      <w:marBottom w:val="0"/>
      <w:divBdr>
        <w:top w:val="none" w:sz="0" w:space="0" w:color="auto"/>
        <w:left w:val="none" w:sz="0" w:space="0" w:color="auto"/>
        <w:bottom w:val="none" w:sz="0" w:space="0" w:color="auto"/>
        <w:right w:val="none" w:sz="0" w:space="0" w:color="auto"/>
      </w:divBdr>
    </w:div>
    <w:div w:id="332805584">
      <w:bodyDiv w:val="1"/>
      <w:marLeft w:val="0"/>
      <w:marRight w:val="0"/>
      <w:marTop w:val="0"/>
      <w:marBottom w:val="0"/>
      <w:divBdr>
        <w:top w:val="none" w:sz="0" w:space="0" w:color="auto"/>
        <w:left w:val="none" w:sz="0" w:space="0" w:color="auto"/>
        <w:bottom w:val="none" w:sz="0" w:space="0" w:color="auto"/>
        <w:right w:val="none" w:sz="0" w:space="0" w:color="auto"/>
      </w:divBdr>
    </w:div>
    <w:div w:id="340620871">
      <w:bodyDiv w:val="1"/>
      <w:marLeft w:val="0"/>
      <w:marRight w:val="0"/>
      <w:marTop w:val="0"/>
      <w:marBottom w:val="0"/>
      <w:divBdr>
        <w:top w:val="none" w:sz="0" w:space="0" w:color="auto"/>
        <w:left w:val="none" w:sz="0" w:space="0" w:color="auto"/>
        <w:bottom w:val="none" w:sz="0" w:space="0" w:color="auto"/>
        <w:right w:val="none" w:sz="0" w:space="0" w:color="auto"/>
      </w:divBdr>
    </w:div>
    <w:div w:id="383067634">
      <w:bodyDiv w:val="1"/>
      <w:marLeft w:val="0"/>
      <w:marRight w:val="0"/>
      <w:marTop w:val="0"/>
      <w:marBottom w:val="0"/>
      <w:divBdr>
        <w:top w:val="none" w:sz="0" w:space="0" w:color="auto"/>
        <w:left w:val="none" w:sz="0" w:space="0" w:color="auto"/>
        <w:bottom w:val="none" w:sz="0" w:space="0" w:color="auto"/>
        <w:right w:val="none" w:sz="0" w:space="0" w:color="auto"/>
      </w:divBdr>
    </w:div>
    <w:div w:id="405105228">
      <w:bodyDiv w:val="1"/>
      <w:marLeft w:val="0"/>
      <w:marRight w:val="0"/>
      <w:marTop w:val="0"/>
      <w:marBottom w:val="0"/>
      <w:divBdr>
        <w:top w:val="none" w:sz="0" w:space="0" w:color="auto"/>
        <w:left w:val="none" w:sz="0" w:space="0" w:color="auto"/>
        <w:bottom w:val="none" w:sz="0" w:space="0" w:color="auto"/>
        <w:right w:val="none" w:sz="0" w:space="0" w:color="auto"/>
      </w:divBdr>
    </w:div>
    <w:div w:id="430204487">
      <w:bodyDiv w:val="1"/>
      <w:marLeft w:val="0"/>
      <w:marRight w:val="0"/>
      <w:marTop w:val="0"/>
      <w:marBottom w:val="0"/>
      <w:divBdr>
        <w:top w:val="none" w:sz="0" w:space="0" w:color="auto"/>
        <w:left w:val="none" w:sz="0" w:space="0" w:color="auto"/>
        <w:bottom w:val="none" w:sz="0" w:space="0" w:color="auto"/>
        <w:right w:val="none" w:sz="0" w:space="0" w:color="auto"/>
      </w:divBdr>
    </w:div>
    <w:div w:id="453332484">
      <w:bodyDiv w:val="1"/>
      <w:marLeft w:val="0"/>
      <w:marRight w:val="0"/>
      <w:marTop w:val="0"/>
      <w:marBottom w:val="0"/>
      <w:divBdr>
        <w:top w:val="none" w:sz="0" w:space="0" w:color="auto"/>
        <w:left w:val="none" w:sz="0" w:space="0" w:color="auto"/>
        <w:bottom w:val="none" w:sz="0" w:space="0" w:color="auto"/>
        <w:right w:val="none" w:sz="0" w:space="0" w:color="auto"/>
      </w:divBdr>
    </w:div>
    <w:div w:id="478960857">
      <w:bodyDiv w:val="1"/>
      <w:marLeft w:val="0"/>
      <w:marRight w:val="0"/>
      <w:marTop w:val="0"/>
      <w:marBottom w:val="0"/>
      <w:divBdr>
        <w:top w:val="none" w:sz="0" w:space="0" w:color="auto"/>
        <w:left w:val="none" w:sz="0" w:space="0" w:color="auto"/>
        <w:bottom w:val="none" w:sz="0" w:space="0" w:color="auto"/>
        <w:right w:val="none" w:sz="0" w:space="0" w:color="auto"/>
      </w:divBdr>
    </w:div>
    <w:div w:id="604727260">
      <w:bodyDiv w:val="1"/>
      <w:marLeft w:val="0"/>
      <w:marRight w:val="0"/>
      <w:marTop w:val="0"/>
      <w:marBottom w:val="0"/>
      <w:divBdr>
        <w:top w:val="none" w:sz="0" w:space="0" w:color="auto"/>
        <w:left w:val="none" w:sz="0" w:space="0" w:color="auto"/>
        <w:bottom w:val="none" w:sz="0" w:space="0" w:color="auto"/>
        <w:right w:val="none" w:sz="0" w:space="0" w:color="auto"/>
      </w:divBdr>
    </w:div>
    <w:div w:id="623117138">
      <w:bodyDiv w:val="1"/>
      <w:marLeft w:val="0"/>
      <w:marRight w:val="0"/>
      <w:marTop w:val="0"/>
      <w:marBottom w:val="0"/>
      <w:divBdr>
        <w:top w:val="none" w:sz="0" w:space="0" w:color="auto"/>
        <w:left w:val="none" w:sz="0" w:space="0" w:color="auto"/>
        <w:bottom w:val="none" w:sz="0" w:space="0" w:color="auto"/>
        <w:right w:val="none" w:sz="0" w:space="0" w:color="auto"/>
      </w:divBdr>
    </w:div>
    <w:div w:id="629286988">
      <w:bodyDiv w:val="1"/>
      <w:marLeft w:val="0"/>
      <w:marRight w:val="0"/>
      <w:marTop w:val="0"/>
      <w:marBottom w:val="0"/>
      <w:divBdr>
        <w:top w:val="none" w:sz="0" w:space="0" w:color="auto"/>
        <w:left w:val="none" w:sz="0" w:space="0" w:color="auto"/>
        <w:bottom w:val="none" w:sz="0" w:space="0" w:color="auto"/>
        <w:right w:val="none" w:sz="0" w:space="0" w:color="auto"/>
      </w:divBdr>
    </w:div>
    <w:div w:id="670766044">
      <w:bodyDiv w:val="1"/>
      <w:marLeft w:val="0"/>
      <w:marRight w:val="0"/>
      <w:marTop w:val="0"/>
      <w:marBottom w:val="0"/>
      <w:divBdr>
        <w:top w:val="none" w:sz="0" w:space="0" w:color="auto"/>
        <w:left w:val="none" w:sz="0" w:space="0" w:color="auto"/>
        <w:bottom w:val="none" w:sz="0" w:space="0" w:color="auto"/>
        <w:right w:val="none" w:sz="0" w:space="0" w:color="auto"/>
      </w:divBdr>
    </w:div>
    <w:div w:id="688945012">
      <w:bodyDiv w:val="1"/>
      <w:marLeft w:val="0"/>
      <w:marRight w:val="0"/>
      <w:marTop w:val="0"/>
      <w:marBottom w:val="0"/>
      <w:divBdr>
        <w:top w:val="none" w:sz="0" w:space="0" w:color="auto"/>
        <w:left w:val="none" w:sz="0" w:space="0" w:color="auto"/>
        <w:bottom w:val="none" w:sz="0" w:space="0" w:color="auto"/>
        <w:right w:val="none" w:sz="0" w:space="0" w:color="auto"/>
      </w:divBdr>
    </w:div>
    <w:div w:id="714700572">
      <w:bodyDiv w:val="1"/>
      <w:marLeft w:val="0"/>
      <w:marRight w:val="0"/>
      <w:marTop w:val="0"/>
      <w:marBottom w:val="0"/>
      <w:divBdr>
        <w:top w:val="none" w:sz="0" w:space="0" w:color="auto"/>
        <w:left w:val="none" w:sz="0" w:space="0" w:color="auto"/>
        <w:bottom w:val="none" w:sz="0" w:space="0" w:color="auto"/>
        <w:right w:val="none" w:sz="0" w:space="0" w:color="auto"/>
      </w:divBdr>
    </w:div>
    <w:div w:id="756903802">
      <w:bodyDiv w:val="1"/>
      <w:marLeft w:val="0"/>
      <w:marRight w:val="0"/>
      <w:marTop w:val="0"/>
      <w:marBottom w:val="0"/>
      <w:divBdr>
        <w:top w:val="none" w:sz="0" w:space="0" w:color="auto"/>
        <w:left w:val="none" w:sz="0" w:space="0" w:color="auto"/>
        <w:bottom w:val="none" w:sz="0" w:space="0" w:color="auto"/>
        <w:right w:val="none" w:sz="0" w:space="0" w:color="auto"/>
      </w:divBdr>
    </w:div>
    <w:div w:id="851605287">
      <w:bodyDiv w:val="1"/>
      <w:marLeft w:val="0"/>
      <w:marRight w:val="0"/>
      <w:marTop w:val="0"/>
      <w:marBottom w:val="0"/>
      <w:divBdr>
        <w:top w:val="none" w:sz="0" w:space="0" w:color="auto"/>
        <w:left w:val="none" w:sz="0" w:space="0" w:color="auto"/>
        <w:bottom w:val="none" w:sz="0" w:space="0" w:color="auto"/>
        <w:right w:val="none" w:sz="0" w:space="0" w:color="auto"/>
      </w:divBdr>
    </w:div>
    <w:div w:id="895434149">
      <w:bodyDiv w:val="1"/>
      <w:marLeft w:val="0"/>
      <w:marRight w:val="0"/>
      <w:marTop w:val="0"/>
      <w:marBottom w:val="0"/>
      <w:divBdr>
        <w:top w:val="none" w:sz="0" w:space="0" w:color="auto"/>
        <w:left w:val="none" w:sz="0" w:space="0" w:color="auto"/>
        <w:bottom w:val="none" w:sz="0" w:space="0" w:color="auto"/>
        <w:right w:val="none" w:sz="0" w:space="0" w:color="auto"/>
      </w:divBdr>
    </w:div>
    <w:div w:id="919603018">
      <w:bodyDiv w:val="1"/>
      <w:marLeft w:val="0"/>
      <w:marRight w:val="0"/>
      <w:marTop w:val="0"/>
      <w:marBottom w:val="0"/>
      <w:divBdr>
        <w:top w:val="none" w:sz="0" w:space="0" w:color="auto"/>
        <w:left w:val="none" w:sz="0" w:space="0" w:color="auto"/>
        <w:bottom w:val="none" w:sz="0" w:space="0" w:color="auto"/>
        <w:right w:val="none" w:sz="0" w:space="0" w:color="auto"/>
      </w:divBdr>
    </w:div>
    <w:div w:id="1008799334">
      <w:bodyDiv w:val="1"/>
      <w:marLeft w:val="0"/>
      <w:marRight w:val="0"/>
      <w:marTop w:val="0"/>
      <w:marBottom w:val="0"/>
      <w:divBdr>
        <w:top w:val="none" w:sz="0" w:space="0" w:color="auto"/>
        <w:left w:val="none" w:sz="0" w:space="0" w:color="auto"/>
        <w:bottom w:val="none" w:sz="0" w:space="0" w:color="auto"/>
        <w:right w:val="none" w:sz="0" w:space="0" w:color="auto"/>
      </w:divBdr>
    </w:div>
    <w:div w:id="1008823488">
      <w:bodyDiv w:val="1"/>
      <w:marLeft w:val="0"/>
      <w:marRight w:val="0"/>
      <w:marTop w:val="0"/>
      <w:marBottom w:val="0"/>
      <w:divBdr>
        <w:top w:val="none" w:sz="0" w:space="0" w:color="auto"/>
        <w:left w:val="none" w:sz="0" w:space="0" w:color="auto"/>
        <w:bottom w:val="none" w:sz="0" w:space="0" w:color="auto"/>
        <w:right w:val="none" w:sz="0" w:space="0" w:color="auto"/>
      </w:divBdr>
    </w:div>
    <w:div w:id="1019355708">
      <w:bodyDiv w:val="1"/>
      <w:marLeft w:val="0"/>
      <w:marRight w:val="0"/>
      <w:marTop w:val="0"/>
      <w:marBottom w:val="0"/>
      <w:divBdr>
        <w:top w:val="none" w:sz="0" w:space="0" w:color="auto"/>
        <w:left w:val="none" w:sz="0" w:space="0" w:color="auto"/>
        <w:bottom w:val="none" w:sz="0" w:space="0" w:color="auto"/>
        <w:right w:val="none" w:sz="0" w:space="0" w:color="auto"/>
      </w:divBdr>
    </w:div>
    <w:div w:id="1115831272">
      <w:bodyDiv w:val="1"/>
      <w:marLeft w:val="0"/>
      <w:marRight w:val="0"/>
      <w:marTop w:val="0"/>
      <w:marBottom w:val="0"/>
      <w:divBdr>
        <w:top w:val="none" w:sz="0" w:space="0" w:color="auto"/>
        <w:left w:val="none" w:sz="0" w:space="0" w:color="auto"/>
        <w:bottom w:val="none" w:sz="0" w:space="0" w:color="auto"/>
        <w:right w:val="none" w:sz="0" w:space="0" w:color="auto"/>
      </w:divBdr>
    </w:div>
    <w:div w:id="1122307904">
      <w:bodyDiv w:val="1"/>
      <w:marLeft w:val="0"/>
      <w:marRight w:val="0"/>
      <w:marTop w:val="0"/>
      <w:marBottom w:val="0"/>
      <w:divBdr>
        <w:top w:val="none" w:sz="0" w:space="0" w:color="auto"/>
        <w:left w:val="none" w:sz="0" w:space="0" w:color="auto"/>
        <w:bottom w:val="none" w:sz="0" w:space="0" w:color="auto"/>
        <w:right w:val="none" w:sz="0" w:space="0" w:color="auto"/>
      </w:divBdr>
    </w:div>
    <w:div w:id="1155796854">
      <w:bodyDiv w:val="1"/>
      <w:marLeft w:val="0"/>
      <w:marRight w:val="0"/>
      <w:marTop w:val="0"/>
      <w:marBottom w:val="0"/>
      <w:divBdr>
        <w:top w:val="none" w:sz="0" w:space="0" w:color="auto"/>
        <w:left w:val="none" w:sz="0" w:space="0" w:color="auto"/>
        <w:bottom w:val="none" w:sz="0" w:space="0" w:color="auto"/>
        <w:right w:val="none" w:sz="0" w:space="0" w:color="auto"/>
      </w:divBdr>
    </w:div>
    <w:div w:id="1545826780">
      <w:bodyDiv w:val="1"/>
      <w:marLeft w:val="0"/>
      <w:marRight w:val="0"/>
      <w:marTop w:val="0"/>
      <w:marBottom w:val="0"/>
      <w:divBdr>
        <w:top w:val="none" w:sz="0" w:space="0" w:color="auto"/>
        <w:left w:val="none" w:sz="0" w:space="0" w:color="auto"/>
        <w:bottom w:val="none" w:sz="0" w:space="0" w:color="auto"/>
        <w:right w:val="none" w:sz="0" w:space="0" w:color="auto"/>
      </w:divBdr>
    </w:div>
    <w:div w:id="1625848192">
      <w:bodyDiv w:val="1"/>
      <w:marLeft w:val="0"/>
      <w:marRight w:val="0"/>
      <w:marTop w:val="0"/>
      <w:marBottom w:val="0"/>
      <w:divBdr>
        <w:top w:val="none" w:sz="0" w:space="0" w:color="auto"/>
        <w:left w:val="none" w:sz="0" w:space="0" w:color="auto"/>
        <w:bottom w:val="none" w:sz="0" w:space="0" w:color="auto"/>
        <w:right w:val="none" w:sz="0" w:space="0" w:color="auto"/>
      </w:divBdr>
    </w:div>
    <w:div w:id="1652102687">
      <w:bodyDiv w:val="1"/>
      <w:marLeft w:val="0"/>
      <w:marRight w:val="0"/>
      <w:marTop w:val="0"/>
      <w:marBottom w:val="0"/>
      <w:divBdr>
        <w:top w:val="none" w:sz="0" w:space="0" w:color="auto"/>
        <w:left w:val="none" w:sz="0" w:space="0" w:color="auto"/>
        <w:bottom w:val="none" w:sz="0" w:space="0" w:color="auto"/>
        <w:right w:val="none" w:sz="0" w:space="0" w:color="auto"/>
      </w:divBdr>
    </w:div>
    <w:div w:id="1659646908">
      <w:bodyDiv w:val="1"/>
      <w:marLeft w:val="0"/>
      <w:marRight w:val="0"/>
      <w:marTop w:val="0"/>
      <w:marBottom w:val="0"/>
      <w:divBdr>
        <w:top w:val="none" w:sz="0" w:space="0" w:color="auto"/>
        <w:left w:val="none" w:sz="0" w:space="0" w:color="auto"/>
        <w:bottom w:val="none" w:sz="0" w:space="0" w:color="auto"/>
        <w:right w:val="none" w:sz="0" w:space="0" w:color="auto"/>
      </w:divBdr>
    </w:div>
    <w:div w:id="1958412573">
      <w:bodyDiv w:val="1"/>
      <w:marLeft w:val="0"/>
      <w:marRight w:val="0"/>
      <w:marTop w:val="0"/>
      <w:marBottom w:val="0"/>
      <w:divBdr>
        <w:top w:val="none" w:sz="0" w:space="0" w:color="auto"/>
        <w:left w:val="none" w:sz="0" w:space="0" w:color="auto"/>
        <w:bottom w:val="none" w:sz="0" w:space="0" w:color="auto"/>
        <w:right w:val="none" w:sz="0" w:space="0" w:color="auto"/>
      </w:divBdr>
    </w:div>
    <w:div w:id="2048097946">
      <w:bodyDiv w:val="1"/>
      <w:marLeft w:val="0"/>
      <w:marRight w:val="0"/>
      <w:marTop w:val="0"/>
      <w:marBottom w:val="0"/>
      <w:divBdr>
        <w:top w:val="none" w:sz="0" w:space="0" w:color="auto"/>
        <w:left w:val="none" w:sz="0" w:space="0" w:color="auto"/>
        <w:bottom w:val="none" w:sz="0" w:space="0" w:color="auto"/>
        <w:right w:val="none" w:sz="0" w:space="0" w:color="auto"/>
      </w:divBdr>
    </w:div>
    <w:div w:id="2076200611">
      <w:bodyDiv w:val="1"/>
      <w:marLeft w:val="0"/>
      <w:marRight w:val="0"/>
      <w:marTop w:val="0"/>
      <w:marBottom w:val="0"/>
      <w:divBdr>
        <w:top w:val="none" w:sz="0" w:space="0" w:color="auto"/>
        <w:left w:val="none" w:sz="0" w:space="0" w:color="auto"/>
        <w:bottom w:val="none" w:sz="0" w:space="0" w:color="auto"/>
        <w:right w:val="none" w:sz="0" w:space="0" w:color="auto"/>
      </w:divBdr>
    </w:div>
    <w:div w:id="209508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asi3@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2139/ssrn.2345804" TargetMode="External"/><Relationship Id="rId5" Type="http://schemas.openxmlformats.org/officeDocument/2006/relationships/webSettings" Target="webSettings.xml"/><Relationship Id="rId10" Type="http://schemas.openxmlformats.org/officeDocument/2006/relationships/hyperlink" Target="https://ssrn.com/abstract=2345804"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D9C3-30CE-45EE-B2F8-7A8457E6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5440</Words>
  <Characters>31013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Turki</dc:creator>
  <cp:keywords/>
  <dc:description/>
  <cp:lastModifiedBy>Turki</cp:lastModifiedBy>
  <cp:revision>9</cp:revision>
  <dcterms:created xsi:type="dcterms:W3CDTF">2018-06-10T12:32:00Z</dcterms:created>
  <dcterms:modified xsi:type="dcterms:W3CDTF">2018-06-10T14:36:00Z</dcterms:modified>
</cp:coreProperties>
</file>