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A5D" w:rsidRPr="00A31903" w:rsidRDefault="00936A5D" w:rsidP="00936A5D">
      <w:pPr>
        <w:spacing w:line="240" w:lineRule="auto"/>
        <w:jc w:val="both"/>
        <w:rPr>
          <w:rFonts w:ascii="Times New Roman" w:hAnsi="Times New Roman" w:cs="Times New Roman"/>
          <w:b/>
        </w:rPr>
      </w:pPr>
      <w:bookmarkStart w:id="0" w:name="_GoBack"/>
      <w:bookmarkEnd w:id="0"/>
      <w:r w:rsidRPr="00A31903">
        <w:rPr>
          <w:rFonts w:ascii="Times New Roman" w:hAnsi="Times New Roman" w:cs="Times New Roman"/>
          <w:b/>
        </w:rPr>
        <w:t>An Estimation of the Taxable Capacity, Tax Effort and Tax Burden of an Emerging Economy: Evidence from Ghana</w:t>
      </w:r>
    </w:p>
    <w:p w:rsidR="00936A5D" w:rsidRPr="00A31903" w:rsidRDefault="00936A5D" w:rsidP="00936A5D">
      <w:pPr>
        <w:spacing w:after="0" w:line="240" w:lineRule="auto"/>
        <w:jc w:val="center"/>
        <w:rPr>
          <w:rFonts w:ascii="Times New Roman" w:hAnsi="Times New Roman" w:cs="Times New Roman"/>
          <w:b/>
          <w:color w:val="111111"/>
          <w:shd w:val="clear" w:color="auto" w:fill="FFFFFF"/>
        </w:rPr>
      </w:pPr>
      <w:r w:rsidRPr="00A31903">
        <w:rPr>
          <w:rFonts w:ascii="Times New Roman" w:hAnsi="Times New Roman" w:cs="Times New Roman"/>
          <w:b/>
          <w:color w:val="111111"/>
          <w:shd w:val="clear" w:color="auto" w:fill="FFFFFF"/>
        </w:rPr>
        <w:t xml:space="preserve">John </w:t>
      </w:r>
      <w:proofErr w:type="spellStart"/>
      <w:r w:rsidRPr="00A31903">
        <w:rPr>
          <w:rFonts w:ascii="Times New Roman" w:hAnsi="Times New Roman" w:cs="Times New Roman"/>
          <w:b/>
          <w:color w:val="111111"/>
          <w:shd w:val="clear" w:color="auto" w:fill="FFFFFF"/>
        </w:rPr>
        <w:t>Kwaku</w:t>
      </w:r>
      <w:proofErr w:type="spellEnd"/>
      <w:r w:rsidRPr="00A31903">
        <w:rPr>
          <w:rFonts w:ascii="Times New Roman" w:hAnsi="Times New Roman" w:cs="Times New Roman"/>
          <w:b/>
          <w:color w:val="111111"/>
          <w:shd w:val="clear" w:color="auto" w:fill="FFFFFF"/>
        </w:rPr>
        <w:t xml:space="preserve"> </w:t>
      </w:r>
      <w:proofErr w:type="spellStart"/>
      <w:r w:rsidRPr="00A31903">
        <w:rPr>
          <w:rFonts w:ascii="Times New Roman" w:hAnsi="Times New Roman" w:cs="Times New Roman"/>
          <w:b/>
          <w:color w:val="111111"/>
          <w:shd w:val="clear" w:color="auto" w:fill="FFFFFF"/>
        </w:rPr>
        <w:t>Amoh</w:t>
      </w:r>
      <w:proofErr w:type="spellEnd"/>
      <w:r w:rsidRPr="00A31903">
        <w:rPr>
          <w:rFonts w:ascii="Times New Roman" w:hAnsi="Times New Roman" w:cs="Times New Roman"/>
          <w:b/>
          <w:color w:val="111111"/>
          <w:shd w:val="clear" w:color="auto" w:fill="FFFFFF"/>
        </w:rPr>
        <w:t>**</w:t>
      </w:r>
    </w:p>
    <w:p w:rsidR="00936A5D" w:rsidRPr="00A31903" w:rsidRDefault="00936A5D" w:rsidP="00936A5D">
      <w:pPr>
        <w:spacing w:after="0" w:line="240" w:lineRule="auto"/>
        <w:jc w:val="center"/>
        <w:rPr>
          <w:rFonts w:ascii="Times New Roman" w:hAnsi="Times New Roman" w:cs="Times New Roman"/>
          <w:color w:val="111111"/>
          <w:shd w:val="clear" w:color="auto" w:fill="FFFFFF"/>
        </w:rPr>
      </w:pPr>
      <w:r w:rsidRPr="00A31903">
        <w:rPr>
          <w:rFonts w:ascii="Times New Roman" w:hAnsi="Times New Roman" w:cs="Times New Roman"/>
          <w:color w:val="111111"/>
          <w:lang w:val="tr-TR" w:eastAsia="tr-TR"/>
        </w:rPr>
        <w:t>Faculty of Accountıng and Fınance</w:t>
      </w:r>
      <w:r w:rsidRPr="00A31903">
        <w:rPr>
          <w:rFonts w:ascii="Times New Roman" w:hAnsi="Times New Roman" w:cs="Times New Roman"/>
          <w:color w:val="111111"/>
          <w:shd w:val="clear" w:color="auto" w:fill="FFFFFF"/>
        </w:rPr>
        <w:t xml:space="preserve">, </w:t>
      </w:r>
      <w:r w:rsidRPr="00A31903">
        <w:rPr>
          <w:rFonts w:ascii="Times New Roman" w:hAnsi="Times New Roman" w:cs="Times New Roman"/>
          <w:color w:val="111111"/>
          <w:lang w:val="tr-TR" w:eastAsia="tr-TR"/>
        </w:rPr>
        <w:t xml:space="preserve">Department of Accountıng, </w:t>
      </w:r>
      <w:r w:rsidRPr="00A31903">
        <w:rPr>
          <w:rFonts w:ascii="Times New Roman" w:hAnsi="Times New Roman" w:cs="Times New Roman"/>
          <w:color w:val="111111"/>
          <w:shd w:val="clear" w:color="auto" w:fill="FFFFFF"/>
        </w:rPr>
        <w:t>University of Professional Studies, Accra, Ghana, West Africa.</w:t>
      </w:r>
    </w:p>
    <w:p w:rsidR="00936A5D" w:rsidRDefault="00936A5D" w:rsidP="00936A5D">
      <w:pPr>
        <w:spacing w:after="0" w:line="240" w:lineRule="auto"/>
        <w:jc w:val="center"/>
        <w:rPr>
          <w:rFonts w:ascii="Times New Roman" w:hAnsi="Times New Roman" w:cs="Times New Roman"/>
          <w:color w:val="111111"/>
          <w:shd w:val="clear" w:color="auto" w:fill="FFFFFF"/>
        </w:rPr>
      </w:pPr>
      <w:r w:rsidRPr="00A31903">
        <w:rPr>
          <w:rFonts w:ascii="Times New Roman" w:hAnsi="Times New Roman" w:cs="Times New Roman"/>
          <w:color w:val="111111"/>
          <w:shd w:val="clear" w:color="auto" w:fill="FFFFFF"/>
        </w:rPr>
        <w:t xml:space="preserve"> Email: </w:t>
      </w:r>
      <w:hyperlink r:id="rId9" w:history="1">
        <w:r w:rsidRPr="007979CB">
          <w:rPr>
            <w:rStyle w:val="Hyperlink"/>
            <w:rFonts w:ascii="Times New Roman" w:hAnsi="Times New Roman" w:cs="Times New Roman"/>
            <w:shd w:val="clear" w:color="auto" w:fill="FFFFFF"/>
          </w:rPr>
          <w:t>john.amoh@upsamail.edu.gh</w:t>
        </w:r>
      </w:hyperlink>
    </w:p>
    <w:p w:rsidR="00936A5D" w:rsidRPr="00A31903" w:rsidRDefault="00936A5D" w:rsidP="00936A5D">
      <w:pPr>
        <w:pStyle w:val="NoSpacing"/>
        <w:jc w:val="center"/>
        <w:rPr>
          <w:rFonts w:ascii="Times New Roman" w:hAnsi="Times New Roman"/>
          <w:b/>
        </w:rPr>
      </w:pPr>
    </w:p>
    <w:p w:rsidR="00936A5D" w:rsidRPr="00A31903" w:rsidRDefault="00936A5D" w:rsidP="00936A5D">
      <w:pPr>
        <w:pStyle w:val="NoSpacing"/>
        <w:jc w:val="center"/>
        <w:rPr>
          <w:rFonts w:ascii="Times New Roman" w:hAnsi="Times New Roman"/>
        </w:rPr>
      </w:pPr>
      <w:proofErr w:type="spellStart"/>
      <w:r w:rsidRPr="00A31903">
        <w:rPr>
          <w:rFonts w:ascii="Times New Roman" w:hAnsi="Times New Roman"/>
          <w:b/>
        </w:rPr>
        <w:t>Abdallah</w:t>
      </w:r>
      <w:proofErr w:type="spellEnd"/>
      <w:r w:rsidRPr="00A31903">
        <w:rPr>
          <w:rFonts w:ascii="Times New Roman" w:hAnsi="Times New Roman"/>
          <w:b/>
        </w:rPr>
        <w:t xml:space="preserve"> Ali-</w:t>
      </w:r>
      <w:proofErr w:type="spellStart"/>
      <w:r w:rsidRPr="00A31903">
        <w:rPr>
          <w:rFonts w:ascii="Times New Roman" w:hAnsi="Times New Roman"/>
          <w:b/>
        </w:rPr>
        <w:t>Nakyea</w:t>
      </w:r>
      <w:proofErr w:type="spellEnd"/>
    </w:p>
    <w:p w:rsidR="00936A5D" w:rsidRPr="00A31903" w:rsidRDefault="00936A5D" w:rsidP="00936A5D">
      <w:pPr>
        <w:pStyle w:val="NoSpacing"/>
        <w:jc w:val="center"/>
        <w:rPr>
          <w:rFonts w:ascii="Times New Roman" w:hAnsi="Times New Roman"/>
        </w:rPr>
      </w:pPr>
      <w:r w:rsidRPr="00A31903">
        <w:rPr>
          <w:rFonts w:ascii="Times New Roman" w:hAnsi="Times New Roman"/>
        </w:rPr>
        <w:t>Managing Partner of Ali-</w:t>
      </w:r>
      <w:proofErr w:type="spellStart"/>
      <w:r w:rsidRPr="00A31903">
        <w:rPr>
          <w:rFonts w:ascii="Times New Roman" w:hAnsi="Times New Roman"/>
        </w:rPr>
        <w:t>Nakyea</w:t>
      </w:r>
      <w:proofErr w:type="spellEnd"/>
      <w:r w:rsidRPr="00A31903">
        <w:rPr>
          <w:rFonts w:ascii="Times New Roman" w:hAnsi="Times New Roman"/>
        </w:rPr>
        <w:t xml:space="preserve"> &amp; Associates, Part-time Lecturer in the School of Law, University of Ghana, </w:t>
      </w:r>
      <w:proofErr w:type="spellStart"/>
      <w:r w:rsidRPr="00A31903">
        <w:rPr>
          <w:rFonts w:ascii="Times New Roman" w:hAnsi="Times New Roman"/>
        </w:rPr>
        <w:t>Legon</w:t>
      </w:r>
      <w:proofErr w:type="spellEnd"/>
      <w:r w:rsidRPr="00A31903">
        <w:rPr>
          <w:rFonts w:ascii="Times New Roman" w:hAnsi="Times New Roman"/>
        </w:rPr>
        <w:t xml:space="preserve"> and University of Ghana Business School, </w:t>
      </w:r>
      <w:proofErr w:type="spellStart"/>
      <w:r w:rsidRPr="00A31903">
        <w:rPr>
          <w:rFonts w:ascii="Times New Roman" w:hAnsi="Times New Roman"/>
        </w:rPr>
        <w:t>Legon</w:t>
      </w:r>
      <w:proofErr w:type="spellEnd"/>
      <w:r w:rsidRPr="00A31903">
        <w:rPr>
          <w:rFonts w:ascii="Times New Roman" w:hAnsi="Times New Roman"/>
        </w:rPr>
        <w:t xml:space="preserve">, Ghana, </w:t>
      </w:r>
      <w:proofErr w:type="gramStart"/>
      <w:r w:rsidRPr="00A31903">
        <w:rPr>
          <w:rFonts w:ascii="Times New Roman" w:hAnsi="Times New Roman"/>
        </w:rPr>
        <w:t>West-Africa</w:t>
      </w:r>
      <w:proofErr w:type="gramEnd"/>
      <w:r w:rsidRPr="00A31903">
        <w:rPr>
          <w:rFonts w:ascii="Times New Roman" w:hAnsi="Times New Roman"/>
        </w:rPr>
        <w:t>.</w:t>
      </w:r>
    </w:p>
    <w:p w:rsidR="00936A5D" w:rsidRDefault="00936A5D" w:rsidP="00936A5D">
      <w:pPr>
        <w:pStyle w:val="NoSpacing"/>
        <w:jc w:val="center"/>
        <w:rPr>
          <w:rStyle w:val="Hyperlink"/>
          <w:rFonts w:ascii="Times New Roman" w:hAnsi="Times New Roman"/>
        </w:rPr>
      </w:pPr>
      <w:r w:rsidRPr="00A31903">
        <w:rPr>
          <w:rFonts w:ascii="Times New Roman" w:hAnsi="Times New Roman"/>
          <w:i/>
        </w:rPr>
        <w:t xml:space="preserve">Email: </w:t>
      </w:r>
      <w:hyperlink r:id="rId10" w:history="1">
        <w:r w:rsidRPr="00A31903">
          <w:rPr>
            <w:rStyle w:val="Hyperlink"/>
            <w:rFonts w:ascii="Times New Roman" w:hAnsi="Times New Roman"/>
          </w:rPr>
          <w:t>alinakyea@gmail.com</w:t>
        </w:r>
      </w:hyperlink>
    </w:p>
    <w:p w:rsidR="00936A5D" w:rsidRPr="00A31903" w:rsidRDefault="00936A5D" w:rsidP="00936A5D">
      <w:pPr>
        <w:pStyle w:val="NoSpacing"/>
        <w:jc w:val="center"/>
        <w:rPr>
          <w:rFonts w:ascii="Times New Roman" w:hAnsi="Times New Roman"/>
        </w:rPr>
      </w:pPr>
    </w:p>
    <w:p w:rsidR="00936A5D" w:rsidRPr="005C5F9B" w:rsidRDefault="00936A5D" w:rsidP="00936A5D">
      <w:pPr>
        <w:spacing w:after="0" w:line="240" w:lineRule="auto"/>
        <w:ind w:left="2880" w:firstLine="720"/>
        <w:jc w:val="both"/>
        <w:rPr>
          <w:rFonts w:ascii="Times New Roman" w:hAnsi="Times New Roman" w:cs="Times New Roman"/>
          <w:b/>
          <w:sz w:val="24"/>
          <w:szCs w:val="24"/>
        </w:rPr>
      </w:pPr>
      <w:proofErr w:type="spellStart"/>
      <w:r w:rsidRPr="005C5F9B">
        <w:rPr>
          <w:rFonts w:ascii="Times New Roman" w:hAnsi="Times New Roman" w:cs="Times New Roman"/>
          <w:b/>
          <w:sz w:val="24"/>
          <w:szCs w:val="24"/>
        </w:rPr>
        <w:t>Babonyire</w:t>
      </w:r>
      <w:proofErr w:type="spellEnd"/>
      <w:r w:rsidRPr="005C5F9B">
        <w:rPr>
          <w:rFonts w:ascii="Times New Roman" w:hAnsi="Times New Roman" w:cs="Times New Roman"/>
          <w:b/>
          <w:sz w:val="24"/>
          <w:szCs w:val="24"/>
        </w:rPr>
        <w:t xml:space="preserve"> </w:t>
      </w:r>
      <w:proofErr w:type="spellStart"/>
      <w:r w:rsidRPr="005C5F9B">
        <w:rPr>
          <w:rFonts w:ascii="Times New Roman" w:hAnsi="Times New Roman" w:cs="Times New Roman"/>
          <w:b/>
          <w:sz w:val="24"/>
          <w:szCs w:val="24"/>
        </w:rPr>
        <w:t>Adafula</w:t>
      </w:r>
      <w:proofErr w:type="spellEnd"/>
    </w:p>
    <w:p w:rsidR="00936A5D" w:rsidRDefault="00936A5D" w:rsidP="00936A5D">
      <w:pPr>
        <w:spacing w:after="0" w:line="240" w:lineRule="auto"/>
        <w:ind w:left="2160" w:firstLine="720"/>
        <w:jc w:val="both"/>
        <w:rPr>
          <w:rFonts w:ascii="Times New Roman" w:hAnsi="Times New Roman" w:cs="Times New Roman"/>
          <w:sz w:val="24"/>
          <w:szCs w:val="24"/>
        </w:rPr>
      </w:pPr>
      <w:r w:rsidRPr="00A31903">
        <w:rPr>
          <w:rFonts w:ascii="Times New Roman" w:hAnsi="Times New Roman"/>
          <w:i/>
        </w:rPr>
        <w:t>Email:</w:t>
      </w:r>
      <w:r w:rsidRPr="00646C09">
        <w:rPr>
          <w:rFonts w:ascii="Times New Roman" w:hAnsi="Times New Roman" w:cs="Times New Roman"/>
          <w:sz w:val="24"/>
          <w:szCs w:val="24"/>
        </w:rPr>
        <w:t>adafbabon@yahoo.com</w:t>
      </w:r>
    </w:p>
    <w:p w:rsidR="00936A5D" w:rsidRDefault="00936A5D" w:rsidP="00936A5D">
      <w:pPr>
        <w:spacing w:after="0" w:line="240" w:lineRule="auto"/>
        <w:jc w:val="both"/>
        <w:rPr>
          <w:rFonts w:ascii="Times New Roman" w:hAnsi="Times New Roman"/>
        </w:rPr>
      </w:pPr>
      <w:r w:rsidRPr="00646C09">
        <w:rPr>
          <w:rFonts w:ascii="Times New Roman" w:hAnsi="Times New Roman" w:cs="Times New Roman"/>
          <w:sz w:val="24"/>
          <w:szCs w:val="24"/>
        </w:rPr>
        <w:t>C/o Department of Accounting</w:t>
      </w:r>
      <w:r>
        <w:rPr>
          <w:rFonts w:ascii="Times New Roman" w:hAnsi="Times New Roman" w:cs="Times New Roman"/>
          <w:sz w:val="24"/>
          <w:szCs w:val="24"/>
        </w:rPr>
        <w:t xml:space="preserve">, </w:t>
      </w:r>
      <w:r w:rsidRPr="00646C09">
        <w:rPr>
          <w:rFonts w:ascii="Times New Roman" w:hAnsi="Times New Roman" w:cs="Times New Roman"/>
          <w:sz w:val="24"/>
          <w:szCs w:val="24"/>
        </w:rPr>
        <w:t>University of Ghana Business School</w:t>
      </w:r>
      <w:r>
        <w:rPr>
          <w:rFonts w:ascii="Times New Roman" w:hAnsi="Times New Roman" w:cs="Times New Roman"/>
          <w:sz w:val="24"/>
          <w:szCs w:val="24"/>
        </w:rPr>
        <w:t xml:space="preserve">, </w:t>
      </w:r>
      <w:r w:rsidRPr="00A31903">
        <w:rPr>
          <w:rFonts w:ascii="Times New Roman" w:hAnsi="Times New Roman"/>
        </w:rPr>
        <w:t>University of Ghana,</w:t>
      </w:r>
      <w:r>
        <w:rPr>
          <w:rFonts w:ascii="Times New Roman" w:hAnsi="Times New Roman"/>
        </w:rPr>
        <w:t xml:space="preserve">  </w:t>
      </w:r>
    </w:p>
    <w:p w:rsidR="00936A5D" w:rsidRPr="00646C09" w:rsidRDefault="00936A5D" w:rsidP="00936A5D">
      <w:pPr>
        <w:spacing w:after="0" w:line="240" w:lineRule="auto"/>
        <w:jc w:val="both"/>
        <w:rPr>
          <w:rFonts w:ascii="Times New Roman" w:hAnsi="Times New Roman" w:cs="Times New Roman"/>
          <w:sz w:val="24"/>
          <w:szCs w:val="24"/>
        </w:rPr>
      </w:pPr>
      <w:r>
        <w:rPr>
          <w:rFonts w:ascii="Times New Roman" w:hAnsi="Times New Roman"/>
        </w:rPr>
        <w:t xml:space="preserve">                                  </w:t>
      </w:r>
      <w:r w:rsidRPr="00646C09">
        <w:rPr>
          <w:rFonts w:ascii="Times New Roman" w:hAnsi="Times New Roman" w:cs="Times New Roman"/>
          <w:sz w:val="24"/>
          <w:szCs w:val="24"/>
        </w:rPr>
        <w:t>P.O. Box LG 78</w:t>
      </w:r>
      <w:r>
        <w:rPr>
          <w:rFonts w:ascii="Times New Roman" w:hAnsi="Times New Roman" w:cs="Times New Roman"/>
          <w:sz w:val="24"/>
          <w:szCs w:val="24"/>
        </w:rPr>
        <w:t xml:space="preserve">, </w:t>
      </w:r>
      <w:proofErr w:type="spellStart"/>
      <w:r w:rsidRPr="00646C09">
        <w:rPr>
          <w:rFonts w:ascii="Times New Roman" w:hAnsi="Times New Roman" w:cs="Times New Roman"/>
          <w:sz w:val="24"/>
          <w:szCs w:val="24"/>
        </w:rPr>
        <w:t>Legon</w:t>
      </w:r>
      <w:proofErr w:type="spellEnd"/>
      <w:r w:rsidRPr="00646C09">
        <w:rPr>
          <w:rFonts w:ascii="Times New Roman" w:hAnsi="Times New Roman" w:cs="Times New Roman"/>
          <w:sz w:val="24"/>
          <w:szCs w:val="24"/>
        </w:rPr>
        <w:t>, Ghana-West Africa</w:t>
      </w:r>
    </w:p>
    <w:p w:rsidR="00936A5D" w:rsidRPr="005C5F9B" w:rsidRDefault="00936A5D" w:rsidP="00936A5D">
      <w:pPr>
        <w:spacing w:after="0" w:line="240" w:lineRule="auto"/>
        <w:ind w:left="2160" w:firstLine="720"/>
        <w:jc w:val="both"/>
        <w:rPr>
          <w:rFonts w:ascii="Times New Roman" w:hAnsi="Times New Roman" w:cs="Times New Roman"/>
          <w:sz w:val="24"/>
          <w:szCs w:val="24"/>
        </w:rPr>
      </w:pPr>
    </w:p>
    <w:p w:rsidR="00936A5D" w:rsidRPr="00A31903" w:rsidRDefault="00936A5D" w:rsidP="00936A5D">
      <w:pPr>
        <w:spacing w:line="360" w:lineRule="auto"/>
        <w:jc w:val="both"/>
        <w:rPr>
          <w:rFonts w:ascii="Times New Roman" w:hAnsi="Times New Roman" w:cs="Times New Roman"/>
          <w:b/>
        </w:rPr>
      </w:pPr>
      <w:r w:rsidRPr="00A31903">
        <w:rPr>
          <w:rFonts w:ascii="Times New Roman" w:hAnsi="Times New Roman" w:cs="Times New Roman"/>
          <w:b/>
        </w:rPr>
        <w:t>**Corresponding author</w:t>
      </w:r>
    </w:p>
    <w:p w:rsidR="00B12919" w:rsidRPr="00A31903" w:rsidRDefault="001B4FA2" w:rsidP="00B12919">
      <w:pPr>
        <w:spacing w:line="240" w:lineRule="auto"/>
        <w:jc w:val="both"/>
        <w:rPr>
          <w:rFonts w:ascii="Times New Roman" w:hAnsi="Times New Roman" w:cs="Times New Roman"/>
          <w:b/>
        </w:rPr>
      </w:pPr>
      <w:r w:rsidRPr="00A31903">
        <w:rPr>
          <w:rFonts w:ascii="Times New Roman" w:hAnsi="Times New Roman" w:cs="Times New Roman"/>
          <w:b/>
        </w:rPr>
        <w:t>ABSTRACT</w:t>
      </w:r>
    </w:p>
    <w:p w:rsidR="006F5584" w:rsidRPr="00A31903" w:rsidRDefault="00180BF0" w:rsidP="005B1EE4">
      <w:pPr>
        <w:jc w:val="both"/>
        <w:rPr>
          <w:rFonts w:ascii="Times New Roman" w:hAnsi="Times New Roman" w:cs="Times New Roman"/>
        </w:rPr>
      </w:pPr>
      <w:r w:rsidRPr="00A31903">
        <w:rPr>
          <w:rFonts w:ascii="Times New Roman" w:hAnsi="Times New Roman" w:cs="Times New Roman"/>
        </w:rPr>
        <w:t xml:space="preserve">This paper </w:t>
      </w:r>
      <w:r w:rsidR="00EF3075" w:rsidRPr="00A31903">
        <w:rPr>
          <w:rFonts w:ascii="Times New Roman" w:hAnsi="Times New Roman" w:cs="Times New Roman"/>
        </w:rPr>
        <w:t>estimates</w:t>
      </w:r>
      <w:r w:rsidRPr="00A31903">
        <w:rPr>
          <w:rFonts w:ascii="Times New Roman" w:hAnsi="Times New Roman" w:cs="Times New Roman"/>
        </w:rPr>
        <w:t xml:space="preserve"> taxable capaci</w:t>
      </w:r>
      <w:r w:rsidR="00EF3075" w:rsidRPr="00A31903">
        <w:rPr>
          <w:rFonts w:ascii="Times New Roman" w:hAnsi="Times New Roman" w:cs="Times New Roman"/>
        </w:rPr>
        <w:t xml:space="preserve">ty, tax effort and tax burden </w:t>
      </w:r>
      <w:r w:rsidR="00830028" w:rsidRPr="00A31903">
        <w:rPr>
          <w:rFonts w:ascii="Times New Roman" w:hAnsi="Times New Roman" w:cs="Times New Roman"/>
        </w:rPr>
        <w:t xml:space="preserve">with a </w:t>
      </w:r>
      <w:r w:rsidR="00EF3075" w:rsidRPr="00A31903">
        <w:rPr>
          <w:rFonts w:ascii="Times New Roman" w:hAnsi="Times New Roman" w:cs="Times New Roman"/>
        </w:rPr>
        <w:t xml:space="preserve">view to </w:t>
      </w:r>
      <w:r w:rsidR="00EB5FC5" w:rsidRPr="00A31903">
        <w:rPr>
          <w:rFonts w:ascii="Times New Roman" w:hAnsi="Times New Roman" w:cs="Times New Roman"/>
        </w:rPr>
        <w:t>examining</w:t>
      </w:r>
      <w:r w:rsidR="00EF3075" w:rsidRPr="00A31903">
        <w:rPr>
          <w:rFonts w:ascii="Times New Roman" w:hAnsi="Times New Roman" w:cs="Times New Roman"/>
        </w:rPr>
        <w:t xml:space="preserve"> the tax fairness</w:t>
      </w:r>
      <w:r w:rsidR="004B32AD" w:rsidRPr="00A31903">
        <w:rPr>
          <w:rFonts w:ascii="Times New Roman" w:hAnsi="Times New Roman" w:cs="Times New Roman"/>
        </w:rPr>
        <w:t xml:space="preserve"> perceptions</w:t>
      </w:r>
      <w:r w:rsidR="00EF3075" w:rsidRPr="00A31903">
        <w:rPr>
          <w:rFonts w:ascii="Times New Roman" w:hAnsi="Times New Roman" w:cs="Times New Roman"/>
        </w:rPr>
        <w:t xml:space="preserve"> </w:t>
      </w:r>
      <w:r w:rsidR="00830028" w:rsidRPr="00A31903">
        <w:rPr>
          <w:rFonts w:ascii="Times New Roman" w:hAnsi="Times New Roman" w:cs="Times New Roman"/>
        </w:rPr>
        <w:t xml:space="preserve">and </w:t>
      </w:r>
      <w:r w:rsidR="00A91EDB" w:rsidRPr="00A31903">
        <w:rPr>
          <w:rFonts w:ascii="Times New Roman" w:hAnsi="Times New Roman" w:cs="Times New Roman"/>
        </w:rPr>
        <w:t xml:space="preserve">tax system </w:t>
      </w:r>
      <w:r w:rsidR="00830028" w:rsidRPr="00A31903">
        <w:rPr>
          <w:rFonts w:ascii="Times New Roman" w:hAnsi="Times New Roman" w:cs="Times New Roman"/>
        </w:rPr>
        <w:t>efficiency</w:t>
      </w:r>
      <w:r w:rsidR="00A91EDB" w:rsidRPr="00A31903">
        <w:rPr>
          <w:rFonts w:ascii="Times New Roman" w:hAnsi="Times New Roman" w:cs="Times New Roman"/>
        </w:rPr>
        <w:t>.</w:t>
      </w:r>
      <w:r w:rsidR="00E8452D" w:rsidRPr="00A31903">
        <w:rPr>
          <w:rFonts w:ascii="Times New Roman" w:hAnsi="Times New Roman" w:cs="Times New Roman"/>
        </w:rPr>
        <w:t xml:space="preserve"> </w:t>
      </w:r>
      <w:r w:rsidR="005B1EE4" w:rsidRPr="00A31903">
        <w:rPr>
          <w:rFonts w:ascii="Times New Roman" w:hAnsi="Times New Roman" w:cs="Times New Roman"/>
        </w:rPr>
        <w:t>The</w:t>
      </w:r>
      <w:r w:rsidR="00A91EDB" w:rsidRPr="00A31903">
        <w:rPr>
          <w:rFonts w:ascii="Times New Roman" w:hAnsi="Times New Roman" w:cs="Times New Roman"/>
          <w:color w:val="000000"/>
        </w:rPr>
        <w:t xml:space="preserve"> study employed</w:t>
      </w:r>
      <w:r w:rsidR="00E8452D" w:rsidRPr="00A31903">
        <w:rPr>
          <w:rFonts w:ascii="Times New Roman" w:hAnsi="Times New Roman" w:cs="Times New Roman"/>
          <w:color w:val="000000"/>
        </w:rPr>
        <w:t xml:space="preserve"> </w:t>
      </w:r>
      <w:r w:rsidR="00850EFB" w:rsidRPr="00A31903">
        <w:rPr>
          <w:rFonts w:ascii="Times New Roman" w:hAnsi="Times New Roman" w:cs="Times New Roman"/>
          <w:color w:val="000000"/>
        </w:rPr>
        <w:t>ordinary least squares (</w:t>
      </w:r>
      <w:r w:rsidR="00E8452D" w:rsidRPr="00A31903">
        <w:rPr>
          <w:rFonts w:ascii="Times New Roman" w:hAnsi="Times New Roman" w:cs="Times New Roman"/>
        </w:rPr>
        <w:t>OLS</w:t>
      </w:r>
      <w:r w:rsidR="00850EFB" w:rsidRPr="00A31903">
        <w:rPr>
          <w:rFonts w:ascii="Times New Roman" w:hAnsi="Times New Roman" w:cs="Times New Roman"/>
        </w:rPr>
        <w:t>)</w:t>
      </w:r>
      <w:r w:rsidR="00E8452D" w:rsidRPr="00A31903">
        <w:rPr>
          <w:rFonts w:ascii="Times New Roman" w:hAnsi="Times New Roman" w:cs="Times New Roman"/>
        </w:rPr>
        <w:t xml:space="preserve"> regression </w:t>
      </w:r>
      <w:r w:rsidR="00670436" w:rsidRPr="00A31903">
        <w:rPr>
          <w:rFonts w:ascii="Times New Roman" w:hAnsi="Times New Roman" w:cs="Times New Roman"/>
        </w:rPr>
        <w:t xml:space="preserve">and </w:t>
      </w:r>
      <w:r w:rsidR="00850EFB" w:rsidRPr="00A31903">
        <w:rPr>
          <w:rFonts w:ascii="Times New Roman" w:hAnsi="Times New Roman" w:cs="Times New Roman"/>
        </w:rPr>
        <w:t>vector autoregressive (</w:t>
      </w:r>
      <w:r w:rsidR="00670436" w:rsidRPr="00A31903">
        <w:rPr>
          <w:rFonts w:ascii="Times New Roman" w:hAnsi="Times New Roman" w:cs="Times New Roman"/>
        </w:rPr>
        <w:t>VAR</w:t>
      </w:r>
      <w:r w:rsidR="00850EFB" w:rsidRPr="00A31903">
        <w:rPr>
          <w:rFonts w:ascii="Times New Roman" w:hAnsi="Times New Roman" w:cs="Times New Roman"/>
        </w:rPr>
        <w:t>)</w:t>
      </w:r>
      <w:r w:rsidR="00670436" w:rsidRPr="00A31903">
        <w:rPr>
          <w:rFonts w:ascii="Times New Roman" w:hAnsi="Times New Roman" w:cs="Times New Roman"/>
        </w:rPr>
        <w:t xml:space="preserve"> </w:t>
      </w:r>
      <w:r w:rsidR="00E8452D" w:rsidRPr="00A31903">
        <w:rPr>
          <w:rFonts w:ascii="Times New Roman" w:hAnsi="Times New Roman" w:cs="Times New Roman"/>
        </w:rPr>
        <w:t xml:space="preserve">model for historical time series data </w:t>
      </w:r>
      <w:r w:rsidR="002B2D76" w:rsidRPr="00A31903">
        <w:rPr>
          <w:rFonts w:ascii="Times New Roman" w:hAnsi="Times New Roman" w:cs="Times New Roman"/>
        </w:rPr>
        <w:t xml:space="preserve">sourced </w:t>
      </w:r>
      <w:r w:rsidR="00E8452D" w:rsidRPr="00A31903">
        <w:rPr>
          <w:rFonts w:ascii="Times New Roman" w:hAnsi="Times New Roman" w:cs="Times New Roman"/>
        </w:rPr>
        <w:t xml:space="preserve">from the </w:t>
      </w:r>
      <w:r w:rsidR="00850EFB" w:rsidRPr="00A31903">
        <w:rPr>
          <w:rFonts w:ascii="Times New Roman" w:hAnsi="Times New Roman" w:cs="Times New Roman"/>
        </w:rPr>
        <w:t>World Development Indicators (W</w:t>
      </w:r>
      <w:r w:rsidR="00E8452D" w:rsidRPr="00A31903">
        <w:rPr>
          <w:rFonts w:ascii="Times New Roman" w:hAnsi="Times New Roman" w:cs="Times New Roman"/>
        </w:rPr>
        <w:t>DI</w:t>
      </w:r>
      <w:r w:rsidR="00850EFB" w:rsidRPr="00A31903">
        <w:rPr>
          <w:rFonts w:ascii="Times New Roman" w:hAnsi="Times New Roman" w:cs="Times New Roman"/>
        </w:rPr>
        <w:t>)</w:t>
      </w:r>
      <w:r w:rsidR="00E8452D" w:rsidRPr="00A31903">
        <w:rPr>
          <w:rFonts w:ascii="Times New Roman" w:hAnsi="Times New Roman" w:cs="Times New Roman"/>
        </w:rPr>
        <w:t xml:space="preserve"> and </w:t>
      </w:r>
      <w:r w:rsidR="00850EFB" w:rsidRPr="00A31903">
        <w:rPr>
          <w:rFonts w:ascii="Times New Roman" w:hAnsi="Times New Roman" w:cs="Times New Roman"/>
        </w:rPr>
        <w:t>Bank of Ghana (</w:t>
      </w:r>
      <w:r w:rsidR="0005432E" w:rsidRPr="00A31903">
        <w:rPr>
          <w:rFonts w:ascii="Times New Roman" w:hAnsi="Times New Roman" w:cs="Times New Roman"/>
        </w:rPr>
        <w:t>Bo</w:t>
      </w:r>
      <w:r w:rsidR="00E8452D" w:rsidRPr="00A31903">
        <w:rPr>
          <w:rFonts w:ascii="Times New Roman" w:hAnsi="Times New Roman" w:cs="Times New Roman"/>
        </w:rPr>
        <w:t>G</w:t>
      </w:r>
      <w:r w:rsidR="00850EFB" w:rsidRPr="00A31903">
        <w:rPr>
          <w:rFonts w:ascii="Times New Roman" w:hAnsi="Times New Roman" w:cs="Times New Roman"/>
        </w:rPr>
        <w:t>)</w:t>
      </w:r>
      <w:r w:rsidR="005D5BD6" w:rsidRPr="00A31903">
        <w:rPr>
          <w:rFonts w:ascii="Times New Roman" w:hAnsi="Times New Roman" w:cs="Times New Roman"/>
        </w:rPr>
        <w:t>.</w:t>
      </w:r>
      <w:r w:rsidR="005B1EE4" w:rsidRPr="00A31903">
        <w:rPr>
          <w:rFonts w:ascii="Times New Roman" w:hAnsi="Times New Roman" w:cs="Times New Roman"/>
        </w:rPr>
        <w:t xml:space="preserve"> We</w:t>
      </w:r>
      <w:r w:rsidR="006F5584" w:rsidRPr="00A31903">
        <w:rPr>
          <w:rFonts w:ascii="Times New Roman" w:hAnsi="Times New Roman" w:cs="Times New Roman"/>
        </w:rPr>
        <w:t xml:space="preserve"> found that </w:t>
      </w:r>
      <w:r w:rsidR="00151690" w:rsidRPr="00A31903">
        <w:rPr>
          <w:rFonts w:ascii="Times New Roman" w:hAnsi="Times New Roman" w:cs="Times New Roman"/>
        </w:rPr>
        <w:t xml:space="preserve">Ghana’s </w:t>
      </w:r>
      <w:r w:rsidR="006F5584" w:rsidRPr="00A31903">
        <w:rPr>
          <w:rFonts w:ascii="Times New Roman" w:hAnsi="Times New Roman" w:cs="Times New Roman"/>
        </w:rPr>
        <w:t>overall tax burden</w:t>
      </w:r>
      <w:r w:rsidR="00151690" w:rsidRPr="00A31903">
        <w:rPr>
          <w:rFonts w:ascii="Times New Roman" w:hAnsi="Times New Roman" w:cs="Times New Roman"/>
        </w:rPr>
        <w:t xml:space="preserve"> </w:t>
      </w:r>
      <w:r w:rsidR="00D77A1A" w:rsidRPr="00A31903">
        <w:rPr>
          <w:rFonts w:ascii="Times New Roman" w:hAnsi="Times New Roman" w:cs="Times New Roman"/>
        </w:rPr>
        <w:t>and</w:t>
      </w:r>
      <w:r w:rsidR="006F5584" w:rsidRPr="00A31903">
        <w:rPr>
          <w:rFonts w:ascii="Times New Roman" w:hAnsi="Times New Roman" w:cs="Times New Roman"/>
        </w:rPr>
        <w:t xml:space="preserve"> </w:t>
      </w:r>
      <w:r w:rsidR="00574C5F" w:rsidRPr="00A31903">
        <w:rPr>
          <w:rFonts w:ascii="Times New Roman" w:hAnsi="Times New Roman" w:cs="Times New Roman"/>
        </w:rPr>
        <w:t>average p</w:t>
      </w:r>
      <w:r w:rsidR="0039620E" w:rsidRPr="00A31903">
        <w:rPr>
          <w:rFonts w:ascii="Times New Roman" w:hAnsi="Times New Roman" w:cs="Times New Roman"/>
        </w:rPr>
        <w:t>ost-</w:t>
      </w:r>
      <w:r w:rsidR="006F5584" w:rsidRPr="00A31903">
        <w:rPr>
          <w:rFonts w:ascii="Times New Roman" w:hAnsi="Times New Roman" w:cs="Times New Roman"/>
        </w:rPr>
        <w:t xml:space="preserve">tax </w:t>
      </w:r>
      <w:r w:rsidR="0039620E" w:rsidRPr="00A31903">
        <w:rPr>
          <w:rFonts w:ascii="Times New Roman" w:hAnsi="Times New Roman" w:cs="Times New Roman"/>
        </w:rPr>
        <w:t xml:space="preserve">reform </w:t>
      </w:r>
      <w:r w:rsidR="006F5584" w:rsidRPr="00A31903">
        <w:rPr>
          <w:rFonts w:ascii="Times New Roman" w:hAnsi="Times New Roman" w:cs="Times New Roman"/>
        </w:rPr>
        <w:t>effort</w:t>
      </w:r>
      <w:r w:rsidR="00D77A1A" w:rsidRPr="00A31903">
        <w:rPr>
          <w:rFonts w:ascii="Times New Roman" w:hAnsi="Times New Roman" w:cs="Times New Roman"/>
        </w:rPr>
        <w:t>s are low</w:t>
      </w:r>
      <w:r w:rsidR="00A91EDB" w:rsidRPr="00A31903">
        <w:rPr>
          <w:rFonts w:ascii="Times New Roman" w:hAnsi="Times New Roman" w:cs="Times New Roman"/>
        </w:rPr>
        <w:t xml:space="preserve"> suggesting tax </w:t>
      </w:r>
      <w:r w:rsidR="00522441" w:rsidRPr="00A31903">
        <w:rPr>
          <w:rFonts w:ascii="Times New Roman" w:hAnsi="Times New Roman" w:cs="Times New Roman"/>
        </w:rPr>
        <w:t>fairness</w:t>
      </w:r>
      <w:r w:rsidR="00A91EDB" w:rsidRPr="00A31903">
        <w:rPr>
          <w:rFonts w:ascii="Times New Roman" w:hAnsi="Times New Roman" w:cs="Times New Roman"/>
        </w:rPr>
        <w:t xml:space="preserve"> and tax system inefficiency respectively.</w:t>
      </w:r>
      <w:r w:rsidR="006C734A" w:rsidRPr="00A31903">
        <w:rPr>
          <w:rFonts w:ascii="Times New Roman" w:hAnsi="Times New Roman" w:cs="Times New Roman"/>
        </w:rPr>
        <w:t xml:space="preserve"> </w:t>
      </w:r>
      <w:r w:rsidR="00D77A1A" w:rsidRPr="00A31903">
        <w:rPr>
          <w:rFonts w:ascii="Times New Roman" w:hAnsi="Times New Roman" w:cs="Times New Roman"/>
        </w:rPr>
        <w:t xml:space="preserve">We </w:t>
      </w:r>
      <w:r w:rsidR="006F5584" w:rsidRPr="00A31903">
        <w:rPr>
          <w:rFonts w:ascii="Times New Roman" w:hAnsi="Times New Roman" w:cs="Times New Roman"/>
        </w:rPr>
        <w:t>conclude that post-tax reform dispensation has not generated the much-needed tax revenues because of low tax efforts</w:t>
      </w:r>
      <w:r w:rsidR="006C734A" w:rsidRPr="00A31903">
        <w:rPr>
          <w:rFonts w:ascii="Times New Roman" w:hAnsi="Times New Roman" w:cs="Times New Roman"/>
        </w:rPr>
        <w:t xml:space="preserve">. </w:t>
      </w:r>
      <w:r w:rsidR="00D872DA" w:rsidRPr="00A31903">
        <w:rPr>
          <w:rFonts w:ascii="Times New Roman" w:hAnsi="Times New Roman" w:cs="Times New Roman"/>
        </w:rPr>
        <w:t>Thus, tax revenue could be significantly maximized</w:t>
      </w:r>
      <w:r w:rsidR="00D77A1A" w:rsidRPr="00A31903">
        <w:rPr>
          <w:rFonts w:ascii="Times New Roman" w:hAnsi="Times New Roman" w:cs="Times New Roman"/>
        </w:rPr>
        <w:t xml:space="preserve"> to aid the achievement of the sustainable development goals (SDGs)</w:t>
      </w:r>
      <w:r w:rsidR="00A91EDB" w:rsidRPr="00A31903">
        <w:rPr>
          <w:rFonts w:ascii="Times New Roman" w:hAnsi="Times New Roman" w:cs="Times New Roman"/>
        </w:rPr>
        <w:t xml:space="preserve"> to move </w:t>
      </w:r>
      <w:r w:rsidR="00A91EDB" w:rsidRPr="00A31903">
        <w:rPr>
          <w:rFonts w:ascii="Times New Roman" w:hAnsi="Times New Roman" w:cs="Times New Roman"/>
          <w:i/>
        </w:rPr>
        <w:t xml:space="preserve">Ghana </w:t>
      </w:r>
      <w:proofErr w:type="gramStart"/>
      <w:r w:rsidR="00A91EDB" w:rsidRPr="00A31903">
        <w:rPr>
          <w:rFonts w:ascii="Times New Roman" w:hAnsi="Times New Roman" w:cs="Times New Roman"/>
          <w:i/>
        </w:rPr>
        <w:t>Beyond</w:t>
      </w:r>
      <w:proofErr w:type="gramEnd"/>
      <w:r w:rsidR="00A91EDB" w:rsidRPr="00A31903">
        <w:rPr>
          <w:rFonts w:ascii="Times New Roman" w:hAnsi="Times New Roman" w:cs="Times New Roman"/>
          <w:i/>
        </w:rPr>
        <w:t xml:space="preserve"> Aid</w:t>
      </w:r>
      <w:r w:rsidR="00D872DA" w:rsidRPr="00A31903">
        <w:rPr>
          <w:rFonts w:ascii="Times New Roman" w:hAnsi="Times New Roman" w:cs="Times New Roman"/>
        </w:rPr>
        <w:t>.</w:t>
      </w:r>
      <w:r w:rsidR="005B1EE4" w:rsidRPr="00A31903">
        <w:rPr>
          <w:rFonts w:ascii="Times New Roman" w:hAnsi="Times New Roman" w:cs="Times New Roman"/>
        </w:rPr>
        <w:t xml:space="preserve"> </w:t>
      </w:r>
      <w:r w:rsidR="004B32AD" w:rsidRPr="00A31903">
        <w:rPr>
          <w:rFonts w:ascii="Times New Roman" w:hAnsi="Times New Roman" w:cs="Times New Roman"/>
          <w:lang w:val="en-GB"/>
        </w:rPr>
        <w:t>This</w:t>
      </w:r>
      <w:r w:rsidR="00CE0D1F" w:rsidRPr="00A31903">
        <w:rPr>
          <w:rFonts w:ascii="Times New Roman" w:hAnsi="Times New Roman" w:cs="Times New Roman"/>
          <w:lang w:val="en-GB"/>
        </w:rPr>
        <w:t xml:space="preserve"> paper </w:t>
      </w:r>
      <w:r w:rsidR="00EB5FC5" w:rsidRPr="00A31903">
        <w:rPr>
          <w:rFonts w:ascii="Times New Roman" w:hAnsi="Times New Roman" w:cs="Times New Roman"/>
          <w:lang w:val="en-GB"/>
        </w:rPr>
        <w:t xml:space="preserve">extends literature by </w:t>
      </w:r>
      <w:r w:rsidR="00BE3B43" w:rsidRPr="00A31903">
        <w:rPr>
          <w:rFonts w:ascii="Times New Roman" w:hAnsi="Times New Roman" w:cs="Times New Roman"/>
          <w:lang w:val="en-GB"/>
        </w:rPr>
        <w:t xml:space="preserve">relying on estimates of </w:t>
      </w:r>
      <w:r w:rsidR="00CE0D1F" w:rsidRPr="00A31903">
        <w:rPr>
          <w:rFonts w:ascii="Times New Roman" w:hAnsi="Times New Roman" w:cs="Times New Roman"/>
        </w:rPr>
        <w:t xml:space="preserve">taxable capacity, tax effort and tax burden </w:t>
      </w:r>
      <w:r w:rsidR="004B32AD" w:rsidRPr="00A31903">
        <w:rPr>
          <w:rFonts w:ascii="Times New Roman" w:hAnsi="Times New Roman" w:cs="Times New Roman"/>
        </w:rPr>
        <w:t>to</w:t>
      </w:r>
      <w:r w:rsidR="00CE0D1F" w:rsidRPr="00A31903">
        <w:rPr>
          <w:rFonts w:ascii="Times New Roman" w:hAnsi="Times New Roman" w:cs="Times New Roman"/>
        </w:rPr>
        <w:t xml:space="preserve"> </w:t>
      </w:r>
      <w:r w:rsidR="004B32AD" w:rsidRPr="00A31903">
        <w:rPr>
          <w:rFonts w:ascii="Times New Roman" w:hAnsi="Times New Roman" w:cs="Times New Roman"/>
        </w:rPr>
        <w:t>assess</w:t>
      </w:r>
      <w:r w:rsidR="00CE0D1F" w:rsidRPr="00A31903">
        <w:rPr>
          <w:rFonts w:ascii="Times New Roman" w:hAnsi="Times New Roman" w:cs="Times New Roman"/>
        </w:rPr>
        <w:t xml:space="preserve"> the tax fairness </w:t>
      </w:r>
      <w:r w:rsidR="00431598" w:rsidRPr="00A31903">
        <w:rPr>
          <w:rFonts w:ascii="Times New Roman" w:hAnsi="Times New Roman" w:cs="Times New Roman"/>
        </w:rPr>
        <w:t xml:space="preserve">perceptions </w:t>
      </w:r>
      <w:r w:rsidR="00A91EDB" w:rsidRPr="00A31903">
        <w:rPr>
          <w:rFonts w:ascii="Times New Roman" w:hAnsi="Times New Roman" w:cs="Times New Roman"/>
        </w:rPr>
        <w:t xml:space="preserve">and tax administrative efficiency </w:t>
      </w:r>
      <w:r w:rsidR="00CE0D1F" w:rsidRPr="00A31903">
        <w:rPr>
          <w:rFonts w:ascii="Times New Roman" w:hAnsi="Times New Roman" w:cs="Times New Roman"/>
        </w:rPr>
        <w:t>of an emerging economy.</w:t>
      </w:r>
      <w:r w:rsidR="006F5584" w:rsidRPr="00A31903">
        <w:rPr>
          <w:rFonts w:ascii="Times New Roman" w:hAnsi="Times New Roman" w:cs="Times New Roman"/>
        </w:rPr>
        <w:t xml:space="preserve"> </w:t>
      </w:r>
      <w:r w:rsidR="00522441" w:rsidRPr="00A31903">
        <w:rPr>
          <w:rFonts w:ascii="Times New Roman" w:hAnsi="Times New Roman" w:cs="Times New Roman"/>
        </w:rPr>
        <w:t xml:space="preserve">We </w:t>
      </w:r>
      <w:r w:rsidR="0027352E" w:rsidRPr="00A31903">
        <w:rPr>
          <w:rFonts w:ascii="Times New Roman" w:hAnsi="Times New Roman" w:cs="Times New Roman"/>
        </w:rPr>
        <w:t>posit</w:t>
      </w:r>
      <w:r w:rsidR="00271645" w:rsidRPr="00A31903">
        <w:rPr>
          <w:rFonts w:ascii="Times New Roman" w:hAnsi="Times New Roman" w:cs="Times New Roman"/>
        </w:rPr>
        <w:t xml:space="preserve"> that these triad terminologies </w:t>
      </w:r>
      <w:r w:rsidR="00D94332" w:rsidRPr="00A31903">
        <w:rPr>
          <w:rFonts w:ascii="Times New Roman" w:hAnsi="Times New Roman" w:cs="Times New Roman"/>
        </w:rPr>
        <w:t>move</w:t>
      </w:r>
      <w:r w:rsidR="00271645" w:rsidRPr="00A31903">
        <w:rPr>
          <w:rFonts w:ascii="Times New Roman" w:hAnsi="Times New Roman" w:cs="Times New Roman"/>
        </w:rPr>
        <w:t xml:space="preserve"> </w:t>
      </w:r>
      <w:proofErr w:type="spellStart"/>
      <w:r w:rsidR="00271645" w:rsidRPr="00A31903">
        <w:rPr>
          <w:rFonts w:ascii="Times New Roman" w:hAnsi="Times New Roman" w:cs="Times New Roman"/>
          <w:i/>
        </w:rPr>
        <w:t>pari</w:t>
      </w:r>
      <w:proofErr w:type="spellEnd"/>
      <w:r w:rsidR="00271645" w:rsidRPr="00A31903">
        <w:rPr>
          <w:rFonts w:ascii="Times New Roman" w:hAnsi="Times New Roman" w:cs="Times New Roman"/>
          <w:i/>
        </w:rPr>
        <w:t xml:space="preserve"> </w:t>
      </w:r>
      <w:proofErr w:type="spellStart"/>
      <w:r w:rsidR="00271645" w:rsidRPr="00A31903">
        <w:rPr>
          <w:rFonts w:ascii="Times New Roman" w:hAnsi="Times New Roman" w:cs="Times New Roman"/>
          <w:i/>
        </w:rPr>
        <w:t>passu</w:t>
      </w:r>
      <w:proofErr w:type="spellEnd"/>
      <w:r w:rsidR="00271645" w:rsidRPr="00A31903">
        <w:rPr>
          <w:rFonts w:ascii="Times New Roman" w:hAnsi="Times New Roman" w:cs="Times New Roman"/>
        </w:rPr>
        <w:t xml:space="preserve"> in assessing the </w:t>
      </w:r>
      <w:r w:rsidR="004B32AD" w:rsidRPr="00A31903">
        <w:rPr>
          <w:rFonts w:ascii="Times New Roman" w:hAnsi="Times New Roman" w:cs="Times New Roman"/>
        </w:rPr>
        <w:t>efficiency</w:t>
      </w:r>
      <w:r w:rsidR="00271645" w:rsidRPr="00A31903">
        <w:rPr>
          <w:rFonts w:ascii="Times New Roman" w:hAnsi="Times New Roman" w:cs="Times New Roman"/>
        </w:rPr>
        <w:t xml:space="preserve"> and fairness of a country’s tax system.</w:t>
      </w:r>
      <w:r w:rsidR="00B12919" w:rsidRPr="00A31903">
        <w:rPr>
          <w:rFonts w:ascii="Times New Roman" w:hAnsi="Times New Roman" w:cs="Times New Roman"/>
        </w:rPr>
        <w:t xml:space="preserve"> </w:t>
      </w:r>
      <w:r w:rsidR="00CE0D1F" w:rsidRPr="00A31903">
        <w:rPr>
          <w:rFonts w:ascii="Times New Roman" w:hAnsi="Times New Roman" w:cs="Times New Roman"/>
        </w:rPr>
        <w:t>We recommend that</w:t>
      </w:r>
      <w:r w:rsidR="006F5584" w:rsidRPr="00A31903">
        <w:rPr>
          <w:rFonts w:ascii="Times New Roman" w:hAnsi="Times New Roman" w:cs="Times New Roman"/>
          <w:lang w:val="en-GB"/>
        </w:rPr>
        <w:t xml:space="preserve"> embarking on </w:t>
      </w:r>
      <w:r w:rsidR="00602493" w:rsidRPr="00A31903">
        <w:rPr>
          <w:rFonts w:ascii="Times New Roman" w:hAnsi="Times New Roman" w:cs="Times New Roman"/>
          <w:lang w:val="en-GB"/>
        </w:rPr>
        <w:t xml:space="preserve">jurisdictional </w:t>
      </w:r>
      <w:r w:rsidR="004B32AD" w:rsidRPr="00A31903">
        <w:rPr>
          <w:rFonts w:ascii="Times New Roman" w:hAnsi="Times New Roman" w:cs="Times New Roman"/>
          <w:lang w:val="en-GB"/>
        </w:rPr>
        <w:t>tax reforms should not</w:t>
      </w:r>
      <w:r w:rsidR="006F5584" w:rsidRPr="00A31903">
        <w:rPr>
          <w:rFonts w:ascii="Times New Roman" w:hAnsi="Times New Roman" w:cs="Times New Roman"/>
          <w:lang w:val="en-GB"/>
        </w:rPr>
        <w:t xml:space="preserve"> </w:t>
      </w:r>
      <w:r w:rsidR="004A6890" w:rsidRPr="00A31903">
        <w:rPr>
          <w:rFonts w:ascii="Times New Roman" w:hAnsi="Times New Roman" w:cs="Times New Roman"/>
          <w:lang w:val="en-GB"/>
        </w:rPr>
        <w:t>only</w:t>
      </w:r>
      <w:r w:rsidR="004B32AD" w:rsidRPr="00A31903">
        <w:rPr>
          <w:rFonts w:ascii="Times New Roman" w:hAnsi="Times New Roman" w:cs="Times New Roman"/>
          <w:lang w:val="en-GB"/>
        </w:rPr>
        <w:t xml:space="preserve"> be</w:t>
      </w:r>
      <w:r w:rsidR="004A6890" w:rsidRPr="00A31903">
        <w:rPr>
          <w:rFonts w:ascii="Times New Roman" w:hAnsi="Times New Roman" w:cs="Times New Roman"/>
          <w:lang w:val="en-GB"/>
        </w:rPr>
        <w:t xml:space="preserve"> </w:t>
      </w:r>
      <w:r w:rsidR="006F5584" w:rsidRPr="00A31903">
        <w:rPr>
          <w:rFonts w:ascii="Times New Roman" w:hAnsi="Times New Roman" w:cs="Times New Roman"/>
          <w:lang w:val="en-GB"/>
        </w:rPr>
        <w:t xml:space="preserve">about appropriate </w:t>
      </w:r>
      <w:r w:rsidR="001F7194" w:rsidRPr="00A31903">
        <w:rPr>
          <w:rFonts w:ascii="Times New Roman" w:hAnsi="Times New Roman" w:cs="Times New Roman"/>
          <w:lang w:val="en-GB"/>
        </w:rPr>
        <w:t xml:space="preserve">and a plethora of </w:t>
      </w:r>
      <w:r w:rsidR="006F5584" w:rsidRPr="00A31903">
        <w:rPr>
          <w:rFonts w:ascii="Times New Roman" w:hAnsi="Times New Roman" w:cs="Times New Roman"/>
          <w:lang w:val="en-GB"/>
        </w:rPr>
        <w:t>tax laws</w:t>
      </w:r>
      <w:r w:rsidR="004A6890" w:rsidRPr="00A31903">
        <w:rPr>
          <w:rFonts w:ascii="Times New Roman" w:hAnsi="Times New Roman" w:cs="Times New Roman"/>
          <w:lang w:val="en-GB"/>
        </w:rPr>
        <w:t xml:space="preserve"> and</w:t>
      </w:r>
      <w:r w:rsidR="00A07FE7" w:rsidRPr="00A31903">
        <w:rPr>
          <w:rFonts w:ascii="Times New Roman" w:hAnsi="Times New Roman" w:cs="Times New Roman"/>
          <w:lang w:val="en-GB"/>
        </w:rPr>
        <w:t xml:space="preserve"> multiplicity </w:t>
      </w:r>
      <w:proofErr w:type="gramStart"/>
      <w:r w:rsidR="00A07FE7" w:rsidRPr="00A31903">
        <w:rPr>
          <w:rFonts w:ascii="Times New Roman" w:hAnsi="Times New Roman" w:cs="Times New Roman"/>
          <w:lang w:val="en-GB"/>
        </w:rPr>
        <w:t>of</w:t>
      </w:r>
      <w:r w:rsidR="004A6890" w:rsidRPr="00A31903">
        <w:rPr>
          <w:rFonts w:ascii="Times New Roman" w:hAnsi="Times New Roman" w:cs="Times New Roman"/>
          <w:lang w:val="en-GB"/>
        </w:rPr>
        <w:t xml:space="preserve"> taxes </w:t>
      </w:r>
      <w:r w:rsidR="006F5584" w:rsidRPr="00A31903">
        <w:rPr>
          <w:rFonts w:ascii="Times New Roman" w:hAnsi="Times New Roman" w:cs="Times New Roman"/>
          <w:lang w:val="en-GB"/>
        </w:rPr>
        <w:t xml:space="preserve">but </w:t>
      </w:r>
      <w:r w:rsidR="004A6890" w:rsidRPr="00A31903">
        <w:rPr>
          <w:rFonts w:ascii="Times New Roman" w:hAnsi="Times New Roman" w:cs="Times New Roman"/>
          <w:lang w:val="en-GB"/>
        </w:rPr>
        <w:t xml:space="preserve">also </w:t>
      </w:r>
      <w:r w:rsidR="00D77A1A" w:rsidRPr="00A31903">
        <w:rPr>
          <w:rFonts w:ascii="Times New Roman" w:hAnsi="Times New Roman" w:cs="Times New Roman"/>
          <w:lang w:val="en-GB"/>
        </w:rPr>
        <w:t xml:space="preserve">on </w:t>
      </w:r>
      <w:r w:rsidR="006F5584" w:rsidRPr="00A31903">
        <w:rPr>
          <w:rFonts w:ascii="Times New Roman" w:hAnsi="Times New Roman" w:cs="Times New Roman"/>
          <w:lang w:val="en-GB"/>
        </w:rPr>
        <w:t>the efficiency</w:t>
      </w:r>
      <w:proofErr w:type="gramEnd"/>
      <w:r w:rsidR="006F5584" w:rsidRPr="00A31903">
        <w:rPr>
          <w:rFonts w:ascii="Times New Roman" w:hAnsi="Times New Roman" w:cs="Times New Roman"/>
          <w:lang w:val="en-GB"/>
        </w:rPr>
        <w:t xml:space="preserve"> and integrity of tax administration. </w:t>
      </w:r>
      <w:r w:rsidR="004B32AD" w:rsidRPr="00A31903">
        <w:rPr>
          <w:rFonts w:ascii="Times New Roman" w:hAnsi="Times New Roman" w:cs="Times New Roman"/>
          <w:lang w:val="en-GB"/>
        </w:rPr>
        <w:t>The judicious use and prompt accountability of tax revenues could help address tax unfairness perceptions</w:t>
      </w:r>
      <w:r w:rsidR="00A07FE7" w:rsidRPr="00A31903">
        <w:rPr>
          <w:rFonts w:ascii="Times New Roman" w:hAnsi="Times New Roman" w:cs="Times New Roman"/>
          <w:lang w:val="en-GB"/>
        </w:rPr>
        <w:t xml:space="preserve"> in emerging economies</w:t>
      </w:r>
      <w:r w:rsidR="004B32AD" w:rsidRPr="00A31903">
        <w:rPr>
          <w:rFonts w:ascii="Times New Roman" w:hAnsi="Times New Roman" w:cs="Times New Roman"/>
          <w:lang w:val="en-GB"/>
        </w:rPr>
        <w:t>.</w:t>
      </w:r>
    </w:p>
    <w:p w:rsidR="006F5584" w:rsidRPr="00A31903" w:rsidRDefault="006F5584" w:rsidP="005E3906">
      <w:pPr>
        <w:spacing w:after="0" w:line="240" w:lineRule="auto"/>
        <w:jc w:val="both"/>
        <w:rPr>
          <w:rFonts w:ascii="Times New Roman" w:hAnsi="Times New Roman" w:cs="Times New Roman"/>
          <w:b/>
        </w:rPr>
      </w:pPr>
    </w:p>
    <w:p w:rsidR="00416919" w:rsidRPr="00A31903" w:rsidRDefault="00416919" w:rsidP="005E3906">
      <w:pPr>
        <w:spacing w:after="0" w:line="240" w:lineRule="auto"/>
        <w:jc w:val="both"/>
        <w:rPr>
          <w:rFonts w:ascii="Times New Roman" w:hAnsi="Times New Roman" w:cs="Times New Roman"/>
        </w:rPr>
      </w:pPr>
      <w:r w:rsidRPr="00A31903">
        <w:rPr>
          <w:rFonts w:ascii="Times New Roman" w:hAnsi="Times New Roman" w:cs="Times New Roman"/>
          <w:b/>
        </w:rPr>
        <w:t xml:space="preserve">Key words: </w:t>
      </w:r>
      <w:r w:rsidR="001B4FA2" w:rsidRPr="00A31903">
        <w:rPr>
          <w:rFonts w:ascii="Times New Roman" w:hAnsi="Times New Roman" w:cs="Times New Roman"/>
        </w:rPr>
        <w:t>T</w:t>
      </w:r>
      <w:r w:rsidRPr="00A31903">
        <w:rPr>
          <w:rFonts w:ascii="Times New Roman" w:hAnsi="Times New Roman" w:cs="Times New Roman"/>
        </w:rPr>
        <w:t>axable capacity, tax effort, tax burden, fairness, Ghana, tax revenue</w:t>
      </w:r>
    </w:p>
    <w:p w:rsidR="00B33495" w:rsidRPr="00A31903" w:rsidRDefault="00B33495" w:rsidP="005E3906">
      <w:pPr>
        <w:spacing w:after="0" w:line="240" w:lineRule="auto"/>
        <w:jc w:val="both"/>
        <w:rPr>
          <w:rFonts w:ascii="Times New Roman" w:hAnsi="Times New Roman" w:cs="Times New Roman"/>
        </w:rPr>
      </w:pPr>
    </w:p>
    <w:p w:rsidR="00B33495" w:rsidRPr="00A31903" w:rsidRDefault="00B33495" w:rsidP="00B33495">
      <w:pPr>
        <w:spacing w:line="360" w:lineRule="auto"/>
        <w:jc w:val="both"/>
        <w:rPr>
          <w:rFonts w:ascii="Times New Roman" w:hAnsi="Times New Roman" w:cs="Times New Roman"/>
        </w:rPr>
      </w:pPr>
      <w:r w:rsidRPr="00A31903">
        <w:rPr>
          <w:rFonts w:ascii="Times New Roman" w:hAnsi="Times New Roman" w:cs="Times New Roman"/>
          <w:b/>
        </w:rPr>
        <w:t>JEL Classification: H2, Q2, Q3</w:t>
      </w:r>
    </w:p>
    <w:p w:rsidR="00650002" w:rsidRPr="00A31903" w:rsidRDefault="00650002" w:rsidP="005E3906">
      <w:pPr>
        <w:spacing w:after="0" w:line="240" w:lineRule="auto"/>
        <w:jc w:val="both"/>
        <w:rPr>
          <w:rFonts w:ascii="Times New Roman" w:hAnsi="Times New Roman" w:cs="Times New Roman"/>
          <w:b/>
        </w:rPr>
      </w:pPr>
    </w:p>
    <w:p w:rsidR="0081713D" w:rsidRPr="00A31903" w:rsidRDefault="00AF0D86" w:rsidP="005E3906">
      <w:pPr>
        <w:spacing w:after="0" w:line="240" w:lineRule="auto"/>
        <w:jc w:val="both"/>
        <w:rPr>
          <w:rFonts w:ascii="Times New Roman" w:hAnsi="Times New Roman" w:cs="Times New Roman"/>
          <w:b/>
        </w:rPr>
      </w:pPr>
      <w:r w:rsidRPr="00A31903">
        <w:rPr>
          <w:rFonts w:ascii="Times New Roman" w:hAnsi="Times New Roman" w:cs="Times New Roman"/>
          <w:b/>
        </w:rPr>
        <w:t xml:space="preserve">1. </w:t>
      </w:r>
      <w:r w:rsidR="001B4FA2" w:rsidRPr="00A31903">
        <w:rPr>
          <w:rFonts w:ascii="Times New Roman" w:hAnsi="Times New Roman" w:cs="Times New Roman"/>
          <w:b/>
        </w:rPr>
        <w:t>INTRODUCTION</w:t>
      </w:r>
    </w:p>
    <w:p w:rsidR="00AF4DAD" w:rsidRPr="00A31903" w:rsidRDefault="004B32AD" w:rsidP="006C734A">
      <w:pPr>
        <w:autoSpaceDE w:val="0"/>
        <w:autoSpaceDN w:val="0"/>
        <w:adjustRightInd w:val="0"/>
        <w:spacing w:after="0" w:line="240" w:lineRule="auto"/>
        <w:jc w:val="both"/>
        <w:rPr>
          <w:rFonts w:ascii="LMRoman12-Regular" w:hAnsi="LMRoman12-Regular" w:cs="LMRoman12-Regular"/>
        </w:rPr>
      </w:pPr>
      <w:r w:rsidRPr="00A31903">
        <w:rPr>
          <w:rFonts w:ascii="Times New Roman" w:hAnsi="Times New Roman" w:cs="Times New Roman"/>
        </w:rPr>
        <w:t xml:space="preserve">The </w:t>
      </w:r>
      <w:r w:rsidR="001C0262" w:rsidRPr="00A31903">
        <w:rPr>
          <w:rFonts w:ascii="Times New Roman" w:hAnsi="Times New Roman" w:cs="Times New Roman"/>
        </w:rPr>
        <w:t>significance</w:t>
      </w:r>
      <w:r w:rsidRPr="00A31903">
        <w:rPr>
          <w:rFonts w:ascii="Times New Roman" w:hAnsi="Times New Roman" w:cs="Times New Roman"/>
        </w:rPr>
        <w:t xml:space="preserve"> of public revenues to </w:t>
      </w:r>
      <w:r w:rsidR="001910CF" w:rsidRPr="00A31903">
        <w:rPr>
          <w:rFonts w:ascii="Times New Roman" w:hAnsi="Times New Roman" w:cs="Times New Roman"/>
        </w:rPr>
        <w:t xml:space="preserve">underdeveloped and </w:t>
      </w:r>
      <w:r w:rsidRPr="00A31903">
        <w:rPr>
          <w:rFonts w:ascii="Times New Roman" w:hAnsi="Times New Roman" w:cs="Times New Roman"/>
        </w:rPr>
        <w:t xml:space="preserve">emerging economies </w:t>
      </w:r>
      <w:proofErr w:type="gramStart"/>
      <w:r w:rsidRPr="00A31903">
        <w:rPr>
          <w:rFonts w:ascii="Times New Roman" w:hAnsi="Times New Roman" w:cs="Times New Roman"/>
        </w:rPr>
        <w:t>cannot be discounted</w:t>
      </w:r>
      <w:proofErr w:type="gramEnd"/>
      <w:r w:rsidRPr="00A31903">
        <w:rPr>
          <w:rFonts w:ascii="Times New Roman" w:hAnsi="Times New Roman" w:cs="Times New Roman"/>
        </w:rPr>
        <w:t xml:space="preserve"> if their dreams of achieving accelerated economic progress would be realized</w:t>
      </w:r>
      <w:r w:rsidR="001C0262" w:rsidRPr="00A31903">
        <w:rPr>
          <w:rFonts w:ascii="Times New Roman" w:hAnsi="Times New Roman" w:cs="Times New Roman"/>
          <w:color w:val="FF0000"/>
        </w:rPr>
        <w:t xml:space="preserve"> </w:t>
      </w:r>
      <w:r w:rsidR="00AD6294" w:rsidRPr="00A31903">
        <w:rPr>
          <w:rFonts w:ascii="Times New Roman" w:hAnsi="Times New Roman" w:cs="SabonLTStd-Roman"/>
          <w:lang w:val="en-GB"/>
        </w:rPr>
        <w:t>(</w:t>
      </w:r>
      <w:proofErr w:type="spellStart"/>
      <w:r w:rsidR="00AD6294" w:rsidRPr="00A31903">
        <w:rPr>
          <w:rFonts w:ascii="Times New Roman" w:hAnsi="Times New Roman" w:cs="SabonLTStd-Roman"/>
          <w:lang w:val="en-GB"/>
        </w:rPr>
        <w:t>Kaldor</w:t>
      </w:r>
      <w:proofErr w:type="spellEnd"/>
      <w:r w:rsidR="00AD6294" w:rsidRPr="00A31903">
        <w:rPr>
          <w:rFonts w:ascii="Times New Roman" w:hAnsi="Times New Roman" w:cs="SabonLTStd-Roman"/>
          <w:lang w:val="en-GB"/>
        </w:rPr>
        <w:t>, 1963)</w:t>
      </w:r>
      <w:r w:rsidR="00AD6294" w:rsidRPr="00A31903">
        <w:rPr>
          <w:rFonts w:ascii="Times New Roman" w:hAnsi="Times New Roman" w:cs="SabonLTStd-Italic"/>
          <w:i/>
          <w:iCs/>
          <w:lang w:val="en-GB"/>
        </w:rPr>
        <w:t>.</w:t>
      </w:r>
      <w:r w:rsidR="00397843" w:rsidRPr="00A31903">
        <w:rPr>
          <w:rFonts w:ascii="Times New Roman" w:hAnsi="Times New Roman" w:cs="Times New Roman"/>
          <w:color w:val="000000"/>
        </w:rPr>
        <w:t xml:space="preserve"> </w:t>
      </w:r>
      <w:r w:rsidR="002C5381" w:rsidRPr="00A31903">
        <w:rPr>
          <w:rFonts w:ascii="Times New Roman" w:hAnsi="Times New Roman" w:cs="Times New Roman"/>
          <w:color w:val="000000"/>
        </w:rPr>
        <w:t>Thus, dr</w:t>
      </w:r>
      <w:r w:rsidR="002C5381" w:rsidRPr="00A31903">
        <w:rPr>
          <w:rFonts w:ascii="Times New Roman" w:hAnsi="Times New Roman" w:cs="Times New Roman"/>
        </w:rPr>
        <w:t>iving tax revenues is pivotal to the achievement of sustainable development goals (SDGs) of emerging economies.</w:t>
      </w:r>
    </w:p>
    <w:p w:rsidR="00B46F48" w:rsidRPr="00A31903" w:rsidRDefault="006C734A" w:rsidP="00F070EE">
      <w:pPr>
        <w:autoSpaceDE w:val="0"/>
        <w:autoSpaceDN w:val="0"/>
        <w:adjustRightInd w:val="0"/>
        <w:spacing w:after="0" w:line="240" w:lineRule="auto"/>
        <w:jc w:val="both"/>
        <w:rPr>
          <w:rFonts w:ascii="LMRoman12-Regular" w:hAnsi="LMRoman12-Regular" w:cs="LMRoman12-Regular"/>
        </w:rPr>
      </w:pPr>
      <w:r w:rsidRPr="00A31903">
        <w:rPr>
          <w:rFonts w:ascii="Times New Roman" w:hAnsi="Times New Roman" w:cs="Times New Roman"/>
        </w:rPr>
        <w:t xml:space="preserve">     </w:t>
      </w:r>
      <w:r w:rsidR="003E3B01" w:rsidRPr="00A31903">
        <w:rPr>
          <w:rFonts w:ascii="Times New Roman" w:hAnsi="Times New Roman" w:cs="Times New Roman"/>
        </w:rPr>
        <w:t>In view of this, during the 1960s and early 1970s, considerable research</w:t>
      </w:r>
      <w:r w:rsidR="00EE30ED" w:rsidRPr="00A31903">
        <w:rPr>
          <w:rFonts w:ascii="Times New Roman" w:hAnsi="Times New Roman" w:cs="Times New Roman"/>
        </w:rPr>
        <w:t xml:space="preserve"> spotlight</w:t>
      </w:r>
      <w:r w:rsidR="003E3B01" w:rsidRPr="00A31903">
        <w:rPr>
          <w:rFonts w:ascii="Times New Roman" w:hAnsi="Times New Roman" w:cs="Times New Roman"/>
        </w:rPr>
        <w:t xml:space="preserve"> was directed at investigating these </w:t>
      </w:r>
      <w:r w:rsidR="003E3B01" w:rsidRPr="00A31903">
        <w:rPr>
          <w:rFonts w:ascii="Times New Roman" w:hAnsi="Times New Roman" w:cs="Times New Roman"/>
          <w:noProof/>
        </w:rPr>
        <w:t>tax related</w:t>
      </w:r>
      <w:r w:rsidR="003E3B01" w:rsidRPr="00A31903">
        <w:rPr>
          <w:rFonts w:ascii="Times New Roman" w:hAnsi="Times New Roman" w:cs="Times New Roman"/>
        </w:rPr>
        <w:t xml:space="preserve"> issues in developing </w:t>
      </w:r>
      <w:r w:rsidR="007C7FFA" w:rsidRPr="00A31903">
        <w:rPr>
          <w:rFonts w:ascii="Times New Roman" w:hAnsi="Times New Roman" w:cs="Times New Roman"/>
        </w:rPr>
        <w:t>countries</w:t>
      </w:r>
      <w:r w:rsidR="00EE30ED" w:rsidRPr="00A31903">
        <w:rPr>
          <w:rFonts w:ascii="Times New Roman" w:hAnsi="Times New Roman" w:cs="Times New Roman"/>
        </w:rPr>
        <w:t>, m</w:t>
      </w:r>
      <w:r w:rsidR="003E3B01" w:rsidRPr="00A31903">
        <w:rPr>
          <w:rFonts w:ascii="Times New Roman" w:hAnsi="Times New Roman" w:cs="Times New Roman"/>
        </w:rPr>
        <w:t xml:space="preserve">ost of </w:t>
      </w:r>
      <w:r w:rsidR="00EE30ED" w:rsidRPr="00A31903">
        <w:rPr>
          <w:rFonts w:ascii="Times New Roman" w:hAnsi="Times New Roman" w:cs="Times New Roman"/>
        </w:rPr>
        <w:t>which</w:t>
      </w:r>
      <w:r w:rsidR="003E3B01" w:rsidRPr="00A31903">
        <w:rPr>
          <w:rFonts w:ascii="Times New Roman" w:hAnsi="Times New Roman" w:cs="Times New Roman"/>
        </w:rPr>
        <w:t xml:space="preserve"> were spearheaded by economists such as </w:t>
      </w:r>
      <w:proofErr w:type="spellStart"/>
      <w:r w:rsidR="003E3B01" w:rsidRPr="00A31903">
        <w:rPr>
          <w:rFonts w:ascii="Times New Roman" w:hAnsi="Times New Roman" w:cs="Times New Roman"/>
        </w:rPr>
        <w:t>Lotz</w:t>
      </w:r>
      <w:proofErr w:type="spellEnd"/>
      <w:r w:rsidR="003E3B01" w:rsidRPr="00A31903">
        <w:rPr>
          <w:rFonts w:ascii="Times New Roman" w:hAnsi="Times New Roman" w:cs="Times New Roman"/>
        </w:rPr>
        <w:t xml:space="preserve"> </w:t>
      </w:r>
      <w:r w:rsidR="00C12F43" w:rsidRPr="00A31903">
        <w:rPr>
          <w:rFonts w:ascii="Times New Roman" w:hAnsi="Times New Roman" w:cs="Times New Roman"/>
        </w:rPr>
        <w:t>and</w:t>
      </w:r>
      <w:r w:rsidR="003E3B01" w:rsidRPr="00A31903">
        <w:rPr>
          <w:rFonts w:ascii="Times New Roman" w:hAnsi="Times New Roman" w:cs="Times New Roman"/>
        </w:rPr>
        <w:t xml:space="preserve"> </w:t>
      </w:r>
      <w:proofErr w:type="spellStart"/>
      <w:r w:rsidR="003E3B01" w:rsidRPr="00A31903">
        <w:rPr>
          <w:rFonts w:ascii="Times New Roman" w:hAnsi="Times New Roman" w:cs="Times New Roman"/>
        </w:rPr>
        <w:t>Morss</w:t>
      </w:r>
      <w:proofErr w:type="spellEnd"/>
      <w:r w:rsidR="003E3B01" w:rsidRPr="00A31903">
        <w:rPr>
          <w:rFonts w:ascii="Times New Roman" w:hAnsi="Times New Roman" w:cs="Times New Roman"/>
        </w:rPr>
        <w:t xml:space="preserve"> (1967), </w:t>
      </w:r>
      <w:proofErr w:type="spellStart"/>
      <w:r w:rsidR="003E3B01" w:rsidRPr="00A31903">
        <w:rPr>
          <w:rFonts w:ascii="Times New Roman" w:hAnsi="Times New Roman" w:cs="Times New Roman"/>
        </w:rPr>
        <w:t>Chelliah</w:t>
      </w:r>
      <w:proofErr w:type="spellEnd"/>
      <w:r w:rsidR="003E3B01" w:rsidRPr="00A31903">
        <w:rPr>
          <w:rFonts w:ascii="Times New Roman" w:hAnsi="Times New Roman" w:cs="Times New Roman"/>
        </w:rPr>
        <w:t xml:space="preserve"> (1971)</w:t>
      </w:r>
      <w:r w:rsidR="00C27C5F" w:rsidRPr="00A31903">
        <w:rPr>
          <w:rFonts w:ascii="Times New Roman" w:hAnsi="Times New Roman" w:cs="Times New Roman"/>
        </w:rPr>
        <w:t>,</w:t>
      </w:r>
      <w:r w:rsidR="003E3B01" w:rsidRPr="00A31903">
        <w:rPr>
          <w:rFonts w:ascii="Times New Roman" w:hAnsi="Times New Roman" w:cs="Times New Roman"/>
        </w:rPr>
        <w:t xml:space="preserve"> </w:t>
      </w:r>
      <w:proofErr w:type="spellStart"/>
      <w:r w:rsidR="003E3B01" w:rsidRPr="00A31903">
        <w:rPr>
          <w:rFonts w:ascii="Times New Roman" w:hAnsi="Times New Roman" w:cs="Times New Roman"/>
        </w:rPr>
        <w:t>Bahl</w:t>
      </w:r>
      <w:proofErr w:type="spellEnd"/>
      <w:r w:rsidR="003E3B01" w:rsidRPr="00A31903">
        <w:rPr>
          <w:rFonts w:ascii="Times New Roman" w:hAnsi="Times New Roman" w:cs="Times New Roman"/>
        </w:rPr>
        <w:t xml:space="preserve"> (1971), </w:t>
      </w:r>
      <w:proofErr w:type="spellStart"/>
      <w:r w:rsidR="00C12F43" w:rsidRPr="00A31903">
        <w:rPr>
          <w:rFonts w:ascii="Times New Roman" w:hAnsi="Times New Roman" w:cs="Times New Roman"/>
        </w:rPr>
        <w:t>Chelliah</w:t>
      </w:r>
      <w:proofErr w:type="spellEnd"/>
      <w:r w:rsidR="00C12F43" w:rsidRPr="00A31903">
        <w:rPr>
          <w:rFonts w:ascii="Times New Roman" w:hAnsi="Times New Roman" w:cs="Times New Roman"/>
        </w:rPr>
        <w:t>, Bass, and</w:t>
      </w:r>
      <w:r w:rsidR="00773B02" w:rsidRPr="00A31903">
        <w:rPr>
          <w:rFonts w:ascii="Times New Roman" w:hAnsi="Times New Roman" w:cs="Times New Roman"/>
        </w:rPr>
        <w:t xml:space="preserve"> Kelly </w:t>
      </w:r>
      <w:r w:rsidR="003E3B01" w:rsidRPr="00A31903">
        <w:rPr>
          <w:rFonts w:ascii="Times New Roman" w:hAnsi="Times New Roman" w:cs="Times New Roman"/>
        </w:rPr>
        <w:lastRenderedPageBreak/>
        <w:t xml:space="preserve">(1975), </w:t>
      </w:r>
      <w:proofErr w:type="spellStart"/>
      <w:r w:rsidR="00773B02" w:rsidRPr="00A31903">
        <w:rPr>
          <w:rFonts w:ascii="Times New Roman" w:hAnsi="Times New Roman" w:cs="Times New Roman"/>
        </w:rPr>
        <w:t>Tait</w:t>
      </w:r>
      <w:proofErr w:type="spellEnd"/>
      <w:r w:rsidR="00773B02" w:rsidRPr="00A31903">
        <w:rPr>
          <w:rFonts w:ascii="Times New Roman" w:hAnsi="Times New Roman" w:cs="Times New Roman"/>
        </w:rPr>
        <w:t xml:space="preserve">, </w:t>
      </w:r>
      <w:proofErr w:type="spellStart"/>
      <w:r w:rsidR="00773B02" w:rsidRPr="00A31903">
        <w:rPr>
          <w:rFonts w:ascii="Times New Roman" w:hAnsi="Times New Roman" w:cs="Times New Roman"/>
        </w:rPr>
        <w:t>Gratz</w:t>
      </w:r>
      <w:proofErr w:type="spellEnd"/>
      <w:r w:rsidR="00773B02" w:rsidRPr="00A31903">
        <w:rPr>
          <w:rFonts w:ascii="Times New Roman" w:hAnsi="Times New Roman" w:cs="Times New Roman"/>
        </w:rPr>
        <w:t xml:space="preserve">, </w:t>
      </w:r>
      <w:r w:rsidR="00C12F43" w:rsidRPr="00A31903">
        <w:rPr>
          <w:rFonts w:ascii="Times New Roman" w:hAnsi="Times New Roman" w:cs="Times New Roman"/>
        </w:rPr>
        <w:t>and</w:t>
      </w:r>
      <w:r w:rsidR="00773B02" w:rsidRPr="00A31903">
        <w:rPr>
          <w:rFonts w:ascii="Times New Roman" w:hAnsi="Times New Roman" w:cs="Times New Roman"/>
        </w:rPr>
        <w:t xml:space="preserve"> </w:t>
      </w:r>
      <w:proofErr w:type="spellStart"/>
      <w:r w:rsidR="00773B02" w:rsidRPr="00A31903">
        <w:rPr>
          <w:rFonts w:ascii="Times New Roman" w:hAnsi="Times New Roman" w:cs="Times New Roman"/>
        </w:rPr>
        <w:t>Eichengreen</w:t>
      </w:r>
      <w:proofErr w:type="spellEnd"/>
      <w:r w:rsidR="003E3B01" w:rsidRPr="00A31903">
        <w:rPr>
          <w:rFonts w:ascii="Times New Roman" w:hAnsi="Times New Roman" w:cs="Times New Roman"/>
        </w:rPr>
        <w:t xml:space="preserve"> (1979) and Howard (2001). Some were in an attempt to support donors and international lending agencies in their assessment of the fiscal performance of governments of recipient countries</w:t>
      </w:r>
      <w:r w:rsidR="0035520F" w:rsidRPr="00A31903">
        <w:rPr>
          <w:rFonts w:ascii="Times New Roman" w:hAnsi="Times New Roman" w:cs="Times New Roman"/>
        </w:rPr>
        <w:t xml:space="preserve"> (</w:t>
      </w:r>
      <w:proofErr w:type="spellStart"/>
      <w:r w:rsidR="00DC3B7A" w:rsidRPr="00A31903">
        <w:rPr>
          <w:rFonts w:ascii="Times New Roman" w:hAnsi="Times New Roman" w:cs="Times New Roman"/>
          <w:color w:val="222222"/>
          <w:shd w:val="clear" w:color="auto" w:fill="FFFFFF"/>
        </w:rPr>
        <w:t>Organisation</w:t>
      </w:r>
      <w:proofErr w:type="spellEnd"/>
      <w:r w:rsidR="00DC3B7A" w:rsidRPr="00A31903">
        <w:rPr>
          <w:rFonts w:ascii="Times New Roman" w:hAnsi="Times New Roman" w:cs="Times New Roman"/>
          <w:color w:val="222222"/>
          <w:shd w:val="clear" w:color="auto" w:fill="FFFFFF"/>
        </w:rPr>
        <w:t xml:space="preserve"> for Economic Co-operation and Development</w:t>
      </w:r>
      <w:r w:rsidR="00DC3B7A" w:rsidRPr="00A31903">
        <w:rPr>
          <w:rFonts w:ascii="Times New Roman" w:hAnsi="Times New Roman" w:cs="Times New Roman"/>
        </w:rPr>
        <w:t xml:space="preserve"> (</w:t>
      </w:r>
      <w:r w:rsidR="0035520F" w:rsidRPr="00A31903">
        <w:rPr>
          <w:rFonts w:ascii="Times New Roman" w:hAnsi="Times New Roman" w:cs="Times New Roman"/>
        </w:rPr>
        <w:t>OECD</w:t>
      </w:r>
      <w:r w:rsidR="00DC3B7A" w:rsidRPr="00A31903">
        <w:rPr>
          <w:rFonts w:ascii="Times New Roman" w:hAnsi="Times New Roman" w:cs="Times New Roman"/>
        </w:rPr>
        <w:t>)</w:t>
      </w:r>
      <w:r w:rsidR="0035520F" w:rsidRPr="00A31903">
        <w:rPr>
          <w:rFonts w:ascii="Times New Roman" w:hAnsi="Times New Roman" w:cs="Times New Roman"/>
        </w:rPr>
        <w:t>, 2011)</w:t>
      </w:r>
      <w:r w:rsidR="00DC3B7A" w:rsidRPr="00A31903">
        <w:rPr>
          <w:rFonts w:ascii="Times New Roman" w:hAnsi="Times New Roman" w:cs="Times New Roman"/>
        </w:rPr>
        <w:t>)</w:t>
      </w:r>
      <w:r w:rsidR="00F00659" w:rsidRPr="00A31903">
        <w:rPr>
          <w:rFonts w:ascii="Times New Roman" w:hAnsi="Times New Roman" w:cs="Times New Roman"/>
        </w:rPr>
        <w:t xml:space="preserve">. </w:t>
      </w:r>
      <w:r w:rsidR="002B0CF5" w:rsidRPr="00A31903">
        <w:rPr>
          <w:rFonts w:ascii="Times New Roman" w:hAnsi="Times New Roman" w:cs="Times New Roman"/>
        </w:rPr>
        <w:t>In connection with this, there are t</w:t>
      </w:r>
      <w:r w:rsidR="00E969EE" w:rsidRPr="00A31903">
        <w:rPr>
          <w:rFonts w:ascii="Times New Roman" w:hAnsi="Times New Roman" w:cs="Times New Roman"/>
        </w:rPr>
        <w:t xml:space="preserve">hree key </w:t>
      </w:r>
      <w:r w:rsidR="00F00659" w:rsidRPr="00A31903">
        <w:rPr>
          <w:rFonts w:ascii="Times New Roman" w:hAnsi="Times New Roman" w:cs="Times New Roman"/>
        </w:rPr>
        <w:t xml:space="preserve">indicators of tax revenue </w:t>
      </w:r>
      <w:r w:rsidR="00E969EE" w:rsidRPr="00A31903">
        <w:rPr>
          <w:rFonts w:ascii="Times New Roman" w:hAnsi="Times New Roman" w:cs="Times New Roman"/>
        </w:rPr>
        <w:t>performance</w:t>
      </w:r>
      <w:r w:rsidR="002B0CF5" w:rsidRPr="00A31903">
        <w:rPr>
          <w:rFonts w:ascii="Times New Roman" w:hAnsi="Times New Roman" w:cs="Times New Roman"/>
        </w:rPr>
        <w:t>: T</w:t>
      </w:r>
      <w:r w:rsidR="00F00659" w:rsidRPr="00A31903">
        <w:rPr>
          <w:rFonts w:ascii="Times New Roman" w:hAnsi="Times New Roman" w:cs="Times New Roman"/>
        </w:rPr>
        <w:t>axable capacity, tax burden and tax effort.</w:t>
      </w:r>
      <w:r w:rsidR="00B46F48" w:rsidRPr="00A31903">
        <w:rPr>
          <w:rFonts w:ascii="Times New Roman" w:hAnsi="Times New Roman" w:cs="Times New Roman"/>
        </w:rPr>
        <w:t xml:space="preserve"> </w:t>
      </w:r>
    </w:p>
    <w:p w:rsidR="006F54E4" w:rsidRPr="00A31903" w:rsidRDefault="00E13987" w:rsidP="007275D6">
      <w:pPr>
        <w:autoSpaceDE w:val="0"/>
        <w:autoSpaceDN w:val="0"/>
        <w:adjustRightInd w:val="0"/>
        <w:spacing w:after="0" w:line="240" w:lineRule="auto"/>
        <w:jc w:val="both"/>
        <w:rPr>
          <w:rFonts w:ascii="Times New Roman" w:hAnsi="Times New Roman" w:cs="Times New Roman"/>
          <w:b/>
        </w:rPr>
      </w:pPr>
      <w:r w:rsidRPr="00A31903">
        <w:rPr>
          <w:rFonts w:ascii="Times New Roman" w:hAnsi="Times New Roman" w:cs="Times New Roman"/>
        </w:rPr>
        <w:t xml:space="preserve">    </w:t>
      </w:r>
      <w:r w:rsidR="00C51D2D" w:rsidRPr="00A31903">
        <w:rPr>
          <w:rFonts w:ascii="Times New Roman" w:hAnsi="Times New Roman" w:cs="Times New Roman"/>
        </w:rPr>
        <w:t xml:space="preserve">Gaspar, Jaramillo </w:t>
      </w:r>
      <w:r w:rsidR="00C12F43" w:rsidRPr="00A31903">
        <w:rPr>
          <w:rFonts w:ascii="Times New Roman" w:hAnsi="Times New Roman" w:cs="Times New Roman"/>
        </w:rPr>
        <w:t>and</w:t>
      </w:r>
      <w:r w:rsidR="009E120F" w:rsidRPr="00A31903">
        <w:rPr>
          <w:rFonts w:ascii="Times New Roman" w:hAnsi="Times New Roman" w:cs="Times New Roman"/>
        </w:rPr>
        <w:t xml:space="preserve"> </w:t>
      </w:r>
      <w:proofErr w:type="spellStart"/>
      <w:r w:rsidR="00C51D2D" w:rsidRPr="00A31903">
        <w:rPr>
          <w:rFonts w:ascii="Times New Roman" w:hAnsi="Times New Roman" w:cs="Times New Roman"/>
        </w:rPr>
        <w:t>Wingender</w:t>
      </w:r>
      <w:proofErr w:type="spellEnd"/>
      <w:r w:rsidR="00C51D2D" w:rsidRPr="00A31903">
        <w:rPr>
          <w:rFonts w:ascii="Times New Roman" w:hAnsi="Times New Roman" w:cs="Times New Roman"/>
        </w:rPr>
        <w:t xml:space="preserve"> (201</w:t>
      </w:r>
      <w:r w:rsidR="001C0262" w:rsidRPr="00A31903">
        <w:rPr>
          <w:rFonts w:ascii="Times New Roman" w:hAnsi="Times New Roman" w:cs="Times New Roman"/>
        </w:rPr>
        <w:t>6) noted</w:t>
      </w:r>
      <w:r w:rsidR="004D542C" w:rsidRPr="00A31903">
        <w:rPr>
          <w:rFonts w:ascii="Times New Roman" w:hAnsi="Times New Roman" w:cs="Times New Roman"/>
        </w:rPr>
        <w:t xml:space="preserve"> that </w:t>
      </w:r>
      <w:r w:rsidR="00C51D2D" w:rsidRPr="00A31903">
        <w:rPr>
          <w:rFonts w:ascii="Times New Roman" w:hAnsi="Times New Roman" w:cs="Times New Roman"/>
        </w:rPr>
        <w:t xml:space="preserve">taxable capacity </w:t>
      </w:r>
      <w:proofErr w:type="gramStart"/>
      <w:r w:rsidR="00C51D2D" w:rsidRPr="00A31903">
        <w:rPr>
          <w:rFonts w:ascii="Times New Roman" w:hAnsi="Times New Roman" w:cs="Times New Roman"/>
        </w:rPr>
        <w:t>is closely linked</w:t>
      </w:r>
      <w:proofErr w:type="gramEnd"/>
      <w:r w:rsidR="00C51D2D" w:rsidRPr="00A31903">
        <w:rPr>
          <w:rFonts w:ascii="Times New Roman" w:hAnsi="Times New Roman" w:cs="Times New Roman"/>
        </w:rPr>
        <w:t xml:space="preserve"> to the process of economic development and growth. </w:t>
      </w:r>
      <w:proofErr w:type="spellStart"/>
      <w:r w:rsidR="005C594A" w:rsidRPr="00A31903">
        <w:rPr>
          <w:rFonts w:ascii="Times New Roman" w:hAnsi="Times New Roman" w:cs="Times New Roman"/>
        </w:rPr>
        <w:t>Pessino</w:t>
      </w:r>
      <w:proofErr w:type="spellEnd"/>
      <w:r w:rsidR="005C594A" w:rsidRPr="00A31903">
        <w:rPr>
          <w:rFonts w:ascii="Times New Roman" w:hAnsi="Times New Roman" w:cs="Times New Roman"/>
        </w:rPr>
        <w:t xml:space="preserve"> </w:t>
      </w:r>
      <w:r w:rsidR="00C12F43" w:rsidRPr="00A31903">
        <w:rPr>
          <w:rFonts w:ascii="Times New Roman" w:hAnsi="Times New Roman" w:cs="Times New Roman"/>
        </w:rPr>
        <w:t>and</w:t>
      </w:r>
      <w:r w:rsidR="009E120F" w:rsidRPr="00A31903">
        <w:rPr>
          <w:rFonts w:ascii="Times New Roman" w:hAnsi="Times New Roman" w:cs="Times New Roman"/>
        </w:rPr>
        <w:t xml:space="preserve"> </w:t>
      </w:r>
      <w:proofErr w:type="spellStart"/>
      <w:r w:rsidR="005C594A" w:rsidRPr="00A31903">
        <w:rPr>
          <w:rFonts w:ascii="Times New Roman" w:hAnsi="Times New Roman" w:cs="Times New Roman"/>
        </w:rPr>
        <w:t>Fenochietto</w:t>
      </w:r>
      <w:proofErr w:type="spellEnd"/>
      <w:r w:rsidR="005C594A" w:rsidRPr="00A31903">
        <w:rPr>
          <w:rFonts w:ascii="Times New Roman" w:hAnsi="Times New Roman" w:cs="Times New Roman"/>
        </w:rPr>
        <w:t xml:space="preserve"> (2013) define </w:t>
      </w:r>
      <w:r w:rsidR="005C594A" w:rsidRPr="00A31903">
        <w:rPr>
          <w:rFonts w:ascii="Times New Roman" w:hAnsi="Times New Roman" w:cs="Times New Roman"/>
          <w:bCs/>
        </w:rPr>
        <w:t>tax</w:t>
      </w:r>
      <w:r w:rsidR="00E969EE" w:rsidRPr="00A31903">
        <w:rPr>
          <w:rFonts w:ascii="Times New Roman" w:hAnsi="Times New Roman" w:cs="Times New Roman"/>
          <w:bCs/>
        </w:rPr>
        <w:t>able</w:t>
      </w:r>
      <w:r w:rsidR="005C594A" w:rsidRPr="00A31903">
        <w:rPr>
          <w:rFonts w:ascii="Times New Roman" w:hAnsi="Times New Roman" w:cs="Times New Roman"/>
          <w:bCs/>
        </w:rPr>
        <w:t xml:space="preserve"> capacity as the maximum level of tax revenue that a country</w:t>
      </w:r>
      <w:r w:rsidR="005C594A" w:rsidRPr="00A31903">
        <w:rPr>
          <w:rFonts w:ascii="TimesNewRomanPS-BoldMT" w:hAnsi="TimesNewRomanPS-BoldMT" w:cs="TimesNewRomanPS-BoldMT"/>
          <w:bCs/>
        </w:rPr>
        <w:t xml:space="preserve"> can achieve</w:t>
      </w:r>
      <w:r w:rsidR="006F54E4" w:rsidRPr="00A31903">
        <w:rPr>
          <w:rFonts w:ascii="Times New Roman" w:hAnsi="Times New Roman" w:cs="Times New Roman"/>
        </w:rPr>
        <w:t xml:space="preserve">. </w:t>
      </w:r>
      <w:proofErr w:type="spellStart"/>
      <w:r w:rsidR="007C7FFA" w:rsidRPr="00A31903">
        <w:rPr>
          <w:rFonts w:ascii="Times New Roman" w:hAnsi="Times New Roman" w:cs="Times New Roman"/>
          <w:lang w:val="en-GB"/>
        </w:rPr>
        <w:t>Entin</w:t>
      </w:r>
      <w:proofErr w:type="spellEnd"/>
      <w:r w:rsidR="007C7FFA" w:rsidRPr="00A31903">
        <w:rPr>
          <w:rFonts w:ascii="Times New Roman" w:hAnsi="Times New Roman" w:cs="Times New Roman"/>
          <w:lang w:val="en-GB"/>
        </w:rPr>
        <w:t xml:space="preserve"> (2004) </w:t>
      </w:r>
      <w:r w:rsidR="00DC3B7A" w:rsidRPr="00A31903">
        <w:rPr>
          <w:rFonts w:ascii="Times New Roman" w:hAnsi="Times New Roman" w:cs="Times New Roman"/>
          <w:lang w:val="en-GB"/>
        </w:rPr>
        <w:t>explains</w:t>
      </w:r>
      <w:r w:rsidR="007C7FFA" w:rsidRPr="00A31903">
        <w:rPr>
          <w:rFonts w:ascii="Times New Roman" w:hAnsi="Times New Roman" w:cs="Times New Roman"/>
          <w:lang w:val="en-GB"/>
        </w:rPr>
        <w:t xml:space="preserve"> that</w:t>
      </w:r>
      <w:r w:rsidR="00DC3B7A" w:rsidRPr="00A31903">
        <w:rPr>
          <w:rFonts w:ascii="Times New Roman" w:hAnsi="Times New Roman" w:cs="Times New Roman"/>
          <w:lang w:val="en-GB"/>
        </w:rPr>
        <w:t xml:space="preserve"> </w:t>
      </w:r>
      <w:r w:rsidR="007C7FFA" w:rsidRPr="00A31903">
        <w:rPr>
          <w:rFonts w:ascii="Times New Roman" w:hAnsi="Times New Roman" w:cs="Times New Roman"/>
          <w:lang w:val="en-GB"/>
        </w:rPr>
        <w:t>tax burden is an economic impact caused by taxation and reflects the reactions of taxpayers because of this tax deduction</w:t>
      </w:r>
      <w:r w:rsidR="00DA39CD" w:rsidRPr="00A31903">
        <w:rPr>
          <w:rFonts w:ascii="Times New Roman" w:hAnsi="Times New Roman" w:cs="Times New Roman"/>
          <w:lang w:val="en-GB"/>
        </w:rPr>
        <w:t>,</w:t>
      </w:r>
      <w:r w:rsidR="007C7FFA" w:rsidRPr="00A31903">
        <w:rPr>
          <w:rFonts w:ascii="Times New Roman" w:hAnsi="Times New Roman" w:cs="Times New Roman"/>
          <w:lang w:val="en-GB"/>
        </w:rPr>
        <w:t xml:space="preserve"> </w:t>
      </w:r>
      <w:r w:rsidR="002239CF" w:rsidRPr="00A31903">
        <w:rPr>
          <w:rFonts w:ascii="Times New Roman" w:hAnsi="Times New Roman" w:cs="Times New Roman"/>
        </w:rPr>
        <w:t>whiles</w:t>
      </w:r>
      <w:r w:rsidR="006F54E4" w:rsidRPr="00A31903">
        <w:rPr>
          <w:rFonts w:ascii="Times New Roman" w:hAnsi="Times New Roman" w:cs="Times New Roman"/>
        </w:rPr>
        <w:t xml:space="preserve"> </w:t>
      </w:r>
      <w:proofErr w:type="spellStart"/>
      <w:r w:rsidR="00DA39CD" w:rsidRPr="00A31903">
        <w:rPr>
          <w:rFonts w:ascii="Times New Roman" w:hAnsi="Times New Roman" w:cs="Times New Roman"/>
        </w:rPr>
        <w:t>Leuthold</w:t>
      </w:r>
      <w:proofErr w:type="spellEnd"/>
      <w:r w:rsidR="00DA39CD" w:rsidRPr="00A31903">
        <w:rPr>
          <w:rFonts w:ascii="Times New Roman" w:hAnsi="Times New Roman" w:cs="Times New Roman"/>
        </w:rPr>
        <w:t xml:space="preserve"> (2002) </w:t>
      </w:r>
      <w:r w:rsidR="00EC332B" w:rsidRPr="00A31903">
        <w:rPr>
          <w:rFonts w:ascii="Times New Roman" w:hAnsi="Times New Roman" w:cs="Times New Roman"/>
        </w:rPr>
        <w:t>defines</w:t>
      </w:r>
      <w:r w:rsidR="006F54E4" w:rsidRPr="00A31903">
        <w:rPr>
          <w:rFonts w:ascii="Times New Roman" w:hAnsi="Times New Roman" w:cs="Times New Roman"/>
        </w:rPr>
        <w:t xml:space="preserve"> tax effort as the exertion a country puts into collecting its tax revenue, given </w:t>
      </w:r>
      <w:r w:rsidR="004D08FF" w:rsidRPr="00A31903">
        <w:rPr>
          <w:rFonts w:ascii="Times New Roman" w:hAnsi="Times New Roman" w:cs="Times New Roman"/>
        </w:rPr>
        <w:t>its</w:t>
      </w:r>
      <w:r w:rsidR="006F54E4" w:rsidRPr="00A31903">
        <w:rPr>
          <w:rFonts w:ascii="Times New Roman" w:hAnsi="Times New Roman" w:cs="Times New Roman"/>
        </w:rPr>
        <w:t xml:space="preserve"> tax handles</w:t>
      </w:r>
      <w:r w:rsidR="004D08FF" w:rsidRPr="00A31903">
        <w:rPr>
          <w:rFonts w:ascii="Times New Roman" w:hAnsi="Times New Roman" w:cs="Times New Roman"/>
        </w:rPr>
        <w:t>.</w:t>
      </w:r>
      <w:r w:rsidRPr="00A31903">
        <w:rPr>
          <w:rFonts w:ascii="Times New Roman" w:hAnsi="Times New Roman" w:cs="Times New Roman"/>
        </w:rPr>
        <w:t xml:space="preserve"> </w:t>
      </w:r>
    </w:p>
    <w:p w:rsidR="006867AC" w:rsidRPr="00A31903" w:rsidRDefault="00667805" w:rsidP="00074879">
      <w:pPr>
        <w:autoSpaceDE w:val="0"/>
        <w:autoSpaceDN w:val="0"/>
        <w:adjustRightInd w:val="0"/>
        <w:spacing w:after="0" w:line="240" w:lineRule="auto"/>
        <w:jc w:val="both"/>
        <w:rPr>
          <w:rFonts w:ascii="Times New Roman" w:hAnsi="Times New Roman" w:cs="Times New Roman"/>
          <w:bCs/>
        </w:rPr>
      </w:pPr>
      <w:r w:rsidRPr="00A31903">
        <w:rPr>
          <w:rFonts w:ascii="Times New Roman" w:hAnsi="Times New Roman" w:cs="Times New Roman"/>
        </w:rPr>
        <w:t xml:space="preserve">    </w:t>
      </w:r>
      <w:r w:rsidR="00074879" w:rsidRPr="00A31903">
        <w:rPr>
          <w:rFonts w:ascii="Times New Roman" w:hAnsi="Times New Roman" w:cs="Times New Roman"/>
        </w:rPr>
        <w:t>T</w:t>
      </w:r>
      <w:r w:rsidR="00DA39CD" w:rsidRPr="00A31903">
        <w:rPr>
          <w:rFonts w:ascii="Times New Roman" w:hAnsi="Times New Roman" w:cs="Times New Roman"/>
        </w:rPr>
        <w:t xml:space="preserve">hough </w:t>
      </w:r>
      <w:r w:rsidR="002930D2" w:rsidRPr="00A31903">
        <w:rPr>
          <w:rFonts w:ascii="Times New Roman" w:hAnsi="Times New Roman" w:cs="Times New Roman"/>
        </w:rPr>
        <w:t>t</w:t>
      </w:r>
      <w:r w:rsidR="00A64D33" w:rsidRPr="00A31903">
        <w:rPr>
          <w:rFonts w:ascii="Times New Roman" w:hAnsi="Times New Roman" w:cs="Times New Roman"/>
        </w:rPr>
        <w:t>ax revenues</w:t>
      </w:r>
      <w:r w:rsidR="00CC2E43" w:rsidRPr="00A31903">
        <w:rPr>
          <w:rFonts w:ascii="Times New Roman" w:hAnsi="Times New Roman" w:cs="Times New Roman"/>
        </w:rPr>
        <w:t xml:space="preserve"> account for most of </w:t>
      </w:r>
      <w:r w:rsidR="00CC2E43" w:rsidRPr="00A31903">
        <w:rPr>
          <w:rFonts w:ascii="Times New Roman" w:hAnsi="Times New Roman" w:cs="Times New Roman"/>
          <w:noProof/>
        </w:rPr>
        <w:t>government</w:t>
      </w:r>
      <w:r w:rsidR="002930D2" w:rsidRPr="00A31903">
        <w:rPr>
          <w:rFonts w:ascii="Times New Roman" w:hAnsi="Times New Roman" w:cs="Times New Roman"/>
          <w:noProof/>
        </w:rPr>
        <w:t>’s</w:t>
      </w:r>
      <w:r w:rsidR="00CC2E43" w:rsidRPr="00A31903">
        <w:rPr>
          <w:rFonts w:ascii="Times New Roman" w:hAnsi="Times New Roman" w:cs="Times New Roman"/>
        </w:rPr>
        <w:t xml:space="preserve"> revenue in the maj</w:t>
      </w:r>
      <w:r w:rsidR="002930D2" w:rsidRPr="00A31903">
        <w:rPr>
          <w:rFonts w:ascii="Times New Roman" w:hAnsi="Times New Roman" w:cs="Times New Roman"/>
        </w:rPr>
        <w:t xml:space="preserve">ority of African countries, </w:t>
      </w:r>
      <w:r w:rsidR="00CC2E43" w:rsidRPr="00A31903">
        <w:rPr>
          <w:rFonts w:ascii="Times New Roman" w:hAnsi="Times New Roman" w:cs="Times New Roman"/>
        </w:rPr>
        <w:t>they do not generate enough</w:t>
      </w:r>
      <w:r w:rsidR="00F23BDE" w:rsidRPr="00A31903">
        <w:rPr>
          <w:rFonts w:ascii="Times New Roman" w:hAnsi="Times New Roman" w:cs="Times New Roman"/>
        </w:rPr>
        <w:t xml:space="preserve"> to cater for government expenditure</w:t>
      </w:r>
      <w:r w:rsidR="00CC2E43" w:rsidRPr="00A31903">
        <w:rPr>
          <w:rFonts w:ascii="Times New Roman" w:hAnsi="Times New Roman" w:cs="Times New Roman"/>
        </w:rPr>
        <w:t xml:space="preserve">. </w:t>
      </w:r>
      <w:r w:rsidR="00A658C4" w:rsidRPr="00A31903">
        <w:rPr>
          <w:rFonts w:ascii="Times New Roman" w:hAnsi="Times New Roman" w:cs="Times New Roman"/>
        </w:rPr>
        <w:t xml:space="preserve">In 2015, </w:t>
      </w:r>
      <w:r w:rsidR="0004367A" w:rsidRPr="00A31903">
        <w:rPr>
          <w:rFonts w:ascii="Times New Roman" w:hAnsi="Times New Roman" w:cs="Times New Roman"/>
        </w:rPr>
        <w:t xml:space="preserve">Ghana’s </w:t>
      </w:r>
      <w:r w:rsidR="00A658C4" w:rsidRPr="00A31903">
        <w:rPr>
          <w:rFonts w:ascii="Times New Roman" w:hAnsi="Times New Roman" w:cs="Times New Roman"/>
        </w:rPr>
        <w:t xml:space="preserve">tax revenue was </w:t>
      </w:r>
      <w:r w:rsidR="007941CC" w:rsidRPr="00A31903">
        <w:rPr>
          <w:rFonts w:ascii="Times New Roman" w:hAnsi="Times New Roman" w:cs="Times New Roman"/>
        </w:rPr>
        <w:t xml:space="preserve">79.1 </w:t>
      </w:r>
      <w:r w:rsidR="00A658C4" w:rsidRPr="00A31903">
        <w:rPr>
          <w:rFonts w:ascii="Times New Roman" w:hAnsi="Times New Roman" w:cs="Times New Roman"/>
        </w:rPr>
        <w:t xml:space="preserve">% of total government revenue. </w:t>
      </w:r>
      <w:r w:rsidR="00B25D9C" w:rsidRPr="00A31903">
        <w:rPr>
          <w:rFonts w:ascii="Times New Roman" w:hAnsi="Times New Roman" w:cs="Times New Roman"/>
        </w:rPr>
        <w:t>In the same year</w:t>
      </w:r>
      <w:r w:rsidR="007941CC" w:rsidRPr="00A31903">
        <w:rPr>
          <w:rFonts w:ascii="Times New Roman" w:hAnsi="Times New Roman" w:cs="Times New Roman"/>
        </w:rPr>
        <w:t>, t</w:t>
      </w:r>
      <w:r w:rsidR="00CC2E43" w:rsidRPr="00A31903">
        <w:rPr>
          <w:rFonts w:ascii="Times New Roman" w:hAnsi="Times New Roman" w:cs="Times New Roman"/>
        </w:rPr>
        <w:t xml:space="preserve">ax revenue </w:t>
      </w:r>
      <w:r w:rsidR="00A64D33" w:rsidRPr="00A31903">
        <w:rPr>
          <w:rFonts w:ascii="Times New Roman" w:hAnsi="Times New Roman" w:cs="Times New Roman"/>
        </w:rPr>
        <w:t>as a percentag</w:t>
      </w:r>
      <w:r w:rsidR="00B25D9C" w:rsidRPr="00A31903">
        <w:rPr>
          <w:rFonts w:ascii="Times New Roman" w:hAnsi="Times New Roman" w:cs="Times New Roman"/>
        </w:rPr>
        <w:t xml:space="preserve">e of GDP </w:t>
      </w:r>
      <w:r w:rsidR="007941CC" w:rsidRPr="00A31903">
        <w:rPr>
          <w:rFonts w:ascii="Times New Roman" w:hAnsi="Times New Roman" w:cs="Times New Roman"/>
        </w:rPr>
        <w:t xml:space="preserve">was 19.3 </w:t>
      </w:r>
      <w:r w:rsidR="00F00659" w:rsidRPr="00A31903">
        <w:rPr>
          <w:rFonts w:ascii="Times New Roman" w:hAnsi="Times New Roman" w:cs="Times New Roman"/>
        </w:rPr>
        <w:t>%, which</w:t>
      </w:r>
      <w:r w:rsidR="00CC2E43" w:rsidRPr="00A31903">
        <w:rPr>
          <w:rFonts w:ascii="Times New Roman" w:hAnsi="Times New Roman" w:cs="Times New Roman"/>
        </w:rPr>
        <w:t xml:space="preserve"> was far lower than the </w:t>
      </w:r>
      <w:r w:rsidR="00F23BDE" w:rsidRPr="00A31903">
        <w:rPr>
          <w:rFonts w:ascii="Times New Roman" w:hAnsi="Times New Roman" w:cs="Times New Roman"/>
        </w:rPr>
        <w:t>total government expenditure of 23.8% of GDP</w:t>
      </w:r>
      <w:r w:rsidR="00B25D9C" w:rsidRPr="00A31903">
        <w:rPr>
          <w:rFonts w:ascii="Times New Roman" w:hAnsi="Times New Roman" w:cs="Times New Roman"/>
        </w:rPr>
        <w:t xml:space="preserve"> for the same period</w:t>
      </w:r>
      <w:r w:rsidR="00F23BDE" w:rsidRPr="00A31903">
        <w:rPr>
          <w:rFonts w:ascii="Times New Roman" w:hAnsi="Times New Roman" w:cs="Times New Roman"/>
        </w:rPr>
        <w:t xml:space="preserve"> (Bank of Ghana, 2015).</w:t>
      </w:r>
      <w:r w:rsidR="00552E13" w:rsidRPr="00A31903">
        <w:rPr>
          <w:rFonts w:ascii="Times New Roman" w:hAnsi="Times New Roman" w:cs="Times New Roman"/>
        </w:rPr>
        <w:t xml:space="preserve"> Thus, g</w:t>
      </w:r>
      <w:r w:rsidR="00552E13" w:rsidRPr="00A31903">
        <w:rPr>
          <w:rFonts w:ascii="Times New Roman" w:hAnsi="Times New Roman" w:cs="Times New Roman"/>
          <w:bCs/>
        </w:rPr>
        <w:t xml:space="preserve">overnments’ need for additional </w:t>
      </w:r>
      <w:r w:rsidR="001C0262" w:rsidRPr="00A31903">
        <w:rPr>
          <w:rFonts w:ascii="Times New Roman" w:hAnsi="Times New Roman" w:cs="Times New Roman"/>
          <w:bCs/>
        </w:rPr>
        <w:t>revenue is considerable in many</w:t>
      </w:r>
      <w:r w:rsidR="008A090E" w:rsidRPr="00A31903">
        <w:rPr>
          <w:rFonts w:ascii="Times New Roman" w:hAnsi="Times New Roman" w:cs="Times New Roman"/>
          <w:bCs/>
        </w:rPr>
        <w:t xml:space="preserve"> emerging economies.</w:t>
      </w:r>
      <w:r w:rsidR="00552E13" w:rsidRPr="00A31903">
        <w:rPr>
          <w:rFonts w:ascii="Times New Roman" w:hAnsi="Times New Roman" w:cs="Times New Roman"/>
          <w:bCs/>
        </w:rPr>
        <w:t xml:space="preserve"> </w:t>
      </w:r>
    </w:p>
    <w:p w:rsidR="008E6E0E" w:rsidRPr="00A31903" w:rsidRDefault="006867AC" w:rsidP="00074879">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bCs/>
        </w:rPr>
        <w:t xml:space="preserve">     </w:t>
      </w:r>
      <w:r w:rsidR="002612EA" w:rsidRPr="00A31903">
        <w:rPr>
          <w:rFonts w:ascii="Times New Roman" w:hAnsi="Times New Roman" w:cs="Times New Roman"/>
        </w:rPr>
        <w:t>Currently</w:t>
      </w:r>
      <w:r w:rsidR="00A71573" w:rsidRPr="00A31903">
        <w:rPr>
          <w:rFonts w:ascii="Times New Roman" w:hAnsi="Times New Roman" w:cs="Times New Roman"/>
        </w:rPr>
        <w:t xml:space="preserve">, </w:t>
      </w:r>
      <w:r w:rsidR="002612EA" w:rsidRPr="00A31903">
        <w:rPr>
          <w:rFonts w:ascii="Times New Roman" w:hAnsi="Times New Roman" w:cs="Times New Roman"/>
        </w:rPr>
        <w:t xml:space="preserve">there is a </w:t>
      </w:r>
      <w:r w:rsidR="002612EA" w:rsidRPr="00A31903">
        <w:rPr>
          <w:rFonts w:ascii="Times New Roman" w:hAnsi="Times New Roman" w:cs="Times New Roman"/>
          <w:lang w:val="en-GB"/>
        </w:rPr>
        <w:t>renaissance in domestic resource mobilisation</w:t>
      </w:r>
      <w:r w:rsidRPr="00A31903">
        <w:rPr>
          <w:rFonts w:ascii="Times New Roman" w:hAnsi="Times New Roman" w:cs="Times New Roman"/>
          <w:lang w:val="en-GB"/>
        </w:rPr>
        <w:t xml:space="preserve"> in many emerging econ</w:t>
      </w:r>
      <w:r w:rsidR="008E6E0E" w:rsidRPr="00A31903">
        <w:rPr>
          <w:rFonts w:ascii="Times New Roman" w:hAnsi="Times New Roman" w:cs="Times New Roman"/>
          <w:lang w:val="en-GB"/>
        </w:rPr>
        <w:t xml:space="preserve">omies </w:t>
      </w:r>
      <w:r w:rsidR="008E6E0E" w:rsidRPr="00A31903">
        <w:rPr>
          <w:rFonts w:ascii="Times New Roman" w:hAnsi="Times New Roman" w:cs="Times New Roman"/>
          <w:color w:val="000000"/>
        </w:rPr>
        <w:t>(</w:t>
      </w:r>
      <w:r w:rsidR="00EC332B" w:rsidRPr="00A31903">
        <w:rPr>
          <w:rFonts w:ascii="Times New Roman" w:hAnsi="Times New Roman" w:cs="Times New Roman"/>
          <w:color w:val="000000"/>
        </w:rPr>
        <w:t>African Development Bank (</w:t>
      </w:r>
      <w:proofErr w:type="spellStart"/>
      <w:r w:rsidR="004D08FF" w:rsidRPr="00A31903">
        <w:rPr>
          <w:rFonts w:ascii="Times New Roman" w:hAnsi="Times New Roman" w:cs="Times New Roman"/>
          <w:color w:val="000000"/>
        </w:rPr>
        <w:t>AfDB</w:t>
      </w:r>
      <w:proofErr w:type="spellEnd"/>
      <w:r w:rsidR="00EC332B" w:rsidRPr="00A31903">
        <w:rPr>
          <w:rFonts w:ascii="Times New Roman" w:hAnsi="Times New Roman" w:cs="Times New Roman"/>
          <w:color w:val="000000"/>
        </w:rPr>
        <w:t>)</w:t>
      </w:r>
      <w:r w:rsidR="009E120F" w:rsidRPr="00A31903">
        <w:rPr>
          <w:rFonts w:ascii="Times New Roman" w:hAnsi="Times New Roman" w:cs="Times New Roman"/>
          <w:color w:val="000000"/>
        </w:rPr>
        <w:t>,</w:t>
      </w:r>
      <w:r w:rsidR="00EC332B" w:rsidRPr="00A31903">
        <w:rPr>
          <w:rFonts w:ascii="Times New Roman" w:hAnsi="Times New Roman" w:cs="Times New Roman"/>
          <w:color w:val="000000"/>
        </w:rPr>
        <w:t xml:space="preserve"> </w:t>
      </w:r>
      <w:r w:rsidR="004D08FF" w:rsidRPr="00A31903">
        <w:rPr>
          <w:rFonts w:ascii="Times New Roman" w:hAnsi="Times New Roman" w:cs="Times New Roman"/>
          <w:color w:val="000000"/>
        </w:rPr>
        <w:t xml:space="preserve">2010a; </w:t>
      </w:r>
      <w:r w:rsidR="00EC5CD5" w:rsidRPr="00A31903">
        <w:rPr>
          <w:rFonts w:ascii="Times New Roman" w:hAnsi="Times New Roman" w:cs="Times New Roman"/>
          <w:color w:val="000000"/>
        </w:rPr>
        <w:t>International Monetary Fund (</w:t>
      </w:r>
      <w:r w:rsidR="00581E93" w:rsidRPr="00A31903">
        <w:rPr>
          <w:rFonts w:ascii="Times New Roman" w:hAnsi="Times New Roman" w:cs="Times New Roman"/>
          <w:color w:val="000000"/>
        </w:rPr>
        <w:t>IMF</w:t>
      </w:r>
      <w:r w:rsidR="00EC5CD5" w:rsidRPr="00A31903">
        <w:rPr>
          <w:rFonts w:ascii="Times New Roman" w:hAnsi="Times New Roman" w:cs="Times New Roman"/>
          <w:color w:val="000000"/>
        </w:rPr>
        <w:t>)</w:t>
      </w:r>
      <w:r w:rsidR="009E120F" w:rsidRPr="00A31903">
        <w:rPr>
          <w:rFonts w:ascii="Times New Roman" w:hAnsi="Times New Roman" w:cs="Times New Roman"/>
          <w:color w:val="000000"/>
        </w:rPr>
        <w:t xml:space="preserve">, </w:t>
      </w:r>
      <w:r w:rsidR="00581E93" w:rsidRPr="00A31903">
        <w:rPr>
          <w:rFonts w:ascii="Times New Roman" w:hAnsi="Times New Roman" w:cs="Times New Roman"/>
          <w:color w:val="000000"/>
        </w:rPr>
        <w:t xml:space="preserve">2011; </w:t>
      </w:r>
      <w:r w:rsidR="00EB5FC5" w:rsidRPr="00A31903">
        <w:rPr>
          <w:rFonts w:ascii="Times New Roman" w:hAnsi="Times New Roman" w:cs="Times New Roman"/>
        </w:rPr>
        <w:t xml:space="preserve">Drummond, </w:t>
      </w:r>
      <w:proofErr w:type="spellStart"/>
      <w:r w:rsidR="00EB5FC5" w:rsidRPr="00A31903">
        <w:rPr>
          <w:rFonts w:ascii="Times New Roman" w:hAnsi="Times New Roman" w:cs="Times New Roman"/>
        </w:rPr>
        <w:t>Daal</w:t>
      </w:r>
      <w:proofErr w:type="spellEnd"/>
      <w:r w:rsidR="00EB5FC5" w:rsidRPr="00A31903">
        <w:rPr>
          <w:rFonts w:ascii="Times New Roman" w:hAnsi="Times New Roman" w:cs="Times New Roman"/>
        </w:rPr>
        <w:t xml:space="preserve">, </w:t>
      </w:r>
      <w:proofErr w:type="spellStart"/>
      <w:r w:rsidR="00EB5FC5" w:rsidRPr="00A31903">
        <w:rPr>
          <w:rFonts w:ascii="Times New Roman" w:hAnsi="Times New Roman" w:cs="Times New Roman"/>
        </w:rPr>
        <w:t>Srivastava</w:t>
      </w:r>
      <w:proofErr w:type="spellEnd"/>
      <w:r w:rsidR="00EB5FC5" w:rsidRPr="00A31903">
        <w:rPr>
          <w:rFonts w:ascii="Times New Roman" w:hAnsi="Times New Roman" w:cs="Times New Roman"/>
        </w:rPr>
        <w:t xml:space="preserve">, </w:t>
      </w:r>
      <w:r w:rsidR="00C12F43" w:rsidRPr="00A31903">
        <w:rPr>
          <w:rFonts w:ascii="Times New Roman" w:hAnsi="Times New Roman" w:cs="Times New Roman"/>
        </w:rPr>
        <w:t>and</w:t>
      </w:r>
      <w:r w:rsidR="00EB5FC5" w:rsidRPr="00A31903">
        <w:rPr>
          <w:rFonts w:ascii="Times New Roman" w:hAnsi="Times New Roman" w:cs="Times New Roman"/>
        </w:rPr>
        <w:t xml:space="preserve"> Oliveira</w:t>
      </w:r>
      <w:r w:rsidR="009E120F" w:rsidRPr="00A31903">
        <w:rPr>
          <w:rFonts w:ascii="Times New Roman" w:hAnsi="Times New Roman" w:cs="Times New Roman"/>
          <w:i/>
          <w:color w:val="000000"/>
        </w:rPr>
        <w:t>,</w:t>
      </w:r>
      <w:r w:rsidR="004D08FF" w:rsidRPr="00A31903">
        <w:rPr>
          <w:rFonts w:ascii="Times New Roman" w:hAnsi="Times New Roman" w:cs="Times New Roman"/>
          <w:color w:val="000000"/>
        </w:rPr>
        <w:t xml:space="preserve"> 2012</w:t>
      </w:r>
      <w:r w:rsidR="008E6E0E" w:rsidRPr="00A31903">
        <w:rPr>
          <w:rFonts w:ascii="Times New Roman" w:hAnsi="Times New Roman" w:cs="Times New Roman"/>
          <w:color w:val="000000"/>
        </w:rPr>
        <w:t>)</w:t>
      </w:r>
      <w:r w:rsidR="00375C77" w:rsidRPr="00A31903">
        <w:rPr>
          <w:rFonts w:ascii="Times New Roman" w:hAnsi="Times New Roman" w:cs="Times New Roman"/>
          <w:color w:val="000000"/>
        </w:rPr>
        <w:t>)</w:t>
      </w:r>
      <w:r w:rsidR="002612EA" w:rsidRPr="00A31903">
        <w:rPr>
          <w:rFonts w:ascii="Times New Roman" w:hAnsi="Times New Roman" w:cs="Times New Roman"/>
          <w:lang w:val="en-GB"/>
        </w:rPr>
        <w:t>, which topped the list of action areas in the outcome document that emerged from the 3rd Financing for Development conference held in Addis Ababa in July 2015 (</w:t>
      </w:r>
      <w:r w:rsidR="00EB5FC5" w:rsidRPr="00A31903">
        <w:rPr>
          <w:rFonts w:ascii="Times New Roman" w:hAnsi="Times New Roman" w:cs="Times New Roman"/>
          <w:lang w:val="en-GB"/>
        </w:rPr>
        <w:t>United Nations (</w:t>
      </w:r>
      <w:r w:rsidR="002612EA" w:rsidRPr="00A31903">
        <w:rPr>
          <w:rFonts w:ascii="Times New Roman" w:hAnsi="Times New Roman" w:cs="Times New Roman"/>
          <w:lang w:val="en-GB"/>
        </w:rPr>
        <w:t>UN</w:t>
      </w:r>
      <w:r w:rsidR="00EB5FC5" w:rsidRPr="00A31903">
        <w:rPr>
          <w:rFonts w:ascii="Times New Roman" w:hAnsi="Times New Roman" w:cs="Times New Roman"/>
          <w:lang w:val="en-GB"/>
        </w:rPr>
        <w:t>)</w:t>
      </w:r>
      <w:r w:rsidR="002612EA" w:rsidRPr="00A31903">
        <w:rPr>
          <w:rFonts w:ascii="Times New Roman" w:hAnsi="Times New Roman" w:cs="Times New Roman"/>
          <w:lang w:val="en-GB"/>
        </w:rPr>
        <w:t>, 2015)</w:t>
      </w:r>
      <w:r w:rsidR="00EB5FC5" w:rsidRPr="00A31903">
        <w:rPr>
          <w:rFonts w:ascii="Times New Roman" w:hAnsi="Times New Roman" w:cs="Times New Roman"/>
          <w:lang w:val="en-GB"/>
        </w:rPr>
        <w:t>)</w:t>
      </w:r>
      <w:r w:rsidR="002612EA" w:rsidRPr="00A31903">
        <w:rPr>
          <w:rFonts w:ascii="Times New Roman" w:hAnsi="Times New Roman" w:cs="Times New Roman"/>
          <w:lang w:val="en-GB"/>
        </w:rPr>
        <w:t>.</w:t>
      </w:r>
    </w:p>
    <w:p w:rsidR="00BE3B43" w:rsidRPr="00A31903" w:rsidRDefault="00667805" w:rsidP="00074879">
      <w:pPr>
        <w:autoSpaceDE w:val="0"/>
        <w:autoSpaceDN w:val="0"/>
        <w:adjustRightInd w:val="0"/>
        <w:spacing w:after="0" w:line="240" w:lineRule="auto"/>
        <w:jc w:val="both"/>
        <w:rPr>
          <w:rFonts w:ascii="Times New Roman" w:hAnsi="Times New Roman" w:cs="Times New Roman"/>
          <w:color w:val="FF0000"/>
        </w:rPr>
      </w:pPr>
      <w:r w:rsidRPr="00A31903">
        <w:rPr>
          <w:rFonts w:ascii="Times New Roman" w:hAnsi="Times New Roman" w:cs="Times New Roman"/>
        </w:rPr>
        <w:t xml:space="preserve">    </w:t>
      </w:r>
      <w:r w:rsidR="00074879" w:rsidRPr="00A31903">
        <w:rPr>
          <w:rFonts w:ascii="Times New Roman" w:hAnsi="Times New Roman" w:cs="Times New Roman"/>
        </w:rPr>
        <w:t>However, t</w:t>
      </w:r>
      <w:r w:rsidR="002B5C89" w:rsidRPr="00A31903">
        <w:rPr>
          <w:rFonts w:ascii="Times New Roman" w:hAnsi="Times New Roman" w:cs="Times New Roman"/>
        </w:rPr>
        <w:t>he way</w:t>
      </w:r>
      <w:r w:rsidR="0030032E" w:rsidRPr="00A31903">
        <w:rPr>
          <w:rFonts w:ascii="Times New Roman" w:hAnsi="Times New Roman" w:cs="Times New Roman"/>
        </w:rPr>
        <w:t xml:space="preserve"> the</w:t>
      </w:r>
      <w:r w:rsidR="00BE1F73" w:rsidRPr="00A31903">
        <w:rPr>
          <w:rFonts w:ascii="Times New Roman" w:hAnsi="Times New Roman" w:cs="Times New Roman"/>
        </w:rPr>
        <w:t>se countries</w:t>
      </w:r>
      <w:r w:rsidR="00423415" w:rsidRPr="00A31903">
        <w:rPr>
          <w:rFonts w:ascii="Times New Roman" w:hAnsi="Times New Roman" w:cs="Times New Roman"/>
        </w:rPr>
        <w:t xml:space="preserve"> raise revenues could have </w:t>
      </w:r>
      <w:r w:rsidR="00423415" w:rsidRPr="00A31903">
        <w:rPr>
          <w:rFonts w:ascii="Times New Roman" w:hAnsi="Times New Roman" w:cs="Times New Roman"/>
          <w:noProof/>
        </w:rPr>
        <w:t>far</w:t>
      </w:r>
      <w:r w:rsidR="00ED65D9" w:rsidRPr="00A31903">
        <w:rPr>
          <w:rFonts w:ascii="Times New Roman" w:hAnsi="Times New Roman" w:cs="Times New Roman"/>
          <w:noProof/>
        </w:rPr>
        <w:t xml:space="preserve"> </w:t>
      </w:r>
      <w:r w:rsidR="00423415" w:rsidRPr="00A31903">
        <w:rPr>
          <w:rFonts w:ascii="Times New Roman" w:hAnsi="Times New Roman" w:cs="Times New Roman"/>
          <w:noProof/>
        </w:rPr>
        <w:t>reaching</w:t>
      </w:r>
      <w:r w:rsidR="00423415" w:rsidRPr="00A31903">
        <w:rPr>
          <w:rFonts w:ascii="Times New Roman" w:hAnsi="Times New Roman" w:cs="Times New Roman"/>
        </w:rPr>
        <w:t xml:space="preserve"> consequences. For example,</w:t>
      </w:r>
      <w:r w:rsidR="00CC2E43" w:rsidRPr="00A31903">
        <w:rPr>
          <w:rFonts w:ascii="Times New Roman" w:hAnsi="Times New Roman" w:cs="Times New Roman"/>
        </w:rPr>
        <w:t xml:space="preserve"> increasing revenue by </w:t>
      </w:r>
      <w:r w:rsidR="006D78FC" w:rsidRPr="00A31903">
        <w:rPr>
          <w:rFonts w:ascii="Times New Roman" w:hAnsi="Times New Roman" w:cs="Times New Roman"/>
        </w:rPr>
        <w:t xml:space="preserve">overburdening the already compliant taxpayers with multiplicity of taxes </w:t>
      </w:r>
      <w:r w:rsidR="00E433A4" w:rsidRPr="00A31903">
        <w:rPr>
          <w:rFonts w:ascii="Times New Roman" w:hAnsi="Times New Roman" w:cs="Times New Roman"/>
        </w:rPr>
        <w:t>(</w:t>
      </w:r>
      <w:proofErr w:type="spellStart"/>
      <w:r w:rsidR="00E433A4" w:rsidRPr="00A31903">
        <w:rPr>
          <w:rFonts w:ascii="Times New Roman" w:hAnsi="Times New Roman" w:cs="Times New Roman"/>
        </w:rPr>
        <w:t>Amoh</w:t>
      </w:r>
      <w:proofErr w:type="spellEnd"/>
      <w:r w:rsidR="00E433A4" w:rsidRPr="00A31903">
        <w:rPr>
          <w:rFonts w:ascii="Times New Roman" w:hAnsi="Times New Roman" w:cs="Times New Roman"/>
        </w:rPr>
        <w:t xml:space="preserve"> and </w:t>
      </w:r>
      <w:proofErr w:type="spellStart"/>
      <w:r w:rsidR="00E433A4" w:rsidRPr="00A31903">
        <w:rPr>
          <w:rFonts w:ascii="Times New Roman" w:hAnsi="Times New Roman" w:cs="Times New Roman"/>
        </w:rPr>
        <w:t>Adom</w:t>
      </w:r>
      <w:proofErr w:type="spellEnd"/>
      <w:r w:rsidR="00E433A4" w:rsidRPr="00A31903">
        <w:rPr>
          <w:rFonts w:ascii="Times New Roman" w:hAnsi="Times New Roman" w:cs="Times New Roman"/>
        </w:rPr>
        <w:t xml:space="preserve">, 2017) </w:t>
      </w:r>
      <w:r w:rsidR="00CC2E43" w:rsidRPr="00A31903">
        <w:rPr>
          <w:rFonts w:ascii="Times New Roman" w:hAnsi="Times New Roman" w:cs="Times New Roman"/>
        </w:rPr>
        <w:t xml:space="preserve">can </w:t>
      </w:r>
      <w:r w:rsidR="00EC332B" w:rsidRPr="00A31903">
        <w:rPr>
          <w:rFonts w:ascii="Times New Roman" w:hAnsi="Times New Roman" w:cs="Times New Roman"/>
        </w:rPr>
        <w:t>exacerbate</w:t>
      </w:r>
      <w:r w:rsidR="00CC2E43" w:rsidRPr="00A31903">
        <w:rPr>
          <w:rFonts w:ascii="Times New Roman" w:hAnsi="Times New Roman" w:cs="Times New Roman"/>
        </w:rPr>
        <w:t xml:space="preserve"> distortions and perceived </w:t>
      </w:r>
      <w:r w:rsidR="00DE7CDA" w:rsidRPr="00A31903">
        <w:rPr>
          <w:rFonts w:ascii="Times New Roman" w:hAnsi="Times New Roman" w:cs="Times New Roman"/>
        </w:rPr>
        <w:t>inequalities in the distribution of the tax burden</w:t>
      </w:r>
      <w:r w:rsidR="00F23BDE" w:rsidRPr="00A31903">
        <w:rPr>
          <w:rFonts w:ascii="Times New Roman" w:hAnsi="Times New Roman" w:cs="Times New Roman"/>
        </w:rPr>
        <w:t xml:space="preserve">. </w:t>
      </w:r>
      <w:r w:rsidR="00B25D9C" w:rsidRPr="00A31903">
        <w:rPr>
          <w:rFonts w:ascii="Times New Roman" w:hAnsi="Times New Roman" w:cs="Times New Roman"/>
        </w:rPr>
        <w:t>More</w:t>
      </w:r>
      <w:r w:rsidR="00543B1D" w:rsidRPr="00A31903">
        <w:rPr>
          <w:rFonts w:ascii="Times New Roman" w:hAnsi="Times New Roman" w:cs="Times New Roman"/>
        </w:rPr>
        <w:t xml:space="preserve"> </w:t>
      </w:r>
      <w:r w:rsidR="00B25D9C" w:rsidRPr="00A31903">
        <w:rPr>
          <w:rFonts w:ascii="Times New Roman" w:hAnsi="Times New Roman" w:cs="Times New Roman"/>
        </w:rPr>
        <w:t>so,</w:t>
      </w:r>
      <w:r w:rsidR="00552E13" w:rsidRPr="00A31903">
        <w:rPr>
          <w:rFonts w:ascii="Times New Roman" w:hAnsi="Times New Roman" w:cs="Times New Roman"/>
        </w:rPr>
        <w:t xml:space="preserve"> </w:t>
      </w:r>
      <w:r w:rsidR="00F072BC" w:rsidRPr="00A31903">
        <w:rPr>
          <w:rFonts w:ascii="Times New Roman" w:hAnsi="Times New Roman" w:cs="Times New Roman"/>
        </w:rPr>
        <w:t>all efforts to increase tax revenue</w:t>
      </w:r>
      <w:r w:rsidR="00552E13" w:rsidRPr="00A31903">
        <w:rPr>
          <w:rFonts w:ascii="Times New Roman" w:hAnsi="Times New Roman" w:cs="Times New Roman"/>
        </w:rPr>
        <w:t xml:space="preserve"> </w:t>
      </w:r>
      <w:r w:rsidR="00F072BC" w:rsidRPr="00A31903">
        <w:rPr>
          <w:rFonts w:ascii="Times New Roman" w:hAnsi="Times New Roman" w:cs="Times New Roman"/>
        </w:rPr>
        <w:t xml:space="preserve">could be </w:t>
      </w:r>
      <w:r w:rsidR="00F23BDE" w:rsidRPr="00A31903">
        <w:rPr>
          <w:rFonts w:ascii="Times New Roman" w:hAnsi="Times New Roman" w:cs="Times New Roman"/>
        </w:rPr>
        <w:t>an exercise in futility</w:t>
      </w:r>
      <w:r w:rsidR="00F072BC" w:rsidRPr="00A31903">
        <w:rPr>
          <w:rFonts w:ascii="Times New Roman" w:hAnsi="Times New Roman" w:cs="Times New Roman"/>
        </w:rPr>
        <w:t xml:space="preserve"> if government</w:t>
      </w:r>
      <w:r w:rsidR="00A23CFF" w:rsidRPr="00A31903">
        <w:rPr>
          <w:rFonts w:ascii="Times New Roman" w:hAnsi="Times New Roman" w:cs="Times New Roman"/>
        </w:rPr>
        <w:t>’s</w:t>
      </w:r>
      <w:r w:rsidR="00F072BC" w:rsidRPr="00A31903">
        <w:rPr>
          <w:rFonts w:ascii="Times New Roman" w:hAnsi="Times New Roman" w:cs="Times New Roman"/>
        </w:rPr>
        <w:t xml:space="preserve"> spending is not checked </w:t>
      </w:r>
      <w:r w:rsidR="00F23BDE" w:rsidRPr="00A31903">
        <w:rPr>
          <w:rFonts w:ascii="Times New Roman" w:hAnsi="Times New Roman" w:cs="Times New Roman"/>
        </w:rPr>
        <w:t>or matched with expected revenue in</w:t>
      </w:r>
      <w:r w:rsidR="00A23CFF" w:rsidRPr="00A31903">
        <w:rPr>
          <w:rFonts w:ascii="Times New Roman" w:hAnsi="Times New Roman" w:cs="Times New Roman"/>
        </w:rPr>
        <w:t>f</w:t>
      </w:r>
      <w:r w:rsidR="00F23BDE" w:rsidRPr="00A31903">
        <w:rPr>
          <w:rFonts w:ascii="Times New Roman" w:hAnsi="Times New Roman" w:cs="Times New Roman"/>
        </w:rPr>
        <w:t>lows</w:t>
      </w:r>
      <w:r w:rsidR="00BC72EA" w:rsidRPr="00A31903">
        <w:rPr>
          <w:rFonts w:ascii="Times New Roman" w:hAnsi="Times New Roman" w:cs="Times New Roman"/>
        </w:rPr>
        <w:t>.</w:t>
      </w:r>
      <w:r w:rsidR="00E34734" w:rsidRPr="00A31903">
        <w:rPr>
          <w:rFonts w:ascii="Times New Roman" w:hAnsi="Times New Roman" w:cs="Times New Roman"/>
          <w:color w:val="FF0000"/>
        </w:rPr>
        <w:t xml:space="preserve"> </w:t>
      </w:r>
    </w:p>
    <w:p w:rsidR="00F072BC" w:rsidRPr="00A31903" w:rsidRDefault="00E34734" w:rsidP="00074879">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color w:val="FF0000"/>
        </w:rPr>
        <w:t xml:space="preserve">   </w:t>
      </w:r>
      <w:r w:rsidR="00BE3B43" w:rsidRPr="00A31903">
        <w:rPr>
          <w:rFonts w:ascii="Times New Roman" w:hAnsi="Times New Roman" w:cs="Times New Roman"/>
          <w:color w:val="FF0000"/>
        </w:rPr>
        <w:t xml:space="preserve">  </w:t>
      </w:r>
      <w:r w:rsidRPr="00A31903">
        <w:rPr>
          <w:rFonts w:ascii="Times New Roman" w:hAnsi="Times New Roman" w:cs="Times New Roman"/>
        </w:rPr>
        <w:t>Though extant literature</w:t>
      </w:r>
      <w:r w:rsidR="00271645" w:rsidRPr="00A31903">
        <w:rPr>
          <w:rFonts w:ascii="Times New Roman" w:hAnsi="Times New Roman" w:cs="Times New Roman"/>
        </w:rPr>
        <w:t xml:space="preserve"> has </w:t>
      </w:r>
      <w:r w:rsidRPr="00A31903">
        <w:rPr>
          <w:rFonts w:ascii="Times New Roman" w:hAnsi="Times New Roman" w:cs="Times New Roman"/>
        </w:rPr>
        <w:t xml:space="preserve">assessed the role of taxable capacity, tax effort and tax burden in revenue generation and the efficiency of tax administration, </w:t>
      </w:r>
      <w:r w:rsidR="00BC72EA" w:rsidRPr="00A31903">
        <w:rPr>
          <w:rFonts w:ascii="Times New Roman" w:hAnsi="Times New Roman" w:cs="Times New Roman"/>
        </w:rPr>
        <w:t xml:space="preserve">the </w:t>
      </w:r>
      <w:r w:rsidR="003B56E7" w:rsidRPr="00A31903">
        <w:rPr>
          <w:rFonts w:ascii="Times New Roman" w:hAnsi="Times New Roman" w:cs="Times New Roman"/>
        </w:rPr>
        <w:t xml:space="preserve">linkage </w:t>
      </w:r>
      <w:r w:rsidRPr="00A31903">
        <w:rPr>
          <w:rFonts w:ascii="Times New Roman" w:hAnsi="Times New Roman" w:cs="Times New Roman"/>
        </w:rPr>
        <w:t xml:space="preserve">to tax </w:t>
      </w:r>
      <w:r w:rsidR="00236EB8" w:rsidRPr="00A31903">
        <w:rPr>
          <w:rFonts w:ascii="Times New Roman" w:hAnsi="Times New Roman" w:cs="Times New Roman"/>
        </w:rPr>
        <w:t>fairness</w:t>
      </w:r>
      <w:r w:rsidRPr="00A31903">
        <w:rPr>
          <w:rFonts w:ascii="Times New Roman" w:hAnsi="Times New Roman" w:cs="Times New Roman"/>
        </w:rPr>
        <w:t xml:space="preserve"> perceptions </w:t>
      </w:r>
      <w:proofErr w:type="gramStart"/>
      <w:r w:rsidRPr="00A31903">
        <w:rPr>
          <w:rFonts w:ascii="Times New Roman" w:hAnsi="Times New Roman" w:cs="Times New Roman"/>
        </w:rPr>
        <w:t xml:space="preserve">has been </w:t>
      </w:r>
      <w:r w:rsidR="003B56E7" w:rsidRPr="00A31903">
        <w:rPr>
          <w:rFonts w:ascii="Times New Roman" w:hAnsi="Times New Roman" w:cs="Times New Roman"/>
        </w:rPr>
        <w:t>overlooked</w:t>
      </w:r>
      <w:proofErr w:type="gramEnd"/>
      <w:r w:rsidRPr="00A31903">
        <w:rPr>
          <w:rFonts w:ascii="Times New Roman" w:hAnsi="Times New Roman" w:cs="Times New Roman"/>
        </w:rPr>
        <w:t xml:space="preserve">. </w:t>
      </w:r>
      <w:r w:rsidR="00BC72EA" w:rsidRPr="00A31903">
        <w:rPr>
          <w:rFonts w:ascii="Times New Roman" w:hAnsi="Times New Roman" w:cs="Times New Roman"/>
        </w:rPr>
        <w:t>This gap motivated the study.</w:t>
      </w:r>
    </w:p>
    <w:p w:rsidR="00E20E47" w:rsidRPr="00A31903" w:rsidRDefault="00667805" w:rsidP="00454209">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rPr>
        <w:t xml:space="preserve">    </w:t>
      </w:r>
      <w:proofErr w:type="gramStart"/>
      <w:r w:rsidR="00B20215" w:rsidRPr="00A31903">
        <w:rPr>
          <w:rFonts w:ascii="Times New Roman" w:hAnsi="Times New Roman" w:cs="Times New Roman"/>
        </w:rPr>
        <w:t>Again</w:t>
      </w:r>
      <w:r w:rsidR="00E34734" w:rsidRPr="00A31903">
        <w:rPr>
          <w:rFonts w:ascii="Times New Roman" w:hAnsi="Times New Roman" w:cs="Times New Roman"/>
        </w:rPr>
        <w:t>, e</w:t>
      </w:r>
      <w:r w:rsidR="008B6168" w:rsidRPr="00A31903">
        <w:rPr>
          <w:rFonts w:ascii="Times New Roman" w:hAnsi="Times New Roman" w:cs="Times New Roman"/>
        </w:rPr>
        <w:t xml:space="preserve">xcept </w:t>
      </w:r>
      <w:r w:rsidR="00E50344" w:rsidRPr="00A31903">
        <w:rPr>
          <w:rFonts w:ascii="Times New Roman" w:hAnsi="Times New Roman" w:cs="Times New Roman"/>
        </w:rPr>
        <w:t xml:space="preserve">for </w:t>
      </w:r>
      <w:r w:rsidR="008B6168" w:rsidRPr="00A31903">
        <w:rPr>
          <w:rFonts w:ascii="Times New Roman" w:hAnsi="Times New Roman" w:cs="Times New Roman"/>
        </w:rPr>
        <w:t xml:space="preserve">few notable research works </w:t>
      </w:r>
      <w:r w:rsidR="00E20E47" w:rsidRPr="00A31903">
        <w:rPr>
          <w:rFonts w:ascii="Times New Roman" w:hAnsi="Times New Roman" w:cs="Times New Roman"/>
        </w:rPr>
        <w:t>on taxable capacity i</w:t>
      </w:r>
      <w:r w:rsidR="008B6168" w:rsidRPr="00A31903">
        <w:rPr>
          <w:rFonts w:ascii="Times New Roman" w:hAnsi="Times New Roman" w:cs="Times New Roman"/>
        </w:rPr>
        <w:t xml:space="preserve">n specific </w:t>
      </w:r>
      <w:r w:rsidR="00113958" w:rsidRPr="00A31903">
        <w:rPr>
          <w:rFonts w:ascii="Times New Roman" w:hAnsi="Times New Roman" w:cs="Times New Roman"/>
        </w:rPr>
        <w:t xml:space="preserve">single case </w:t>
      </w:r>
      <w:r w:rsidR="008B6168" w:rsidRPr="00A31903">
        <w:rPr>
          <w:rFonts w:ascii="Times New Roman" w:hAnsi="Times New Roman" w:cs="Times New Roman"/>
        </w:rPr>
        <w:t>countries and provinces</w:t>
      </w:r>
      <w:r w:rsidR="00E20E47" w:rsidRPr="00A31903">
        <w:rPr>
          <w:rFonts w:ascii="Times New Roman" w:hAnsi="Times New Roman" w:cs="Times New Roman"/>
        </w:rPr>
        <w:t xml:space="preserve"> in Indonesia (</w:t>
      </w:r>
      <w:proofErr w:type="spellStart"/>
      <w:r w:rsidR="00E20E47" w:rsidRPr="00A31903">
        <w:rPr>
          <w:rFonts w:ascii="Times New Roman" w:hAnsi="Times New Roman" w:cs="Times New Roman"/>
        </w:rPr>
        <w:t>Alfirman</w:t>
      </w:r>
      <w:proofErr w:type="spellEnd"/>
      <w:r w:rsidR="00E20E47" w:rsidRPr="00A31903">
        <w:rPr>
          <w:rFonts w:ascii="Times New Roman" w:hAnsi="Times New Roman" w:cs="Times New Roman"/>
        </w:rPr>
        <w:t>,</w:t>
      </w:r>
      <w:r w:rsidR="00F47360" w:rsidRPr="00A31903">
        <w:rPr>
          <w:rFonts w:ascii="Times New Roman" w:hAnsi="Times New Roman" w:cs="Times New Roman"/>
        </w:rPr>
        <w:t xml:space="preserve"> </w:t>
      </w:r>
      <w:r w:rsidR="00E20E47" w:rsidRPr="00A31903">
        <w:rPr>
          <w:rFonts w:ascii="Times New Roman" w:hAnsi="Times New Roman" w:cs="Times New Roman"/>
        </w:rPr>
        <w:t>2003), Iran (</w:t>
      </w:r>
      <w:proofErr w:type="spellStart"/>
      <w:r w:rsidR="00E20E47" w:rsidRPr="00A31903">
        <w:rPr>
          <w:rFonts w:ascii="Times New Roman" w:hAnsi="Times New Roman" w:cs="Times New Roman"/>
        </w:rPr>
        <w:t>Yahyaee</w:t>
      </w:r>
      <w:proofErr w:type="spellEnd"/>
      <w:r w:rsidR="00E20E47" w:rsidRPr="00A31903">
        <w:rPr>
          <w:rFonts w:ascii="Times New Roman" w:hAnsi="Times New Roman" w:cs="Times New Roman"/>
        </w:rPr>
        <w:t>, 1991),</w:t>
      </w:r>
      <w:r w:rsidR="00650F3B" w:rsidRPr="00A31903">
        <w:rPr>
          <w:rFonts w:ascii="Times New Roman" w:hAnsi="Times New Roman" w:cs="Times New Roman"/>
        </w:rPr>
        <w:t xml:space="preserve"> </w:t>
      </w:r>
      <w:proofErr w:type="spellStart"/>
      <w:r w:rsidR="005D6ADC" w:rsidRPr="00A31903">
        <w:rPr>
          <w:rFonts w:ascii="Times New Roman" w:hAnsi="Times New Roman" w:cs="Times New Roman"/>
        </w:rPr>
        <w:t>Hame</w:t>
      </w:r>
      <w:r w:rsidR="00F47360" w:rsidRPr="00A31903">
        <w:rPr>
          <w:rFonts w:ascii="Times New Roman" w:hAnsi="Times New Roman" w:cs="Times New Roman"/>
        </w:rPr>
        <w:t>dan</w:t>
      </w:r>
      <w:proofErr w:type="spellEnd"/>
      <w:r w:rsidR="00F47360" w:rsidRPr="00A31903">
        <w:rPr>
          <w:rFonts w:ascii="Times New Roman" w:hAnsi="Times New Roman" w:cs="Times New Roman"/>
        </w:rPr>
        <w:t xml:space="preserve"> province  (</w:t>
      </w:r>
      <w:proofErr w:type="spellStart"/>
      <w:r w:rsidR="00F47360" w:rsidRPr="00A31903">
        <w:rPr>
          <w:rFonts w:ascii="Times New Roman" w:hAnsi="Times New Roman" w:cs="Times New Roman"/>
        </w:rPr>
        <w:t>Nikoo</w:t>
      </w:r>
      <w:proofErr w:type="spellEnd"/>
      <w:r w:rsidR="00F47360" w:rsidRPr="00A31903">
        <w:rPr>
          <w:rFonts w:ascii="Times New Roman" w:hAnsi="Times New Roman" w:cs="Times New Roman"/>
        </w:rPr>
        <w:t xml:space="preserve"> ,1996)</w:t>
      </w:r>
      <w:r w:rsidR="00CF39F6" w:rsidRPr="00A31903">
        <w:rPr>
          <w:rFonts w:ascii="Times New Roman" w:hAnsi="Times New Roman" w:cs="Times New Roman"/>
        </w:rPr>
        <w:t xml:space="preserve"> </w:t>
      </w:r>
      <w:r w:rsidR="009F35B8" w:rsidRPr="00A31903">
        <w:rPr>
          <w:rFonts w:ascii="Times New Roman" w:hAnsi="Times New Roman" w:cs="Times New Roman"/>
        </w:rPr>
        <w:t>and Ghana (</w:t>
      </w:r>
      <w:proofErr w:type="spellStart"/>
      <w:r w:rsidR="009F35B8" w:rsidRPr="00A31903">
        <w:rPr>
          <w:rFonts w:ascii="Times New Roman" w:hAnsi="Times New Roman" w:cs="Times New Roman"/>
        </w:rPr>
        <w:t>Brafu-Insaidoo</w:t>
      </w:r>
      <w:proofErr w:type="spellEnd"/>
      <w:r w:rsidR="009F35B8" w:rsidRPr="00A31903">
        <w:rPr>
          <w:rFonts w:ascii="Times New Roman" w:hAnsi="Times New Roman" w:cs="Times New Roman"/>
        </w:rPr>
        <w:t xml:space="preserve"> </w:t>
      </w:r>
      <w:r w:rsidR="00C12F43" w:rsidRPr="00A31903">
        <w:rPr>
          <w:rFonts w:ascii="Times New Roman" w:hAnsi="Times New Roman" w:cs="Times New Roman"/>
        </w:rPr>
        <w:t>and</w:t>
      </w:r>
      <w:r w:rsidR="009F35B8" w:rsidRPr="00A31903">
        <w:rPr>
          <w:rFonts w:ascii="Times New Roman" w:hAnsi="Times New Roman" w:cs="Times New Roman"/>
        </w:rPr>
        <w:t xml:space="preserve"> </w:t>
      </w:r>
      <w:proofErr w:type="spellStart"/>
      <w:r w:rsidR="009F35B8" w:rsidRPr="00A31903">
        <w:rPr>
          <w:rFonts w:ascii="Times New Roman" w:hAnsi="Times New Roman" w:cs="Times New Roman"/>
        </w:rPr>
        <w:t>Obeng</w:t>
      </w:r>
      <w:proofErr w:type="spellEnd"/>
      <w:r w:rsidR="009F35B8" w:rsidRPr="00A31903">
        <w:rPr>
          <w:rFonts w:ascii="Times New Roman" w:hAnsi="Times New Roman" w:cs="Times New Roman"/>
        </w:rPr>
        <w:t>, 2016)</w:t>
      </w:r>
      <w:r w:rsidR="00F47360" w:rsidRPr="00A31903">
        <w:rPr>
          <w:rFonts w:ascii="Times New Roman" w:hAnsi="Times New Roman" w:cs="Times New Roman"/>
        </w:rPr>
        <w:t xml:space="preserve"> which have proved beneficial for </w:t>
      </w:r>
      <w:r w:rsidR="00113958" w:rsidRPr="00A31903">
        <w:rPr>
          <w:rFonts w:ascii="Times New Roman" w:hAnsi="Times New Roman" w:cs="Times New Roman"/>
        </w:rPr>
        <w:t xml:space="preserve">tax </w:t>
      </w:r>
      <w:r w:rsidR="00F47360" w:rsidRPr="00A31903">
        <w:rPr>
          <w:rFonts w:ascii="Times New Roman" w:hAnsi="Times New Roman" w:cs="Times New Roman"/>
        </w:rPr>
        <w:t>policy initiatives, the bulk of the related studies hav</w:t>
      </w:r>
      <w:r w:rsidR="00124AE7" w:rsidRPr="00A31903">
        <w:rPr>
          <w:rFonts w:ascii="Times New Roman" w:hAnsi="Times New Roman" w:cs="Times New Roman"/>
        </w:rPr>
        <w:t>e been cross-sectional</w:t>
      </w:r>
      <w:r w:rsidR="00CF39F6" w:rsidRPr="00A31903">
        <w:rPr>
          <w:rFonts w:ascii="Times New Roman" w:hAnsi="Times New Roman" w:cs="Times New Roman"/>
        </w:rPr>
        <w:t xml:space="preserve"> </w:t>
      </w:r>
      <w:r w:rsidR="00911210" w:rsidRPr="00A31903">
        <w:rPr>
          <w:rFonts w:ascii="Times New Roman" w:hAnsi="Times New Roman" w:cs="Times New Roman"/>
        </w:rPr>
        <w:t xml:space="preserve">(see </w:t>
      </w:r>
      <w:r w:rsidR="00911210" w:rsidRPr="00A31903">
        <w:rPr>
          <w:rFonts w:ascii="Times New Roman" w:hAnsi="Times New Roman" w:cs="Times New Roman"/>
          <w:lang w:val="en-GB"/>
        </w:rPr>
        <w:t>Le, Moreno-Dodson,</w:t>
      </w:r>
      <w:r w:rsidR="004D08FF" w:rsidRPr="00A31903">
        <w:rPr>
          <w:rFonts w:ascii="Times New Roman" w:hAnsi="Times New Roman" w:cs="Times New Roman"/>
          <w:lang w:val="en-GB"/>
        </w:rPr>
        <w:t xml:space="preserve"> </w:t>
      </w:r>
      <w:r w:rsidR="00C12F43" w:rsidRPr="00A31903">
        <w:rPr>
          <w:rFonts w:ascii="Times New Roman" w:hAnsi="Times New Roman" w:cs="Times New Roman"/>
        </w:rPr>
        <w:t>and</w:t>
      </w:r>
      <w:r w:rsidR="00581E93" w:rsidRPr="00A31903">
        <w:rPr>
          <w:rFonts w:ascii="Times New Roman" w:hAnsi="Times New Roman" w:cs="Times New Roman"/>
          <w:lang w:val="en-GB"/>
        </w:rPr>
        <w:t xml:space="preserve"> </w:t>
      </w:r>
      <w:proofErr w:type="spellStart"/>
      <w:r w:rsidR="00581E93" w:rsidRPr="00A31903">
        <w:rPr>
          <w:rFonts w:ascii="Times New Roman" w:hAnsi="Times New Roman" w:cs="Times New Roman"/>
          <w:lang w:val="en-GB"/>
        </w:rPr>
        <w:t>Bayraktar</w:t>
      </w:r>
      <w:proofErr w:type="spellEnd"/>
      <w:r w:rsidR="00581E93" w:rsidRPr="00A31903">
        <w:rPr>
          <w:rFonts w:ascii="Times New Roman" w:hAnsi="Times New Roman" w:cs="Times New Roman"/>
          <w:lang w:val="en-GB"/>
        </w:rPr>
        <w:t xml:space="preserve"> (</w:t>
      </w:r>
      <w:r w:rsidR="00911210" w:rsidRPr="00A31903">
        <w:rPr>
          <w:rFonts w:ascii="Times New Roman" w:hAnsi="Times New Roman" w:cs="Times New Roman"/>
          <w:lang w:val="en-GB"/>
        </w:rPr>
        <w:t>2012</w:t>
      </w:r>
      <w:r w:rsidR="00581E93" w:rsidRPr="00A31903">
        <w:rPr>
          <w:rFonts w:ascii="Times New Roman" w:hAnsi="Times New Roman" w:cs="Times New Roman"/>
          <w:lang w:val="en-GB"/>
        </w:rPr>
        <w:t>)</w:t>
      </w:r>
      <w:r w:rsidR="004D08FF" w:rsidRPr="00A31903">
        <w:rPr>
          <w:rFonts w:ascii="Times New Roman" w:hAnsi="Times New Roman" w:cs="Times New Roman"/>
          <w:lang w:val="en-GB"/>
        </w:rPr>
        <w:t xml:space="preserve">; </w:t>
      </w:r>
      <w:r w:rsidR="009F35B8" w:rsidRPr="00A31903">
        <w:rPr>
          <w:rFonts w:ascii="Times New Roman" w:hAnsi="Times New Roman" w:cs="Times New Roman"/>
          <w:lang w:val="en-GB"/>
        </w:rPr>
        <w:t xml:space="preserve">and Bird, Martinez-Vazquez </w:t>
      </w:r>
      <w:r w:rsidR="00C12F43" w:rsidRPr="00A31903">
        <w:rPr>
          <w:rFonts w:ascii="Times New Roman" w:hAnsi="Times New Roman" w:cs="Times New Roman"/>
        </w:rPr>
        <w:t>and</w:t>
      </w:r>
      <w:r w:rsidR="009F35B8" w:rsidRPr="00A31903">
        <w:rPr>
          <w:rFonts w:ascii="Times New Roman" w:hAnsi="Times New Roman" w:cs="Times New Roman"/>
          <w:lang w:val="en-GB"/>
        </w:rPr>
        <w:t xml:space="preserve"> </w:t>
      </w:r>
      <w:proofErr w:type="spellStart"/>
      <w:r w:rsidR="00581E93" w:rsidRPr="00A31903">
        <w:rPr>
          <w:rFonts w:ascii="Times New Roman" w:hAnsi="Times New Roman" w:cs="Times New Roman"/>
          <w:lang w:val="en-GB"/>
        </w:rPr>
        <w:t>Torgler</w:t>
      </w:r>
      <w:proofErr w:type="spellEnd"/>
      <w:r w:rsidR="00581E93" w:rsidRPr="00A31903">
        <w:rPr>
          <w:rFonts w:ascii="Times New Roman" w:hAnsi="Times New Roman" w:cs="Times New Roman"/>
          <w:lang w:val="en-GB"/>
        </w:rPr>
        <w:t xml:space="preserve"> (</w:t>
      </w:r>
      <w:r w:rsidR="004D08FF" w:rsidRPr="00A31903">
        <w:rPr>
          <w:rFonts w:ascii="Times New Roman" w:hAnsi="Times New Roman" w:cs="Times New Roman"/>
          <w:lang w:val="en-GB"/>
        </w:rPr>
        <w:t>2008</w:t>
      </w:r>
      <w:r w:rsidR="00581E93" w:rsidRPr="00A31903">
        <w:rPr>
          <w:rFonts w:ascii="Times New Roman" w:hAnsi="Times New Roman" w:cs="Times New Roman"/>
          <w:lang w:val="en-GB"/>
        </w:rPr>
        <w:t>)</w:t>
      </w:r>
      <w:r w:rsidR="004D08FF" w:rsidRPr="00A31903">
        <w:rPr>
          <w:rFonts w:ascii="Times New Roman" w:hAnsi="Times New Roman" w:cs="Times New Roman"/>
          <w:lang w:val="en-GB"/>
        </w:rPr>
        <w:t xml:space="preserve">) </w:t>
      </w:r>
      <w:r w:rsidR="00124AE7" w:rsidRPr="00A31903">
        <w:rPr>
          <w:rFonts w:ascii="Times New Roman" w:hAnsi="Times New Roman" w:cs="Times New Roman"/>
        </w:rPr>
        <w:t xml:space="preserve">with </w:t>
      </w:r>
      <w:r w:rsidR="00F47360" w:rsidRPr="00A31903">
        <w:rPr>
          <w:rFonts w:ascii="Times New Roman" w:hAnsi="Times New Roman" w:cs="Times New Roman"/>
        </w:rPr>
        <w:t xml:space="preserve"> mix</w:t>
      </w:r>
      <w:r w:rsidR="00124AE7" w:rsidRPr="00A31903">
        <w:rPr>
          <w:rFonts w:ascii="Times New Roman" w:hAnsi="Times New Roman" w:cs="Times New Roman"/>
        </w:rPr>
        <w:t>ed results</w:t>
      </w:r>
      <w:r w:rsidR="0030032E" w:rsidRPr="00A31903">
        <w:rPr>
          <w:rFonts w:ascii="Times New Roman" w:hAnsi="Times New Roman" w:cs="Times New Roman"/>
        </w:rPr>
        <w:t>.</w:t>
      </w:r>
      <w:proofErr w:type="gramEnd"/>
      <w:r w:rsidR="00EF7B64" w:rsidRPr="00A31903">
        <w:rPr>
          <w:rFonts w:ascii="Times New Roman" w:hAnsi="Times New Roman" w:cs="Times New Roman"/>
        </w:rPr>
        <w:t xml:space="preserve"> </w:t>
      </w:r>
    </w:p>
    <w:p w:rsidR="009B175A" w:rsidRPr="00A31903" w:rsidRDefault="00F82295" w:rsidP="002D7577">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30032E" w:rsidRPr="00A31903">
        <w:rPr>
          <w:rFonts w:ascii="Times New Roman" w:hAnsi="Times New Roman" w:cs="Times New Roman"/>
        </w:rPr>
        <w:t>The</w:t>
      </w:r>
      <w:r w:rsidR="002D7577" w:rsidRPr="00A31903">
        <w:rPr>
          <w:rFonts w:ascii="Times New Roman" w:hAnsi="Times New Roman" w:cs="Times New Roman"/>
        </w:rPr>
        <w:t xml:space="preserve"> </w:t>
      </w:r>
      <w:r w:rsidR="00113958" w:rsidRPr="00A31903">
        <w:rPr>
          <w:rFonts w:ascii="Times New Roman" w:hAnsi="Times New Roman" w:cs="Times New Roman"/>
        </w:rPr>
        <w:t>justificatio</w:t>
      </w:r>
      <w:r w:rsidR="00543B1D" w:rsidRPr="00A31903">
        <w:rPr>
          <w:rFonts w:ascii="Times New Roman" w:hAnsi="Times New Roman" w:cs="Times New Roman"/>
        </w:rPr>
        <w:t>n</w:t>
      </w:r>
      <w:r w:rsidR="00CD41EB" w:rsidRPr="00A31903">
        <w:rPr>
          <w:rFonts w:ascii="Times New Roman" w:hAnsi="Times New Roman" w:cs="Times New Roman"/>
        </w:rPr>
        <w:t xml:space="preserve"> for a single country study of</w:t>
      </w:r>
      <w:r w:rsidR="00113958" w:rsidRPr="00A31903">
        <w:rPr>
          <w:rFonts w:ascii="Times New Roman" w:hAnsi="Times New Roman" w:cs="Times New Roman"/>
        </w:rPr>
        <w:t xml:space="preserve"> </w:t>
      </w:r>
      <w:r w:rsidR="00543B1D" w:rsidRPr="00A31903">
        <w:rPr>
          <w:rFonts w:ascii="Times New Roman" w:hAnsi="Times New Roman" w:cs="Times New Roman"/>
        </w:rPr>
        <w:t xml:space="preserve">as </w:t>
      </w:r>
      <w:r w:rsidR="00066B80" w:rsidRPr="00A31903">
        <w:rPr>
          <w:rFonts w:ascii="Times New Roman" w:hAnsi="Times New Roman" w:cs="Times New Roman"/>
        </w:rPr>
        <w:t>one of the pioneering</w:t>
      </w:r>
      <w:r w:rsidR="00543B1D" w:rsidRPr="00A31903">
        <w:rPr>
          <w:rFonts w:ascii="Times New Roman" w:hAnsi="Times New Roman" w:cs="Times New Roman"/>
        </w:rPr>
        <w:t xml:space="preserve"> stud</w:t>
      </w:r>
      <w:r w:rsidR="00066B80" w:rsidRPr="00A31903">
        <w:rPr>
          <w:rFonts w:ascii="Times New Roman" w:hAnsi="Times New Roman" w:cs="Times New Roman"/>
        </w:rPr>
        <w:t>ies</w:t>
      </w:r>
      <w:r w:rsidR="00543B1D" w:rsidRPr="00A31903">
        <w:rPr>
          <w:rFonts w:ascii="Times New Roman" w:hAnsi="Times New Roman" w:cs="Times New Roman"/>
        </w:rPr>
        <w:t xml:space="preserve"> </w:t>
      </w:r>
      <w:r w:rsidR="000F4C43" w:rsidRPr="00A31903">
        <w:rPr>
          <w:rFonts w:ascii="Times New Roman" w:hAnsi="Times New Roman" w:cs="Times New Roman"/>
        </w:rPr>
        <w:t>is</w:t>
      </w:r>
      <w:r w:rsidR="00113958" w:rsidRPr="00A31903">
        <w:rPr>
          <w:rFonts w:ascii="Times New Roman" w:hAnsi="Times New Roman" w:cs="Times New Roman"/>
          <w:color w:val="FF0000"/>
        </w:rPr>
        <w:t xml:space="preserve"> </w:t>
      </w:r>
      <w:r w:rsidR="0001419E" w:rsidRPr="00A31903">
        <w:rPr>
          <w:rFonts w:ascii="Times New Roman" w:hAnsi="Times New Roman" w:cs="Times New Roman"/>
        </w:rPr>
        <w:t xml:space="preserve">due to the </w:t>
      </w:r>
      <w:r w:rsidR="000F4C43" w:rsidRPr="00A31903">
        <w:rPr>
          <w:rFonts w:ascii="Times New Roman" w:hAnsi="Times New Roman" w:cs="Times New Roman"/>
        </w:rPr>
        <w:t>following</w:t>
      </w:r>
      <w:r w:rsidR="006C17DA" w:rsidRPr="00A31903">
        <w:rPr>
          <w:rFonts w:ascii="Times New Roman" w:hAnsi="Times New Roman" w:cs="Times New Roman"/>
        </w:rPr>
        <w:t xml:space="preserve"> </w:t>
      </w:r>
      <w:r w:rsidR="0001419E" w:rsidRPr="00A31903">
        <w:rPr>
          <w:rFonts w:ascii="Times New Roman" w:hAnsi="Times New Roman" w:cs="Times New Roman"/>
        </w:rPr>
        <w:t>reasons.</w:t>
      </w:r>
      <w:r w:rsidR="00113958" w:rsidRPr="00A31903">
        <w:rPr>
          <w:rFonts w:ascii="Times New Roman" w:hAnsi="Times New Roman" w:cs="Times New Roman"/>
        </w:rPr>
        <w:t xml:space="preserve"> </w:t>
      </w:r>
      <w:r w:rsidR="0001419E" w:rsidRPr="00A31903">
        <w:rPr>
          <w:rFonts w:ascii="Times New Roman" w:hAnsi="Times New Roman" w:cs="Times New Roman"/>
        </w:rPr>
        <w:t>Firstly, t</w:t>
      </w:r>
      <w:r w:rsidR="002D7577" w:rsidRPr="00A31903">
        <w:rPr>
          <w:rFonts w:ascii="Times New Roman" w:hAnsi="Times New Roman" w:cs="Times New Roman"/>
        </w:rPr>
        <w:t xml:space="preserve">he cross-country </w:t>
      </w:r>
      <w:r w:rsidR="0001419E" w:rsidRPr="00A31903">
        <w:rPr>
          <w:rFonts w:ascii="Times New Roman" w:hAnsi="Times New Roman" w:cs="Times New Roman"/>
        </w:rPr>
        <w:t xml:space="preserve">comparisons, which have </w:t>
      </w:r>
      <w:proofErr w:type="spellStart"/>
      <w:r w:rsidR="0001419E" w:rsidRPr="00A31903">
        <w:rPr>
          <w:rFonts w:ascii="Times New Roman" w:hAnsi="Times New Roman" w:cs="Times New Roman"/>
        </w:rPr>
        <w:t>characterised</w:t>
      </w:r>
      <w:proofErr w:type="spellEnd"/>
      <w:r w:rsidR="0001419E" w:rsidRPr="00A31903">
        <w:rPr>
          <w:rFonts w:ascii="Times New Roman" w:hAnsi="Times New Roman" w:cs="Times New Roman"/>
        </w:rPr>
        <w:t xml:space="preserve"> </w:t>
      </w:r>
      <w:r w:rsidR="00543B1D" w:rsidRPr="00A31903">
        <w:rPr>
          <w:rFonts w:ascii="Times New Roman" w:hAnsi="Times New Roman" w:cs="Times New Roman"/>
        </w:rPr>
        <w:t xml:space="preserve">some </w:t>
      </w:r>
      <w:r w:rsidR="0001419E" w:rsidRPr="00A31903">
        <w:rPr>
          <w:rFonts w:ascii="Times New Roman" w:hAnsi="Times New Roman" w:cs="Times New Roman"/>
        </w:rPr>
        <w:t>studies of this nature,</w:t>
      </w:r>
      <w:r w:rsidR="0071412D" w:rsidRPr="00A31903">
        <w:rPr>
          <w:rFonts w:ascii="Times New Roman" w:hAnsi="Times New Roman" w:cs="Times New Roman"/>
        </w:rPr>
        <w:t xml:space="preserve"> </w:t>
      </w:r>
      <w:r w:rsidR="00A82E23" w:rsidRPr="00A31903">
        <w:rPr>
          <w:rFonts w:ascii="Times New Roman" w:hAnsi="Times New Roman" w:cs="Times New Roman"/>
        </w:rPr>
        <w:t>have</w:t>
      </w:r>
      <w:r w:rsidR="00113958" w:rsidRPr="00A31903">
        <w:rPr>
          <w:rFonts w:ascii="Times New Roman" w:hAnsi="Times New Roman" w:cs="Times New Roman"/>
        </w:rPr>
        <w:t xml:space="preserve"> </w:t>
      </w:r>
      <w:r w:rsidR="00124AE7" w:rsidRPr="00A31903">
        <w:rPr>
          <w:rFonts w:ascii="Times New Roman" w:hAnsi="Times New Roman" w:cs="Times New Roman"/>
        </w:rPr>
        <w:t xml:space="preserve">attracted </w:t>
      </w:r>
      <w:r w:rsidR="00124AE7" w:rsidRPr="00A31903">
        <w:rPr>
          <w:rFonts w:ascii="Times New Roman" w:hAnsi="Times New Roman" w:cs="Times New Roman"/>
          <w:noProof/>
        </w:rPr>
        <w:t>criticisms</w:t>
      </w:r>
      <w:r w:rsidR="002D7577" w:rsidRPr="00A31903">
        <w:rPr>
          <w:rFonts w:ascii="Times New Roman" w:hAnsi="Times New Roman" w:cs="Times New Roman"/>
        </w:rPr>
        <w:t xml:space="preserve">. </w:t>
      </w:r>
      <w:r w:rsidR="0030032E" w:rsidRPr="00A31903">
        <w:rPr>
          <w:rFonts w:ascii="Times New Roman" w:hAnsi="Times New Roman" w:cs="Times New Roman"/>
        </w:rPr>
        <w:t>Secondly</w:t>
      </w:r>
      <w:r w:rsidR="002D7577" w:rsidRPr="00A31903">
        <w:rPr>
          <w:rFonts w:ascii="Times New Roman" w:hAnsi="Times New Roman" w:cs="Times New Roman"/>
        </w:rPr>
        <w:t xml:space="preserve">, </w:t>
      </w:r>
      <w:r w:rsidR="00124AE7" w:rsidRPr="00A31903">
        <w:rPr>
          <w:rFonts w:ascii="Times New Roman" w:hAnsi="Times New Roman" w:cs="Times New Roman"/>
        </w:rPr>
        <w:t>there could be</w:t>
      </w:r>
      <w:r w:rsidR="00113958" w:rsidRPr="00A31903">
        <w:rPr>
          <w:rFonts w:ascii="Times New Roman" w:hAnsi="Times New Roman" w:cs="Times New Roman"/>
        </w:rPr>
        <w:t xml:space="preserve"> </w:t>
      </w:r>
      <w:r w:rsidR="002D7577" w:rsidRPr="00A31903">
        <w:rPr>
          <w:rFonts w:ascii="Times New Roman" w:hAnsi="Times New Roman" w:cs="Times New Roman"/>
        </w:rPr>
        <w:t xml:space="preserve">errors in </w:t>
      </w:r>
      <w:r w:rsidR="005E4C22" w:rsidRPr="00A31903">
        <w:rPr>
          <w:rFonts w:ascii="Times New Roman" w:hAnsi="Times New Roman" w:cs="Times New Roman"/>
        </w:rPr>
        <w:t xml:space="preserve">variables </w:t>
      </w:r>
      <w:r w:rsidR="00543B1D" w:rsidRPr="00A31903">
        <w:rPr>
          <w:rFonts w:ascii="Times New Roman" w:hAnsi="Times New Roman" w:cs="Times New Roman"/>
        </w:rPr>
        <w:t>selection, which</w:t>
      </w:r>
      <w:r w:rsidR="00124AE7" w:rsidRPr="00A31903">
        <w:rPr>
          <w:rFonts w:ascii="Times New Roman" w:hAnsi="Times New Roman" w:cs="Times New Roman"/>
        </w:rPr>
        <w:t xml:space="preserve"> could</w:t>
      </w:r>
      <w:r w:rsidR="002D7577" w:rsidRPr="00A31903">
        <w:rPr>
          <w:rFonts w:ascii="Times New Roman" w:hAnsi="Times New Roman" w:cs="Times New Roman"/>
        </w:rPr>
        <w:t xml:space="preserve"> </w:t>
      </w:r>
      <w:r w:rsidR="00113958" w:rsidRPr="00A31903">
        <w:rPr>
          <w:rFonts w:ascii="Times New Roman" w:hAnsi="Times New Roman" w:cs="Times New Roman"/>
        </w:rPr>
        <w:t>eclipse</w:t>
      </w:r>
      <w:r w:rsidR="002D7577" w:rsidRPr="00A31903">
        <w:rPr>
          <w:rFonts w:ascii="Times New Roman" w:hAnsi="Times New Roman" w:cs="Times New Roman"/>
        </w:rPr>
        <w:t xml:space="preserve"> the complex interrelationship between government revenue and other</w:t>
      </w:r>
      <w:r w:rsidR="00543B1D" w:rsidRPr="00A31903">
        <w:rPr>
          <w:rFonts w:ascii="Times New Roman" w:hAnsi="Times New Roman" w:cs="Times New Roman"/>
        </w:rPr>
        <w:t xml:space="preserve"> revenue triggering factors</w:t>
      </w:r>
      <w:r w:rsidR="002D7577" w:rsidRPr="00A31903">
        <w:rPr>
          <w:rFonts w:ascii="Times New Roman" w:hAnsi="Times New Roman" w:cs="Times New Roman"/>
        </w:rPr>
        <w:t xml:space="preserve">. </w:t>
      </w:r>
      <w:r w:rsidR="0001419E" w:rsidRPr="00A31903">
        <w:rPr>
          <w:rFonts w:ascii="Times New Roman" w:hAnsi="Times New Roman" w:cs="Times New Roman"/>
        </w:rPr>
        <w:t>Again,</w:t>
      </w:r>
      <w:r w:rsidR="002D7577" w:rsidRPr="00A31903">
        <w:rPr>
          <w:rFonts w:ascii="Times New Roman" w:hAnsi="Times New Roman" w:cs="Times New Roman"/>
        </w:rPr>
        <w:t xml:space="preserve"> national aggregates, such as per capita </w:t>
      </w:r>
      <w:r w:rsidR="0001419E" w:rsidRPr="00A31903">
        <w:rPr>
          <w:rFonts w:ascii="Times New Roman" w:hAnsi="Times New Roman" w:cs="Times New Roman"/>
        </w:rPr>
        <w:t xml:space="preserve">incomes, which </w:t>
      </w:r>
      <w:proofErr w:type="gramStart"/>
      <w:r w:rsidR="0001419E" w:rsidRPr="00A31903">
        <w:rPr>
          <w:rFonts w:ascii="Times New Roman" w:hAnsi="Times New Roman" w:cs="Times New Roman"/>
        </w:rPr>
        <w:t xml:space="preserve">are normally </w:t>
      </w:r>
      <w:r w:rsidR="00543B1D" w:rsidRPr="00A31903">
        <w:rPr>
          <w:rFonts w:ascii="Times New Roman" w:hAnsi="Times New Roman" w:cs="Times New Roman"/>
        </w:rPr>
        <w:t>employed</w:t>
      </w:r>
      <w:proofErr w:type="gramEnd"/>
      <w:r w:rsidR="00543B1D" w:rsidRPr="00A31903">
        <w:rPr>
          <w:rFonts w:ascii="Times New Roman" w:hAnsi="Times New Roman" w:cs="Times New Roman"/>
        </w:rPr>
        <w:t xml:space="preserve"> in those</w:t>
      </w:r>
      <w:r w:rsidR="0001419E" w:rsidRPr="00A31903">
        <w:rPr>
          <w:rFonts w:ascii="Times New Roman" w:hAnsi="Times New Roman" w:cs="Times New Roman"/>
        </w:rPr>
        <w:t xml:space="preserve"> estimation</w:t>
      </w:r>
      <w:r w:rsidR="00543B1D" w:rsidRPr="00A31903">
        <w:rPr>
          <w:rFonts w:ascii="Times New Roman" w:hAnsi="Times New Roman" w:cs="Times New Roman"/>
        </w:rPr>
        <w:t>s</w:t>
      </w:r>
      <w:r w:rsidR="0001419E" w:rsidRPr="00A31903">
        <w:rPr>
          <w:rFonts w:ascii="Times New Roman" w:hAnsi="Times New Roman" w:cs="Times New Roman"/>
        </w:rPr>
        <w:t>,</w:t>
      </w:r>
      <w:r w:rsidR="00BE1F73" w:rsidRPr="00A31903">
        <w:rPr>
          <w:rFonts w:ascii="Times New Roman" w:hAnsi="Times New Roman" w:cs="Times New Roman"/>
        </w:rPr>
        <w:t xml:space="preserve"> are</w:t>
      </w:r>
      <w:r w:rsidR="002D7577" w:rsidRPr="00A31903">
        <w:rPr>
          <w:rFonts w:ascii="Times New Roman" w:hAnsi="Times New Roman" w:cs="Times New Roman"/>
        </w:rPr>
        <w:t xml:space="preserve"> </w:t>
      </w:r>
      <w:r w:rsidR="004A230C" w:rsidRPr="00A31903">
        <w:rPr>
          <w:rFonts w:ascii="Times New Roman" w:hAnsi="Times New Roman" w:cs="Times New Roman"/>
        </w:rPr>
        <w:t>rough</w:t>
      </w:r>
      <w:r w:rsidR="002D7577" w:rsidRPr="00A31903">
        <w:rPr>
          <w:rFonts w:ascii="Times New Roman" w:hAnsi="Times New Roman" w:cs="Times New Roman"/>
        </w:rPr>
        <w:t xml:space="preserve"> </w:t>
      </w:r>
      <w:r w:rsidR="004A230C" w:rsidRPr="00A31903">
        <w:rPr>
          <w:rFonts w:ascii="Times New Roman" w:hAnsi="Times New Roman" w:cs="Times New Roman"/>
        </w:rPr>
        <w:t>estimates</w:t>
      </w:r>
      <w:r w:rsidR="00BE1F73" w:rsidRPr="00A31903">
        <w:rPr>
          <w:rFonts w:ascii="Times New Roman" w:hAnsi="Times New Roman" w:cs="Times New Roman"/>
        </w:rPr>
        <w:t xml:space="preserve"> and tax information is often extracted from</w:t>
      </w:r>
      <w:r w:rsidR="002D7577" w:rsidRPr="00A31903">
        <w:rPr>
          <w:rFonts w:ascii="Times New Roman" w:hAnsi="Times New Roman" w:cs="Times New Roman"/>
        </w:rPr>
        <w:t xml:space="preserve"> </w:t>
      </w:r>
      <w:r w:rsidR="004A230C" w:rsidRPr="00A31903">
        <w:rPr>
          <w:rFonts w:ascii="Times New Roman" w:hAnsi="Times New Roman" w:cs="Times New Roman"/>
        </w:rPr>
        <w:t>widely</w:t>
      </w:r>
      <w:r w:rsidR="002D7577" w:rsidRPr="00A31903">
        <w:rPr>
          <w:rFonts w:ascii="Times New Roman" w:hAnsi="Times New Roman" w:cs="Times New Roman"/>
        </w:rPr>
        <w:t xml:space="preserve"> differing </w:t>
      </w:r>
      <w:r w:rsidR="005A6FB5" w:rsidRPr="00A31903">
        <w:rPr>
          <w:rFonts w:ascii="Times New Roman" w:hAnsi="Times New Roman" w:cs="Times New Roman"/>
        </w:rPr>
        <w:t>p</w:t>
      </w:r>
      <w:r w:rsidR="002D7577" w:rsidRPr="00A31903">
        <w:rPr>
          <w:rFonts w:ascii="Times New Roman" w:hAnsi="Times New Roman" w:cs="Times New Roman"/>
        </w:rPr>
        <w:t xml:space="preserve">ractices across </w:t>
      </w:r>
      <w:r w:rsidR="0001419E" w:rsidRPr="00A31903">
        <w:rPr>
          <w:rFonts w:ascii="Times New Roman" w:hAnsi="Times New Roman" w:cs="Times New Roman"/>
        </w:rPr>
        <w:t>countries, which</w:t>
      </w:r>
      <w:r w:rsidR="002D7577" w:rsidRPr="00A31903">
        <w:rPr>
          <w:rFonts w:ascii="Times New Roman" w:hAnsi="Times New Roman" w:cs="Times New Roman"/>
        </w:rPr>
        <w:t xml:space="preserve"> cannot satisfactorily be placed on a comparable basis. </w:t>
      </w:r>
    </w:p>
    <w:p w:rsidR="002501B3" w:rsidRPr="00A31903" w:rsidRDefault="00BE3B43" w:rsidP="002C057D">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4D08FF" w:rsidRPr="00A31903">
        <w:rPr>
          <w:rFonts w:ascii="Times New Roman" w:hAnsi="Times New Roman" w:cs="Times New Roman"/>
        </w:rPr>
        <w:t>Further</w:t>
      </w:r>
      <w:r w:rsidR="002501B3" w:rsidRPr="00A31903">
        <w:rPr>
          <w:rFonts w:ascii="Times New Roman" w:hAnsi="Times New Roman" w:cs="Times New Roman"/>
        </w:rPr>
        <w:t xml:space="preserve">, the uniqueness and timing of the pre-tax reform and post-tax reform dispensations with an intervening political </w:t>
      </w:r>
      <w:r w:rsidR="00CA0898" w:rsidRPr="00A31903">
        <w:rPr>
          <w:rFonts w:ascii="Times New Roman" w:hAnsi="Times New Roman" w:cs="Times New Roman"/>
        </w:rPr>
        <w:t>instability of 1981</w:t>
      </w:r>
      <w:r w:rsidR="00FD2855" w:rsidRPr="00A31903">
        <w:rPr>
          <w:rFonts w:ascii="Times New Roman" w:hAnsi="Times New Roman" w:cs="Times New Roman"/>
        </w:rPr>
        <w:t xml:space="preserve"> motivates</w:t>
      </w:r>
      <w:r w:rsidR="002501B3" w:rsidRPr="00A31903">
        <w:rPr>
          <w:rFonts w:ascii="Times New Roman" w:hAnsi="Times New Roman" w:cs="Times New Roman"/>
        </w:rPr>
        <w:t xml:space="preserve"> the choice of Ghana for study. </w:t>
      </w:r>
      <w:r w:rsidR="00454209" w:rsidRPr="00A31903">
        <w:rPr>
          <w:rFonts w:ascii="Times New Roman" w:hAnsi="Times New Roman" w:cs="Times New Roman"/>
        </w:rPr>
        <w:t>The study</w:t>
      </w:r>
      <w:r w:rsidR="00FD2855" w:rsidRPr="00A31903">
        <w:rPr>
          <w:rFonts w:ascii="Times New Roman" w:hAnsi="Times New Roman" w:cs="Times New Roman"/>
          <w:color w:val="FF0000"/>
        </w:rPr>
        <w:t xml:space="preserve"> </w:t>
      </w:r>
      <w:r w:rsidR="00FD2855" w:rsidRPr="00A31903">
        <w:rPr>
          <w:rFonts w:ascii="Times New Roman" w:hAnsi="Times New Roman" w:cs="Times New Roman"/>
        </w:rPr>
        <w:t>w</w:t>
      </w:r>
      <w:r w:rsidR="00454209" w:rsidRPr="00A31903">
        <w:rPr>
          <w:rFonts w:ascii="Times New Roman" w:hAnsi="Times New Roman" w:cs="Times New Roman"/>
        </w:rPr>
        <w:t>ould make a comparison of the pre-tax reform and post-tax reform periods</w:t>
      </w:r>
      <w:r w:rsidR="000F4C43" w:rsidRPr="00A31903">
        <w:rPr>
          <w:rFonts w:ascii="Times New Roman" w:hAnsi="Times New Roman" w:cs="Times New Roman"/>
        </w:rPr>
        <w:t xml:space="preserve"> for tax policy decision making.</w:t>
      </w:r>
    </w:p>
    <w:p w:rsidR="00EA0A57" w:rsidRPr="00A31903" w:rsidRDefault="002501B3" w:rsidP="002C057D">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BE3B43" w:rsidRPr="00A31903">
        <w:rPr>
          <w:rFonts w:ascii="Times New Roman" w:hAnsi="Times New Roman" w:cs="Times New Roman"/>
        </w:rPr>
        <w:t xml:space="preserve"> </w:t>
      </w:r>
      <w:r w:rsidR="00B51EEA" w:rsidRPr="00A31903">
        <w:rPr>
          <w:rFonts w:ascii="Times New Roman" w:hAnsi="Times New Roman" w:cs="Times New Roman"/>
        </w:rPr>
        <w:t xml:space="preserve">Finally, </w:t>
      </w:r>
      <w:r w:rsidR="00066B80" w:rsidRPr="00A31903">
        <w:rPr>
          <w:rFonts w:ascii="Times New Roman" w:hAnsi="Times New Roman" w:cs="Times New Roman"/>
        </w:rPr>
        <w:t>the</w:t>
      </w:r>
      <w:r w:rsidR="00B51EEA" w:rsidRPr="00A31903">
        <w:rPr>
          <w:rFonts w:ascii="Times New Roman" w:hAnsi="Times New Roman" w:cs="Times New Roman"/>
        </w:rPr>
        <w:t>re is</w:t>
      </w:r>
      <w:r w:rsidR="00066B80" w:rsidRPr="00A31903">
        <w:rPr>
          <w:rFonts w:ascii="Times New Roman" w:hAnsi="Times New Roman" w:cs="Times New Roman"/>
        </w:rPr>
        <w:t xml:space="preserve"> </w:t>
      </w:r>
      <w:r w:rsidR="00B51EEA" w:rsidRPr="00A31903">
        <w:rPr>
          <w:rFonts w:ascii="Times New Roman" w:hAnsi="Times New Roman" w:cs="Times New Roman"/>
        </w:rPr>
        <w:t xml:space="preserve">the </w:t>
      </w:r>
      <w:r w:rsidR="00066B80" w:rsidRPr="00A31903">
        <w:rPr>
          <w:rFonts w:ascii="Times New Roman" w:hAnsi="Times New Roman" w:cs="Times New Roman"/>
        </w:rPr>
        <w:t xml:space="preserve">perennial effect of socio-economic factors such as the increasing budget deficits, public outcry over high and many different types of taxes, perceived </w:t>
      </w:r>
      <w:r w:rsidR="009F35B8" w:rsidRPr="00A31903">
        <w:rPr>
          <w:rFonts w:ascii="Times New Roman" w:hAnsi="Times New Roman" w:cs="Times New Roman"/>
        </w:rPr>
        <w:t xml:space="preserve">tax </w:t>
      </w:r>
      <w:r w:rsidR="00066B80" w:rsidRPr="00A31903">
        <w:rPr>
          <w:rFonts w:ascii="Times New Roman" w:hAnsi="Times New Roman" w:cs="Times New Roman"/>
        </w:rPr>
        <w:t>unfairness, high levels of tax evasion, high levels of public debt and corruption</w:t>
      </w:r>
      <w:r w:rsidR="00B51EEA" w:rsidRPr="00A31903">
        <w:rPr>
          <w:rFonts w:ascii="Times New Roman" w:hAnsi="Times New Roman" w:cs="Times New Roman"/>
        </w:rPr>
        <w:t>.</w:t>
      </w:r>
      <w:r w:rsidR="00066B80" w:rsidRPr="00A31903">
        <w:rPr>
          <w:rFonts w:ascii="Times New Roman" w:hAnsi="Times New Roman" w:cs="Times New Roman"/>
        </w:rPr>
        <w:t xml:space="preserve">  </w:t>
      </w:r>
    </w:p>
    <w:p w:rsidR="002C057D" w:rsidRPr="00A31903" w:rsidRDefault="00EA0A57" w:rsidP="002C057D">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B51EEA" w:rsidRPr="00A31903">
        <w:rPr>
          <w:rFonts w:ascii="Times New Roman" w:hAnsi="Times New Roman" w:cs="Times New Roman"/>
        </w:rPr>
        <w:t xml:space="preserve">Therefore, </w:t>
      </w:r>
      <w:r w:rsidR="00066B80" w:rsidRPr="00A31903">
        <w:rPr>
          <w:rFonts w:ascii="Times New Roman" w:hAnsi="Times New Roman" w:cs="Times New Roman"/>
        </w:rPr>
        <w:t>t</w:t>
      </w:r>
      <w:r w:rsidR="002C057D" w:rsidRPr="00A31903">
        <w:rPr>
          <w:rFonts w:ascii="Times New Roman" w:hAnsi="Times New Roman" w:cs="Times New Roman"/>
        </w:rPr>
        <w:t xml:space="preserve">here </w:t>
      </w:r>
      <w:r w:rsidR="00B51EEA" w:rsidRPr="00A31903">
        <w:rPr>
          <w:rFonts w:ascii="Times New Roman" w:hAnsi="Times New Roman" w:cs="Times New Roman"/>
          <w:noProof/>
        </w:rPr>
        <w:t>is</w:t>
      </w:r>
      <w:r w:rsidR="002C057D" w:rsidRPr="00A31903">
        <w:rPr>
          <w:rFonts w:ascii="Times New Roman" w:hAnsi="Times New Roman" w:cs="Times New Roman"/>
        </w:rPr>
        <w:t xml:space="preserve"> the need to examine the </w:t>
      </w:r>
      <w:r w:rsidRPr="00A31903">
        <w:rPr>
          <w:rFonts w:ascii="Times New Roman" w:hAnsi="Times New Roman" w:cs="Times New Roman"/>
        </w:rPr>
        <w:t>determinants of</w:t>
      </w:r>
      <w:r w:rsidR="002C057D" w:rsidRPr="00A31903">
        <w:rPr>
          <w:rFonts w:ascii="Times New Roman" w:hAnsi="Times New Roman" w:cs="Times New Roman"/>
        </w:rPr>
        <w:t xml:space="preserve"> </w:t>
      </w:r>
      <w:r w:rsidR="00FD2855" w:rsidRPr="00A31903">
        <w:rPr>
          <w:rFonts w:ascii="Times New Roman" w:hAnsi="Times New Roman" w:cs="Times New Roman"/>
        </w:rPr>
        <w:t>taxable capacity, tax effort and tax burden</w:t>
      </w:r>
      <w:r w:rsidR="002C057D" w:rsidRPr="00A31903">
        <w:rPr>
          <w:rFonts w:ascii="Times New Roman" w:hAnsi="Times New Roman" w:cs="Times New Roman"/>
        </w:rPr>
        <w:t xml:space="preserve">, </w:t>
      </w:r>
      <w:r w:rsidR="00BE48C5" w:rsidRPr="00A31903">
        <w:rPr>
          <w:rFonts w:ascii="Times New Roman" w:hAnsi="Times New Roman" w:cs="Times New Roman"/>
        </w:rPr>
        <w:t>and</w:t>
      </w:r>
      <w:r w:rsidR="002501B3" w:rsidRPr="00A31903">
        <w:rPr>
          <w:rFonts w:ascii="Times New Roman" w:hAnsi="Times New Roman" w:cs="Times New Roman"/>
        </w:rPr>
        <w:t xml:space="preserve"> </w:t>
      </w:r>
      <w:r w:rsidR="00B51EEA" w:rsidRPr="00A31903">
        <w:rPr>
          <w:rFonts w:ascii="Times New Roman" w:hAnsi="Times New Roman" w:cs="Times New Roman"/>
        </w:rPr>
        <w:t>to compute</w:t>
      </w:r>
      <w:r w:rsidR="00FD2855" w:rsidRPr="00A31903">
        <w:rPr>
          <w:rFonts w:ascii="Times New Roman" w:hAnsi="Times New Roman" w:cs="Times New Roman"/>
        </w:rPr>
        <w:t xml:space="preserve"> them quantitatively</w:t>
      </w:r>
      <w:r w:rsidR="002D77B0" w:rsidRPr="00A31903">
        <w:rPr>
          <w:rFonts w:ascii="Times New Roman" w:hAnsi="Times New Roman" w:cs="Times New Roman"/>
        </w:rPr>
        <w:t>,</w:t>
      </w:r>
      <w:r w:rsidR="00FD2855" w:rsidRPr="00A31903">
        <w:rPr>
          <w:rFonts w:ascii="Times New Roman" w:hAnsi="Times New Roman" w:cs="Times New Roman"/>
        </w:rPr>
        <w:t xml:space="preserve"> </w:t>
      </w:r>
      <w:r w:rsidR="002D77B0" w:rsidRPr="00A31903">
        <w:rPr>
          <w:rFonts w:ascii="Times New Roman" w:hAnsi="Times New Roman" w:cs="Times New Roman"/>
        </w:rPr>
        <w:t>to</w:t>
      </w:r>
      <w:r w:rsidR="00CA0898" w:rsidRPr="00A31903">
        <w:rPr>
          <w:rFonts w:ascii="Times New Roman" w:hAnsi="Times New Roman" w:cs="Times New Roman"/>
        </w:rPr>
        <w:t xml:space="preserve"> </w:t>
      </w:r>
      <w:r w:rsidR="002501B3" w:rsidRPr="00A31903">
        <w:rPr>
          <w:rFonts w:ascii="Times New Roman" w:hAnsi="Times New Roman" w:cs="Times New Roman"/>
        </w:rPr>
        <w:t>provide insight</w:t>
      </w:r>
      <w:r w:rsidR="00BE3B43" w:rsidRPr="00A31903">
        <w:rPr>
          <w:rFonts w:ascii="Times New Roman" w:hAnsi="Times New Roman" w:cs="Times New Roman"/>
        </w:rPr>
        <w:t>s</w:t>
      </w:r>
      <w:r w:rsidR="002501B3" w:rsidRPr="00A31903">
        <w:rPr>
          <w:rFonts w:ascii="Times New Roman" w:hAnsi="Times New Roman" w:cs="Times New Roman"/>
        </w:rPr>
        <w:t xml:space="preserve"> </w:t>
      </w:r>
      <w:r w:rsidR="00F82295" w:rsidRPr="00A31903">
        <w:rPr>
          <w:rFonts w:ascii="Times New Roman" w:hAnsi="Times New Roman" w:cs="Times New Roman"/>
        </w:rPr>
        <w:t>in addressing tax fairness perceptions</w:t>
      </w:r>
      <w:r w:rsidR="00B51EEA" w:rsidRPr="00A31903">
        <w:rPr>
          <w:rFonts w:ascii="Times New Roman" w:hAnsi="Times New Roman" w:cs="Times New Roman"/>
        </w:rPr>
        <w:t xml:space="preserve"> and </w:t>
      </w:r>
      <w:proofErr w:type="gramStart"/>
      <w:r w:rsidR="00B51EEA" w:rsidRPr="00A31903">
        <w:rPr>
          <w:rFonts w:ascii="Times New Roman" w:hAnsi="Times New Roman" w:cs="Times New Roman"/>
        </w:rPr>
        <w:t>tax administration</w:t>
      </w:r>
      <w:r w:rsidR="00F82295" w:rsidRPr="00A31903">
        <w:rPr>
          <w:rFonts w:ascii="Times New Roman" w:hAnsi="Times New Roman" w:cs="Times New Roman"/>
        </w:rPr>
        <w:t xml:space="preserve"> </w:t>
      </w:r>
      <w:r w:rsidR="005C75E6" w:rsidRPr="00A31903">
        <w:rPr>
          <w:rFonts w:ascii="Times New Roman" w:hAnsi="Times New Roman" w:cs="Times New Roman"/>
        </w:rPr>
        <w:t xml:space="preserve">efficiency </w:t>
      </w:r>
      <w:r w:rsidR="00BE3B43" w:rsidRPr="00A31903">
        <w:rPr>
          <w:rFonts w:ascii="Times New Roman" w:hAnsi="Times New Roman" w:cs="Times New Roman"/>
        </w:rPr>
        <w:t>challenges</w:t>
      </w:r>
      <w:proofErr w:type="gramEnd"/>
      <w:r w:rsidR="00BE3B43" w:rsidRPr="00A31903">
        <w:rPr>
          <w:rFonts w:ascii="Times New Roman" w:hAnsi="Times New Roman" w:cs="Times New Roman"/>
        </w:rPr>
        <w:t>.</w:t>
      </w:r>
      <w:r w:rsidR="0081117A" w:rsidRPr="00A31903">
        <w:rPr>
          <w:rFonts w:ascii="Times New Roman" w:hAnsi="Times New Roman" w:cs="Times New Roman"/>
        </w:rPr>
        <w:t xml:space="preserve"> </w:t>
      </w:r>
      <w:r w:rsidR="002C057D" w:rsidRPr="00A31903">
        <w:rPr>
          <w:rFonts w:ascii="Times New Roman" w:hAnsi="Times New Roman" w:cs="Times New Roman"/>
        </w:rPr>
        <w:t xml:space="preserve">It is therefore </w:t>
      </w:r>
      <w:r w:rsidR="002C057D" w:rsidRPr="00A31903">
        <w:rPr>
          <w:rFonts w:ascii="Times New Roman" w:hAnsi="Times New Roman" w:cs="Times New Roman"/>
          <w:noProof/>
        </w:rPr>
        <w:t>hypothesized</w:t>
      </w:r>
      <w:r w:rsidR="002C057D" w:rsidRPr="00A31903">
        <w:rPr>
          <w:rFonts w:ascii="Times New Roman" w:hAnsi="Times New Roman" w:cs="Times New Roman"/>
        </w:rPr>
        <w:t xml:space="preserve"> that: </w:t>
      </w:r>
    </w:p>
    <w:p w:rsidR="003D0047" w:rsidRPr="00A31903" w:rsidRDefault="003D0047" w:rsidP="002C057D">
      <w:pPr>
        <w:autoSpaceDE w:val="0"/>
        <w:autoSpaceDN w:val="0"/>
        <w:adjustRightInd w:val="0"/>
        <w:spacing w:after="0" w:line="240" w:lineRule="auto"/>
        <w:jc w:val="both"/>
        <w:rPr>
          <w:rFonts w:ascii="Times New Roman" w:hAnsi="Times New Roman" w:cs="Times New Roman"/>
        </w:rPr>
      </w:pPr>
    </w:p>
    <w:p w:rsidR="002C057D" w:rsidRPr="00A31903" w:rsidRDefault="00AE17D7" w:rsidP="003D0047">
      <w:pPr>
        <w:autoSpaceDE w:val="0"/>
        <w:autoSpaceDN w:val="0"/>
        <w:adjustRightInd w:val="0"/>
        <w:spacing w:after="0" w:line="480" w:lineRule="auto"/>
        <w:jc w:val="both"/>
        <w:rPr>
          <w:rFonts w:ascii="Times New Roman" w:hAnsi="Times New Roman" w:cs="Times New Roman"/>
        </w:rPr>
      </w:pPr>
      <w:r w:rsidRPr="00A31903">
        <w:rPr>
          <w:rFonts w:ascii="Times New Roman" w:hAnsi="Times New Roman" w:cs="Times New Roman"/>
        </w:rPr>
        <w:t xml:space="preserve"> </w:t>
      </w:r>
      <w:r w:rsidRPr="00A31903">
        <w:rPr>
          <w:rFonts w:ascii="Times New Roman" w:hAnsi="Times New Roman" w:cs="Times New Roman"/>
          <w:i/>
        </w:rPr>
        <w:t>H</w:t>
      </w:r>
      <w:r w:rsidRPr="00A31903">
        <w:rPr>
          <w:rFonts w:ascii="Times New Roman" w:hAnsi="Times New Roman" w:cs="Times New Roman"/>
          <w:i/>
          <w:vertAlign w:val="subscript"/>
        </w:rPr>
        <w:t>1</w:t>
      </w:r>
      <w:r w:rsidRPr="00A31903">
        <w:rPr>
          <w:rFonts w:ascii="Times New Roman" w:hAnsi="Times New Roman" w:cs="Times New Roman"/>
        </w:rPr>
        <w:t xml:space="preserve">. </w:t>
      </w:r>
      <w:r w:rsidR="002C057D" w:rsidRPr="00A31903">
        <w:rPr>
          <w:rFonts w:ascii="Times New Roman" w:hAnsi="Times New Roman" w:cs="Times New Roman"/>
        </w:rPr>
        <w:t xml:space="preserve">The </w:t>
      </w:r>
      <w:r w:rsidR="00792FBD" w:rsidRPr="00A31903">
        <w:rPr>
          <w:rFonts w:ascii="Times New Roman" w:hAnsi="Times New Roman" w:cs="Times New Roman"/>
        </w:rPr>
        <w:t>taxable capacity (</w:t>
      </w:r>
      <w:r w:rsidR="002C057D" w:rsidRPr="00A31903">
        <w:rPr>
          <w:rFonts w:ascii="Times New Roman" w:hAnsi="Times New Roman" w:cs="Times New Roman"/>
        </w:rPr>
        <w:t>tax potential</w:t>
      </w:r>
      <w:r w:rsidR="00DA59A0" w:rsidRPr="00A31903">
        <w:rPr>
          <w:rFonts w:ascii="Times New Roman" w:hAnsi="Times New Roman" w:cs="Times New Roman"/>
        </w:rPr>
        <w:t>)</w:t>
      </w:r>
      <w:r w:rsidR="002C057D" w:rsidRPr="00A31903">
        <w:rPr>
          <w:rFonts w:ascii="Times New Roman" w:hAnsi="Times New Roman" w:cs="Times New Roman"/>
        </w:rPr>
        <w:t xml:space="preserve"> in Ghana is more than the actual tax revenue</w:t>
      </w:r>
      <w:r w:rsidRPr="00A31903">
        <w:rPr>
          <w:rFonts w:ascii="Times New Roman" w:hAnsi="Times New Roman" w:cs="Times New Roman"/>
        </w:rPr>
        <w:t>.</w:t>
      </w:r>
    </w:p>
    <w:p w:rsidR="00BE1F73" w:rsidRPr="00A31903" w:rsidRDefault="00AE17D7" w:rsidP="003D0047">
      <w:pPr>
        <w:autoSpaceDE w:val="0"/>
        <w:autoSpaceDN w:val="0"/>
        <w:adjustRightInd w:val="0"/>
        <w:spacing w:after="0" w:line="480" w:lineRule="auto"/>
        <w:jc w:val="both"/>
        <w:rPr>
          <w:rFonts w:ascii="Times New Roman" w:hAnsi="Times New Roman" w:cs="Times New Roman"/>
        </w:rPr>
      </w:pPr>
      <w:r w:rsidRPr="00A31903">
        <w:rPr>
          <w:rFonts w:ascii="Times New Roman" w:hAnsi="Times New Roman" w:cs="Times New Roman"/>
          <w:i/>
        </w:rPr>
        <w:t>H</w:t>
      </w:r>
      <w:r w:rsidRPr="00A31903">
        <w:rPr>
          <w:rFonts w:ascii="Times New Roman" w:hAnsi="Times New Roman" w:cs="Times New Roman"/>
          <w:i/>
          <w:vertAlign w:val="subscript"/>
        </w:rPr>
        <w:t>2</w:t>
      </w:r>
      <w:r w:rsidRPr="00A31903">
        <w:rPr>
          <w:rFonts w:ascii="Times New Roman" w:hAnsi="Times New Roman" w:cs="Times New Roman"/>
        </w:rPr>
        <w:t>.</w:t>
      </w:r>
      <w:r w:rsidR="001B5AE4" w:rsidRPr="00A31903">
        <w:rPr>
          <w:rFonts w:ascii="Times New Roman" w:hAnsi="Times New Roman" w:cs="Times New Roman"/>
        </w:rPr>
        <w:t xml:space="preserve"> </w:t>
      </w:r>
      <w:r w:rsidR="002C057D" w:rsidRPr="00A31903">
        <w:rPr>
          <w:rFonts w:ascii="Times New Roman" w:hAnsi="Times New Roman" w:cs="Times New Roman"/>
        </w:rPr>
        <w:t xml:space="preserve">The </w:t>
      </w:r>
      <w:r w:rsidR="00B27E5E" w:rsidRPr="00A31903">
        <w:rPr>
          <w:rFonts w:ascii="Times New Roman" w:hAnsi="Times New Roman" w:cs="Times New Roman"/>
        </w:rPr>
        <w:t xml:space="preserve">overall </w:t>
      </w:r>
      <w:r w:rsidR="00CA0898" w:rsidRPr="00A31903">
        <w:rPr>
          <w:rFonts w:ascii="Times New Roman" w:hAnsi="Times New Roman" w:cs="Times New Roman"/>
        </w:rPr>
        <w:t>tax burden</w:t>
      </w:r>
      <w:r w:rsidR="002C057D" w:rsidRPr="00A31903">
        <w:rPr>
          <w:rFonts w:ascii="Times New Roman" w:hAnsi="Times New Roman" w:cs="Times New Roman"/>
        </w:rPr>
        <w:t xml:space="preserve"> in Ghana is high. </w:t>
      </w:r>
    </w:p>
    <w:p w:rsidR="000F4C43" w:rsidRPr="00A31903" w:rsidRDefault="000F4C43" w:rsidP="009B175A">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color w:val="000000"/>
        </w:rPr>
        <w:lastRenderedPageBreak/>
        <w:t>In this study, t</w:t>
      </w:r>
      <w:r w:rsidRPr="00A31903">
        <w:rPr>
          <w:rFonts w:ascii="Times New Roman" w:hAnsi="Times New Roman" w:cs="Times New Roman"/>
        </w:rPr>
        <w:t xml:space="preserve">he ordinary least squares (OLS) regression </w:t>
      </w:r>
      <w:r w:rsidR="00670436" w:rsidRPr="00A31903">
        <w:rPr>
          <w:rFonts w:ascii="Times New Roman" w:hAnsi="Times New Roman" w:cs="Times New Roman"/>
        </w:rPr>
        <w:t xml:space="preserve">and vector autoregressive (VAR) </w:t>
      </w:r>
      <w:r w:rsidRPr="00A31903">
        <w:rPr>
          <w:rFonts w:ascii="Times New Roman" w:hAnsi="Times New Roman" w:cs="Times New Roman"/>
        </w:rPr>
        <w:t>model</w:t>
      </w:r>
      <w:r w:rsidR="00670436" w:rsidRPr="00A31903">
        <w:rPr>
          <w:rFonts w:ascii="Times New Roman" w:hAnsi="Times New Roman" w:cs="Times New Roman"/>
        </w:rPr>
        <w:t>s</w:t>
      </w:r>
      <w:r w:rsidRPr="00A31903">
        <w:rPr>
          <w:rFonts w:ascii="Times New Roman" w:hAnsi="Times New Roman" w:cs="Times New Roman"/>
        </w:rPr>
        <w:t xml:space="preserve"> for historical time series data sourced from the World Development Indicators (WDI) and Bank of Ghana</w:t>
      </w:r>
      <w:r w:rsidR="00EC5CD5" w:rsidRPr="00A31903">
        <w:rPr>
          <w:rFonts w:ascii="Times New Roman" w:hAnsi="Times New Roman" w:cs="Times New Roman"/>
        </w:rPr>
        <w:t xml:space="preserve"> (</w:t>
      </w:r>
      <w:proofErr w:type="spellStart"/>
      <w:r w:rsidR="00EC5CD5" w:rsidRPr="00A31903">
        <w:rPr>
          <w:rFonts w:ascii="Times New Roman" w:hAnsi="Times New Roman" w:cs="Times New Roman"/>
        </w:rPr>
        <w:t>Bo</w:t>
      </w:r>
      <w:r w:rsidRPr="00A31903">
        <w:rPr>
          <w:rFonts w:ascii="Times New Roman" w:hAnsi="Times New Roman" w:cs="Times New Roman"/>
        </w:rPr>
        <w:t>G</w:t>
      </w:r>
      <w:proofErr w:type="spellEnd"/>
      <w:r w:rsidRPr="00A31903">
        <w:rPr>
          <w:rFonts w:ascii="Times New Roman" w:hAnsi="Times New Roman" w:cs="Times New Roman"/>
        </w:rPr>
        <w:t>) covering the period 1970 to 2015</w:t>
      </w:r>
      <w:r w:rsidR="00AE13A9" w:rsidRPr="00A31903">
        <w:rPr>
          <w:rFonts w:ascii="Times New Roman" w:hAnsi="Times New Roman" w:cs="Times New Roman"/>
        </w:rPr>
        <w:t xml:space="preserve"> were employed to</w:t>
      </w:r>
      <w:r w:rsidR="002B56E8" w:rsidRPr="00A31903">
        <w:rPr>
          <w:rFonts w:ascii="Times New Roman" w:hAnsi="Times New Roman" w:cs="Times New Roman"/>
        </w:rPr>
        <w:t xml:space="preserve"> </w:t>
      </w:r>
      <w:r w:rsidR="00EC5CD5" w:rsidRPr="00A31903">
        <w:rPr>
          <w:rFonts w:ascii="Times New Roman" w:hAnsi="Times New Roman" w:cs="Times New Roman"/>
        </w:rPr>
        <w:t>test the hypotheses</w:t>
      </w:r>
      <w:r w:rsidRPr="00A31903">
        <w:rPr>
          <w:rFonts w:ascii="Times New Roman" w:hAnsi="Times New Roman" w:cs="Times New Roman"/>
        </w:rPr>
        <w:t>.</w:t>
      </w:r>
    </w:p>
    <w:p w:rsidR="00724126" w:rsidRPr="00A31903" w:rsidRDefault="00EC5CD5" w:rsidP="00724126">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lang w:val="en-GB"/>
        </w:rPr>
        <w:t xml:space="preserve">     This research adds to literature by computing </w:t>
      </w:r>
      <w:r w:rsidRPr="00A31903">
        <w:rPr>
          <w:rFonts w:ascii="Times New Roman" w:hAnsi="Times New Roman" w:cs="Times New Roman"/>
        </w:rPr>
        <w:t xml:space="preserve">taxable capacity, tax effort and tax burden to assess the tax fairness perceptions </w:t>
      </w:r>
      <w:r w:rsidR="00BC72EA" w:rsidRPr="00A31903">
        <w:rPr>
          <w:rFonts w:ascii="Times New Roman" w:hAnsi="Times New Roman" w:cs="Times New Roman"/>
        </w:rPr>
        <w:t xml:space="preserve">and tax administrative efficiency </w:t>
      </w:r>
      <w:r w:rsidRPr="00A31903">
        <w:rPr>
          <w:rFonts w:ascii="Times New Roman" w:hAnsi="Times New Roman" w:cs="Times New Roman"/>
        </w:rPr>
        <w:t xml:space="preserve">of an emerging economy. </w:t>
      </w:r>
    </w:p>
    <w:p w:rsidR="00BC72EA" w:rsidRPr="00A31903" w:rsidRDefault="00724126" w:rsidP="009B175A">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A </w:t>
      </w:r>
      <w:r w:rsidRPr="00A31903">
        <w:rPr>
          <w:rFonts w:ascii="Times New Roman" w:hAnsi="Times New Roman" w:cs="Times New Roman"/>
          <w:bCs/>
        </w:rPr>
        <w:t>test of the first hypothesis revealed</w:t>
      </w:r>
      <w:r w:rsidRPr="00A31903">
        <w:rPr>
          <w:rFonts w:ascii="Times New Roman" w:hAnsi="Times New Roman" w:cs="Times New Roman"/>
        </w:rPr>
        <w:t xml:space="preserve"> </w:t>
      </w:r>
      <w:r w:rsidR="00BC72EA" w:rsidRPr="00A31903">
        <w:rPr>
          <w:rFonts w:ascii="Times New Roman" w:hAnsi="Times New Roman" w:cs="Times New Roman"/>
        </w:rPr>
        <w:t>unexploited</w:t>
      </w:r>
      <w:r w:rsidRPr="00A31903">
        <w:rPr>
          <w:rFonts w:ascii="Times New Roman" w:hAnsi="Times New Roman" w:cs="Times New Roman"/>
        </w:rPr>
        <w:t xml:space="preserve"> tax revenue potential in Ghana.</w:t>
      </w:r>
      <w:r w:rsidRPr="00A31903">
        <w:rPr>
          <w:rFonts w:ascii="Times New Roman" w:hAnsi="Times New Roman" w:cs="Times New Roman"/>
          <w:bCs/>
        </w:rPr>
        <w:t xml:space="preserve"> The second hypothesis showed that tax burden is within taxpayers’ ability to pay </w:t>
      </w:r>
      <w:r w:rsidRPr="00A31903">
        <w:rPr>
          <w:rFonts w:ascii="Times New Roman" w:hAnsi="Times New Roman" w:cs="Times New Roman"/>
        </w:rPr>
        <w:t xml:space="preserve">because of low tax efforts, an implication that the overall tax burden in Ghana is not high. </w:t>
      </w:r>
    </w:p>
    <w:p w:rsidR="00EC5CD5" w:rsidRPr="00A31903" w:rsidRDefault="00BC72EA" w:rsidP="009B175A">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724126" w:rsidRPr="00A31903">
        <w:rPr>
          <w:rFonts w:ascii="Times New Roman" w:hAnsi="Times New Roman" w:cs="Times New Roman"/>
        </w:rPr>
        <w:t>We conclude that post-tax reforms have not generated the required</w:t>
      </w:r>
      <w:r w:rsidR="002D77B0" w:rsidRPr="00A31903">
        <w:rPr>
          <w:rFonts w:ascii="Times New Roman" w:hAnsi="Times New Roman" w:cs="Times New Roman"/>
        </w:rPr>
        <w:t xml:space="preserve"> tax</w:t>
      </w:r>
      <w:r w:rsidR="00724126" w:rsidRPr="00A31903">
        <w:rPr>
          <w:rFonts w:ascii="Times New Roman" w:hAnsi="Times New Roman" w:cs="Times New Roman"/>
        </w:rPr>
        <w:t xml:space="preserve"> revenue due to low tax efforts and </w:t>
      </w:r>
      <w:r w:rsidR="00724126" w:rsidRPr="00A31903">
        <w:rPr>
          <w:rFonts w:ascii="Times New Roman" w:hAnsi="Times New Roman" w:cs="Times New Roman"/>
          <w:bCs/>
        </w:rPr>
        <w:t xml:space="preserve">the low tax burden index suggests a fair tax system. </w:t>
      </w:r>
      <w:r w:rsidR="00E15586" w:rsidRPr="00A31903">
        <w:rPr>
          <w:rFonts w:ascii="Times New Roman" w:hAnsi="Times New Roman" w:cs="Times New Roman"/>
          <w:bCs/>
        </w:rPr>
        <w:t>W</w:t>
      </w:r>
      <w:r w:rsidR="00E15586" w:rsidRPr="00A31903">
        <w:rPr>
          <w:rFonts w:ascii="Times New Roman" w:hAnsi="Times New Roman" w:cs="Times New Roman"/>
        </w:rPr>
        <w:t>e postulate that the</w:t>
      </w:r>
      <w:r w:rsidR="00EC5CD5" w:rsidRPr="00A31903">
        <w:rPr>
          <w:rFonts w:ascii="Times New Roman" w:hAnsi="Times New Roman" w:cs="Times New Roman"/>
        </w:rPr>
        <w:t xml:space="preserve"> triad terminologies move </w:t>
      </w:r>
      <w:proofErr w:type="spellStart"/>
      <w:r w:rsidR="00EC5CD5" w:rsidRPr="00A31903">
        <w:rPr>
          <w:rFonts w:ascii="Times New Roman" w:hAnsi="Times New Roman" w:cs="Times New Roman"/>
          <w:i/>
        </w:rPr>
        <w:t>pari</w:t>
      </w:r>
      <w:proofErr w:type="spellEnd"/>
      <w:r w:rsidR="00EC5CD5" w:rsidRPr="00A31903">
        <w:rPr>
          <w:rFonts w:ascii="Times New Roman" w:hAnsi="Times New Roman" w:cs="Times New Roman"/>
          <w:i/>
        </w:rPr>
        <w:t xml:space="preserve"> </w:t>
      </w:r>
      <w:proofErr w:type="spellStart"/>
      <w:r w:rsidR="00EC5CD5" w:rsidRPr="00A31903">
        <w:rPr>
          <w:rFonts w:ascii="Times New Roman" w:hAnsi="Times New Roman" w:cs="Times New Roman"/>
          <w:i/>
        </w:rPr>
        <w:t>passu</w:t>
      </w:r>
      <w:proofErr w:type="spellEnd"/>
      <w:r w:rsidR="00EC5CD5" w:rsidRPr="00A31903">
        <w:rPr>
          <w:rFonts w:ascii="Times New Roman" w:hAnsi="Times New Roman" w:cs="Times New Roman"/>
        </w:rPr>
        <w:t xml:space="preserve"> in assessing the efficiency and fairness of a country’s tax system. </w:t>
      </w:r>
    </w:p>
    <w:p w:rsidR="009B175A" w:rsidRPr="00A31903" w:rsidRDefault="00EC5CD5" w:rsidP="009B175A">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color w:val="FF0000"/>
        </w:rPr>
        <w:t xml:space="preserve">     </w:t>
      </w:r>
      <w:r w:rsidR="002B56E8" w:rsidRPr="00A31903">
        <w:rPr>
          <w:rFonts w:ascii="Times New Roman" w:hAnsi="Times New Roman" w:cs="Times New Roman"/>
        </w:rPr>
        <w:t xml:space="preserve"> The rem</w:t>
      </w:r>
      <w:r w:rsidR="001B5AE4" w:rsidRPr="00A31903">
        <w:rPr>
          <w:rFonts w:ascii="Times New Roman" w:hAnsi="Times New Roman" w:cs="Times New Roman"/>
        </w:rPr>
        <w:t>a</w:t>
      </w:r>
      <w:r w:rsidR="002B56E8" w:rsidRPr="00A31903">
        <w:rPr>
          <w:rFonts w:ascii="Times New Roman" w:hAnsi="Times New Roman" w:cs="Times New Roman"/>
        </w:rPr>
        <w:t>inder</w:t>
      </w:r>
      <w:r w:rsidR="009B175A" w:rsidRPr="00A31903">
        <w:rPr>
          <w:rFonts w:ascii="Times New Roman" w:hAnsi="Times New Roman" w:cs="Times New Roman"/>
        </w:rPr>
        <w:t xml:space="preserve"> of the paper is </w:t>
      </w:r>
      <w:r w:rsidR="00EF5C38" w:rsidRPr="00A31903">
        <w:rPr>
          <w:rFonts w:ascii="Times New Roman" w:hAnsi="Times New Roman" w:cs="Times New Roman"/>
          <w:noProof/>
        </w:rPr>
        <w:t>organis</w:t>
      </w:r>
      <w:r w:rsidR="009B175A" w:rsidRPr="00A31903">
        <w:rPr>
          <w:rFonts w:ascii="Times New Roman" w:hAnsi="Times New Roman" w:cs="Times New Roman"/>
          <w:noProof/>
        </w:rPr>
        <w:t>ed</w:t>
      </w:r>
      <w:r w:rsidR="009B175A" w:rsidRPr="00A31903">
        <w:rPr>
          <w:rFonts w:ascii="Times New Roman" w:hAnsi="Times New Roman" w:cs="Times New Roman"/>
        </w:rPr>
        <w:t xml:space="preserve"> as follows: the second section presents </w:t>
      </w:r>
      <w:r w:rsidR="00AC01BA" w:rsidRPr="00A31903">
        <w:rPr>
          <w:rFonts w:ascii="Times New Roman" w:hAnsi="Times New Roman" w:cs="Times New Roman"/>
        </w:rPr>
        <w:t xml:space="preserve">a </w:t>
      </w:r>
      <w:r w:rsidR="009B175A" w:rsidRPr="00A31903">
        <w:rPr>
          <w:rFonts w:ascii="Times New Roman" w:hAnsi="Times New Roman" w:cs="Times New Roman"/>
        </w:rPr>
        <w:t>review of related literature</w:t>
      </w:r>
      <w:r w:rsidR="002B56E8" w:rsidRPr="00A31903">
        <w:rPr>
          <w:rFonts w:ascii="Times New Roman" w:hAnsi="Times New Roman" w:cs="Times New Roman"/>
        </w:rPr>
        <w:t xml:space="preserve">. </w:t>
      </w:r>
      <w:r w:rsidR="000A6CA9" w:rsidRPr="00A31903">
        <w:rPr>
          <w:rFonts w:ascii="Times New Roman" w:hAnsi="Times New Roman" w:cs="Times New Roman"/>
        </w:rPr>
        <w:t xml:space="preserve">The third section </w:t>
      </w:r>
      <w:r w:rsidR="00AC01BA" w:rsidRPr="00A31903">
        <w:rPr>
          <w:rFonts w:ascii="Times New Roman" w:hAnsi="Times New Roman" w:cs="Times New Roman"/>
        </w:rPr>
        <w:t>presents the methods and estimation techniques</w:t>
      </w:r>
      <w:r w:rsidR="004D2A16" w:rsidRPr="00A31903">
        <w:rPr>
          <w:rFonts w:ascii="Times New Roman" w:hAnsi="Times New Roman" w:cs="Times New Roman"/>
        </w:rPr>
        <w:t>.</w:t>
      </w:r>
      <w:r w:rsidR="009B175A" w:rsidRPr="00A31903">
        <w:rPr>
          <w:rFonts w:ascii="Times New Roman" w:hAnsi="Times New Roman" w:cs="Times New Roman"/>
        </w:rPr>
        <w:t xml:space="preserve"> The fourth section discusses the </w:t>
      </w:r>
      <w:r w:rsidR="002B56E8" w:rsidRPr="00A31903">
        <w:rPr>
          <w:rFonts w:ascii="Times New Roman" w:hAnsi="Times New Roman" w:cs="Times New Roman"/>
        </w:rPr>
        <w:t xml:space="preserve">empirical </w:t>
      </w:r>
      <w:r w:rsidR="009B175A" w:rsidRPr="00A31903">
        <w:rPr>
          <w:rFonts w:ascii="Times New Roman" w:hAnsi="Times New Roman" w:cs="Times New Roman"/>
        </w:rPr>
        <w:t>findings of the study. Finally, the fifth section concludes</w:t>
      </w:r>
      <w:r w:rsidR="002B56E8" w:rsidRPr="00A31903">
        <w:rPr>
          <w:rFonts w:ascii="Times New Roman" w:hAnsi="Times New Roman" w:cs="Times New Roman"/>
        </w:rPr>
        <w:t>.</w:t>
      </w:r>
    </w:p>
    <w:p w:rsidR="00256BB6" w:rsidRPr="00A31903" w:rsidRDefault="00256BB6" w:rsidP="002D7577">
      <w:pPr>
        <w:autoSpaceDE w:val="0"/>
        <w:autoSpaceDN w:val="0"/>
        <w:adjustRightInd w:val="0"/>
        <w:spacing w:after="0" w:line="240" w:lineRule="auto"/>
        <w:jc w:val="both"/>
        <w:rPr>
          <w:rFonts w:ascii="Times New Roman" w:hAnsi="Times New Roman" w:cs="Times New Roman"/>
        </w:rPr>
      </w:pPr>
    </w:p>
    <w:p w:rsidR="002D7577" w:rsidRPr="00A31903" w:rsidRDefault="005551F9" w:rsidP="00ED18EF">
      <w:pPr>
        <w:autoSpaceDE w:val="0"/>
        <w:autoSpaceDN w:val="0"/>
        <w:adjustRightInd w:val="0"/>
        <w:spacing w:after="0" w:line="240" w:lineRule="auto"/>
        <w:jc w:val="both"/>
        <w:rPr>
          <w:rFonts w:ascii="Times New Roman" w:hAnsi="Times New Roman" w:cs="Times New Roman"/>
          <w:b/>
        </w:rPr>
      </w:pPr>
      <w:r w:rsidRPr="00A31903">
        <w:rPr>
          <w:rFonts w:ascii="Times New Roman" w:hAnsi="Times New Roman" w:cs="Times New Roman"/>
          <w:b/>
        </w:rPr>
        <w:t>2</w:t>
      </w:r>
      <w:r w:rsidR="00256BB6" w:rsidRPr="00A31903">
        <w:rPr>
          <w:rFonts w:ascii="Times New Roman" w:hAnsi="Times New Roman" w:cs="Times New Roman"/>
          <w:b/>
        </w:rPr>
        <w:t xml:space="preserve">. </w:t>
      </w:r>
      <w:r w:rsidR="001B4FA2" w:rsidRPr="00A31903">
        <w:rPr>
          <w:rFonts w:ascii="Times New Roman" w:hAnsi="Times New Roman" w:cs="Times New Roman"/>
          <w:b/>
        </w:rPr>
        <w:t>LITERATURE REVIEW</w:t>
      </w:r>
    </w:p>
    <w:p w:rsidR="00AE17D7" w:rsidRPr="00A31903" w:rsidRDefault="00A70F72" w:rsidP="00ED18EF">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T</w:t>
      </w:r>
      <w:r w:rsidR="00AE66A0" w:rsidRPr="00A31903">
        <w:rPr>
          <w:rFonts w:ascii="Times New Roman" w:hAnsi="Times New Roman" w:cs="Times New Roman"/>
        </w:rPr>
        <w:t>his section</w:t>
      </w:r>
      <w:r w:rsidR="00FE5D74" w:rsidRPr="00A31903">
        <w:rPr>
          <w:rFonts w:ascii="Times New Roman" w:hAnsi="Times New Roman" w:cs="Times New Roman"/>
        </w:rPr>
        <w:t xml:space="preserve"> </w:t>
      </w:r>
      <w:r w:rsidRPr="00A31903">
        <w:rPr>
          <w:rFonts w:ascii="Times New Roman" w:hAnsi="Times New Roman" w:cs="Times New Roman"/>
        </w:rPr>
        <w:t>discusses key concepts</w:t>
      </w:r>
      <w:r w:rsidR="003B0907" w:rsidRPr="00A31903">
        <w:rPr>
          <w:rFonts w:ascii="Times New Roman" w:hAnsi="Times New Roman" w:cs="Times New Roman"/>
        </w:rPr>
        <w:t xml:space="preserve"> of taxable capacity, tax burden and tax </w:t>
      </w:r>
      <w:r w:rsidR="00A831E2" w:rsidRPr="00A31903">
        <w:rPr>
          <w:rFonts w:ascii="Times New Roman" w:hAnsi="Times New Roman" w:cs="Times New Roman"/>
        </w:rPr>
        <w:t>effort and the factors influe</w:t>
      </w:r>
      <w:r w:rsidR="00D812B7" w:rsidRPr="00A31903">
        <w:rPr>
          <w:rFonts w:ascii="Times New Roman" w:hAnsi="Times New Roman" w:cs="Times New Roman"/>
        </w:rPr>
        <w:t>n</w:t>
      </w:r>
      <w:r w:rsidR="00A831E2" w:rsidRPr="00A31903">
        <w:rPr>
          <w:rFonts w:ascii="Times New Roman" w:hAnsi="Times New Roman" w:cs="Times New Roman"/>
        </w:rPr>
        <w:t>cing</w:t>
      </w:r>
      <w:r w:rsidR="003B0907" w:rsidRPr="00A31903">
        <w:rPr>
          <w:rFonts w:ascii="Times New Roman" w:hAnsi="Times New Roman" w:cs="Times New Roman"/>
        </w:rPr>
        <w:t xml:space="preserve"> them.</w:t>
      </w:r>
      <w:r w:rsidR="00643B58" w:rsidRPr="00A31903">
        <w:rPr>
          <w:rFonts w:ascii="Times New Roman" w:hAnsi="Times New Roman" w:cs="Times New Roman"/>
        </w:rPr>
        <w:t xml:space="preserve"> </w:t>
      </w:r>
    </w:p>
    <w:p w:rsidR="005E3906" w:rsidRPr="00A31903" w:rsidRDefault="005E3906" w:rsidP="00ED18EF">
      <w:pPr>
        <w:autoSpaceDE w:val="0"/>
        <w:autoSpaceDN w:val="0"/>
        <w:adjustRightInd w:val="0"/>
        <w:spacing w:after="0" w:line="240" w:lineRule="auto"/>
        <w:jc w:val="both"/>
        <w:rPr>
          <w:rFonts w:ascii="Times New Roman" w:hAnsi="Times New Roman" w:cs="Times New Roman"/>
        </w:rPr>
      </w:pPr>
    </w:p>
    <w:p w:rsidR="00E55F06" w:rsidRPr="00A31903" w:rsidRDefault="00AE66A0" w:rsidP="005E3906">
      <w:pPr>
        <w:pStyle w:val="ListParagraph"/>
        <w:numPr>
          <w:ilvl w:val="1"/>
          <w:numId w:val="14"/>
        </w:numPr>
        <w:autoSpaceDE w:val="0"/>
        <w:autoSpaceDN w:val="0"/>
        <w:adjustRightInd w:val="0"/>
        <w:spacing w:after="0" w:line="240" w:lineRule="auto"/>
        <w:jc w:val="both"/>
        <w:rPr>
          <w:rFonts w:ascii="Times New Roman" w:hAnsi="Times New Roman" w:cs="Times New Roman"/>
          <w:b/>
          <w:i/>
        </w:rPr>
      </w:pPr>
      <w:r w:rsidRPr="00A31903">
        <w:rPr>
          <w:rFonts w:ascii="Times New Roman" w:hAnsi="Times New Roman" w:cs="Times New Roman"/>
          <w:b/>
          <w:i/>
        </w:rPr>
        <w:t>Taxable capacity</w:t>
      </w:r>
    </w:p>
    <w:p w:rsidR="008E2743" w:rsidRPr="00A31903" w:rsidRDefault="00AE17D7" w:rsidP="008E2743">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AE3F49" w:rsidRPr="00A31903">
        <w:rPr>
          <w:rFonts w:ascii="Times New Roman" w:hAnsi="Times New Roman" w:cs="Times New Roman"/>
        </w:rPr>
        <w:t xml:space="preserve"> </w:t>
      </w:r>
      <w:r w:rsidR="0000593C" w:rsidRPr="00A31903">
        <w:rPr>
          <w:rFonts w:ascii="Times New Roman" w:hAnsi="Times New Roman" w:cs="Times New Roman"/>
        </w:rPr>
        <w:t xml:space="preserve">Taxable capacity is a dicey and elusive concept </w:t>
      </w:r>
      <w:r w:rsidR="008A1906" w:rsidRPr="00A31903">
        <w:rPr>
          <w:rFonts w:ascii="Times New Roman" w:hAnsi="Times New Roman" w:cs="Times New Roman"/>
        </w:rPr>
        <w:t>(</w:t>
      </w:r>
      <w:proofErr w:type="spellStart"/>
      <w:r w:rsidR="008A1906" w:rsidRPr="00A31903">
        <w:rPr>
          <w:rFonts w:ascii="Times New Roman" w:hAnsi="Times New Roman" w:cs="Times New Roman"/>
        </w:rPr>
        <w:t>Mirrlees</w:t>
      </w:r>
      <w:proofErr w:type="spellEnd"/>
      <w:r w:rsidR="008A1906" w:rsidRPr="00A31903">
        <w:rPr>
          <w:rFonts w:ascii="Times New Roman" w:hAnsi="Times New Roman" w:cs="Times New Roman"/>
        </w:rPr>
        <w:t xml:space="preserve">, 2010) and </w:t>
      </w:r>
      <w:r w:rsidR="00007189" w:rsidRPr="00A31903">
        <w:rPr>
          <w:rFonts w:ascii="Times New Roman" w:hAnsi="Times New Roman" w:cs="Times New Roman"/>
        </w:rPr>
        <w:t>diffic</w:t>
      </w:r>
      <w:r w:rsidR="00A21F2D" w:rsidRPr="00A31903">
        <w:rPr>
          <w:rFonts w:ascii="Times New Roman" w:hAnsi="Times New Roman" w:cs="Times New Roman"/>
        </w:rPr>
        <w:t>ult to define because</w:t>
      </w:r>
      <w:r w:rsidR="00E10B7A" w:rsidRPr="00A31903">
        <w:rPr>
          <w:rFonts w:ascii="Times New Roman" w:hAnsi="Times New Roman" w:cs="Times New Roman"/>
        </w:rPr>
        <w:t xml:space="preserve"> opinions</w:t>
      </w:r>
      <w:r w:rsidR="008A1906" w:rsidRPr="00A31903">
        <w:rPr>
          <w:rFonts w:ascii="Times New Roman" w:hAnsi="Times New Roman" w:cs="Times New Roman"/>
        </w:rPr>
        <w:t xml:space="preserve"> differ widely at different times and in different contexts (</w:t>
      </w:r>
      <w:proofErr w:type="spellStart"/>
      <w:r w:rsidR="005A6FB5" w:rsidRPr="00A31903">
        <w:rPr>
          <w:rFonts w:ascii="Times New Roman" w:hAnsi="Times New Roman" w:cs="Times New Roman"/>
        </w:rPr>
        <w:t>Toye</w:t>
      </w:r>
      <w:proofErr w:type="spellEnd"/>
      <w:r w:rsidR="008A1906" w:rsidRPr="00A31903">
        <w:rPr>
          <w:rFonts w:ascii="Times New Roman" w:hAnsi="Times New Roman" w:cs="Times New Roman"/>
        </w:rPr>
        <w:t xml:space="preserve">, 1978). </w:t>
      </w:r>
      <w:r w:rsidR="00DD5A82" w:rsidRPr="00A31903">
        <w:rPr>
          <w:rFonts w:ascii="Times New Roman" w:hAnsi="Times New Roman" w:cs="Times New Roman"/>
        </w:rPr>
        <w:t>According to</w:t>
      </w:r>
      <w:r w:rsidR="00A21F2D" w:rsidRPr="00A31903">
        <w:rPr>
          <w:rFonts w:ascii="Times New Roman" w:hAnsi="Times New Roman" w:cs="Times New Roman"/>
        </w:rPr>
        <w:t xml:space="preserve"> </w:t>
      </w:r>
      <w:r w:rsidR="00D82C39" w:rsidRPr="00A31903">
        <w:rPr>
          <w:rFonts w:ascii="Times New Roman" w:hAnsi="Times New Roman" w:cs="Times New Roman"/>
        </w:rPr>
        <w:t>Howard (201</w:t>
      </w:r>
      <w:r w:rsidR="00A75552" w:rsidRPr="00A31903">
        <w:rPr>
          <w:rFonts w:ascii="Times New Roman" w:hAnsi="Times New Roman" w:cs="Times New Roman"/>
        </w:rPr>
        <w:t>1</w:t>
      </w:r>
      <w:r w:rsidR="005A6FB5" w:rsidRPr="00A31903">
        <w:rPr>
          <w:rFonts w:ascii="Times New Roman" w:hAnsi="Times New Roman" w:cs="Times New Roman"/>
          <w:noProof/>
        </w:rPr>
        <w:t>)</w:t>
      </w:r>
      <w:r w:rsidR="00AC5FB5" w:rsidRPr="00A31903">
        <w:rPr>
          <w:rFonts w:ascii="Times New Roman" w:hAnsi="Times New Roman" w:cs="Times New Roman"/>
          <w:noProof/>
        </w:rPr>
        <w:t>,</w:t>
      </w:r>
      <w:r w:rsidR="00A21F2D" w:rsidRPr="00A31903">
        <w:rPr>
          <w:rFonts w:ascii="Times New Roman" w:hAnsi="Times New Roman" w:cs="Times New Roman"/>
        </w:rPr>
        <w:t xml:space="preserve"> </w:t>
      </w:r>
      <w:r w:rsidR="00007189" w:rsidRPr="00A31903">
        <w:rPr>
          <w:rFonts w:ascii="Times New Roman" w:hAnsi="Times New Roman" w:cs="Times New Roman"/>
        </w:rPr>
        <w:t xml:space="preserve">taxable capacity </w:t>
      </w:r>
      <w:r w:rsidR="008A1906" w:rsidRPr="00A31903">
        <w:rPr>
          <w:rFonts w:ascii="Times New Roman" w:hAnsi="Times New Roman" w:cs="Times New Roman"/>
        </w:rPr>
        <w:t xml:space="preserve">is </w:t>
      </w:r>
      <w:r w:rsidR="00007189" w:rsidRPr="00A31903">
        <w:rPr>
          <w:rFonts w:ascii="Times New Roman" w:hAnsi="Times New Roman" w:cs="Times New Roman"/>
        </w:rPr>
        <w:t xml:space="preserve">the amount of </w:t>
      </w:r>
      <w:r w:rsidR="0014588B" w:rsidRPr="00A31903">
        <w:rPr>
          <w:rFonts w:ascii="Times New Roman" w:hAnsi="Times New Roman" w:cs="Times New Roman"/>
        </w:rPr>
        <w:t>tax, which</w:t>
      </w:r>
      <w:r w:rsidR="00007189" w:rsidRPr="00A31903">
        <w:rPr>
          <w:rFonts w:ascii="Times New Roman" w:hAnsi="Times New Roman" w:cs="Times New Roman"/>
        </w:rPr>
        <w:t xml:space="preserve"> </w:t>
      </w:r>
      <w:proofErr w:type="gramStart"/>
      <w:r w:rsidR="00007189" w:rsidRPr="00A31903">
        <w:rPr>
          <w:rFonts w:ascii="Times New Roman" w:hAnsi="Times New Roman" w:cs="Times New Roman"/>
        </w:rPr>
        <w:t xml:space="preserve">could be justly </w:t>
      </w:r>
      <w:r w:rsidR="005A6FB5" w:rsidRPr="00A31903">
        <w:rPr>
          <w:rFonts w:ascii="Times New Roman" w:hAnsi="Times New Roman" w:cs="Times New Roman"/>
        </w:rPr>
        <w:t>or fairly imposed</w:t>
      </w:r>
      <w:proofErr w:type="gramEnd"/>
      <w:r w:rsidR="005A6FB5" w:rsidRPr="00A31903">
        <w:rPr>
          <w:rFonts w:ascii="Times New Roman" w:hAnsi="Times New Roman" w:cs="Times New Roman"/>
        </w:rPr>
        <w:t xml:space="preserve"> on a country</w:t>
      </w:r>
      <w:r w:rsidR="00007189" w:rsidRPr="00A31903">
        <w:rPr>
          <w:rFonts w:ascii="Times New Roman" w:hAnsi="Times New Roman" w:cs="Times New Roman"/>
        </w:rPr>
        <w:t xml:space="preserve">. </w:t>
      </w:r>
      <w:proofErr w:type="spellStart"/>
      <w:r w:rsidR="00C12F43" w:rsidRPr="00A31903">
        <w:rPr>
          <w:rFonts w:ascii="Times New Roman" w:hAnsi="Times New Roman" w:cs="Times New Roman"/>
        </w:rPr>
        <w:t>Pessino</w:t>
      </w:r>
      <w:proofErr w:type="spellEnd"/>
      <w:r w:rsidR="00C12F43" w:rsidRPr="00A31903">
        <w:rPr>
          <w:rFonts w:ascii="Times New Roman" w:hAnsi="Times New Roman" w:cs="Times New Roman"/>
        </w:rPr>
        <w:t xml:space="preserve"> and</w:t>
      </w:r>
      <w:r w:rsidR="008E2743" w:rsidRPr="00A31903">
        <w:rPr>
          <w:rFonts w:ascii="Times New Roman" w:hAnsi="Times New Roman" w:cs="Times New Roman"/>
        </w:rPr>
        <w:t xml:space="preserve"> </w:t>
      </w:r>
      <w:proofErr w:type="spellStart"/>
      <w:r w:rsidR="008E2743" w:rsidRPr="00A31903">
        <w:rPr>
          <w:rFonts w:ascii="Times New Roman" w:hAnsi="Times New Roman" w:cs="Times New Roman"/>
        </w:rPr>
        <w:t>Fenochietto</w:t>
      </w:r>
      <w:proofErr w:type="spellEnd"/>
      <w:r w:rsidR="008E2743" w:rsidRPr="00A31903">
        <w:rPr>
          <w:rFonts w:ascii="Times New Roman" w:hAnsi="Times New Roman" w:cs="Times New Roman"/>
        </w:rPr>
        <w:t xml:space="preserve"> (2013) define </w:t>
      </w:r>
      <w:r w:rsidR="008E2743" w:rsidRPr="00A31903">
        <w:rPr>
          <w:rFonts w:ascii="TimesNewRomanPS-BoldMT" w:hAnsi="TimesNewRomanPS-BoldMT" w:cs="TimesNewRomanPS-BoldMT"/>
          <w:bCs/>
        </w:rPr>
        <w:t>tax capacity</w:t>
      </w:r>
      <w:r w:rsidR="002910A8" w:rsidRPr="00A31903">
        <w:rPr>
          <w:rFonts w:ascii="TimesNewRomanPS-BoldMT" w:hAnsi="TimesNewRomanPS-BoldMT" w:cs="TimesNewRomanPS-BoldMT"/>
          <w:bCs/>
        </w:rPr>
        <w:t xml:space="preserve"> as</w:t>
      </w:r>
      <w:r w:rsidR="008E2743" w:rsidRPr="00A31903">
        <w:rPr>
          <w:rFonts w:ascii="TimesNewRomanPS-BoldMT" w:hAnsi="TimesNewRomanPS-BoldMT" w:cs="TimesNewRomanPS-BoldMT"/>
          <w:bCs/>
        </w:rPr>
        <w:t xml:space="preserve"> the maximum level of tax revenue that a country can achieve</w:t>
      </w:r>
      <w:r w:rsidR="0014588B" w:rsidRPr="00A31903">
        <w:rPr>
          <w:rFonts w:ascii="TimesNewRomanPS-BoldMT" w:hAnsi="TimesNewRomanPS-BoldMT" w:cs="TimesNewRomanPS-BoldMT"/>
          <w:bCs/>
        </w:rPr>
        <w:t>.</w:t>
      </w:r>
    </w:p>
    <w:p w:rsidR="00C42FF4" w:rsidRPr="00A31903" w:rsidRDefault="008A1906" w:rsidP="00C42FF4">
      <w:pPr>
        <w:autoSpaceDE w:val="0"/>
        <w:autoSpaceDN w:val="0"/>
        <w:adjustRightInd w:val="0"/>
        <w:spacing w:after="0" w:line="240" w:lineRule="auto"/>
        <w:jc w:val="both"/>
        <w:rPr>
          <w:rFonts w:ascii="Times New Roman" w:hAnsi="Times New Roman" w:cs="Times New Roman"/>
          <w:color w:val="FF0000"/>
        </w:rPr>
      </w:pPr>
      <w:r w:rsidRPr="00A31903">
        <w:rPr>
          <w:rFonts w:ascii="Times New Roman" w:hAnsi="Times New Roman" w:cs="Times New Roman"/>
        </w:rPr>
        <w:t xml:space="preserve">     </w:t>
      </w:r>
      <w:r w:rsidR="007C2492" w:rsidRPr="00A31903">
        <w:rPr>
          <w:rFonts w:ascii="Times New Roman" w:hAnsi="Times New Roman" w:cs="Times New Roman"/>
        </w:rPr>
        <w:t>T</w:t>
      </w:r>
      <w:r w:rsidR="00150213" w:rsidRPr="00A31903">
        <w:rPr>
          <w:rFonts w:ascii="Times New Roman" w:hAnsi="Times New Roman" w:cs="Times New Roman"/>
        </w:rPr>
        <w:t xml:space="preserve">axable capacity depends on the ability of the people to pay </w:t>
      </w:r>
      <w:r w:rsidR="001B5AE4" w:rsidRPr="00A31903">
        <w:rPr>
          <w:rFonts w:ascii="Times New Roman" w:hAnsi="Times New Roman" w:cs="Times New Roman"/>
        </w:rPr>
        <w:t xml:space="preserve">tax </w:t>
      </w:r>
      <w:r w:rsidR="00150213" w:rsidRPr="00A31903">
        <w:rPr>
          <w:rFonts w:ascii="Times New Roman" w:hAnsi="Times New Roman" w:cs="Times New Roman"/>
        </w:rPr>
        <w:t>and the</w:t>
      </w:r>
      <w:r w:rsidR="00ED18EF" w:rsidRPr="00A31903">
        <w:rPr>
          <w:rFonts w:ascii="Times New Roman" w:hAnsi="Times New Roman" w:cs="Times New Roman"/>
        </w:rPr>
        <w:t xml:space="preserve"> </w:t>
      </w:r>
      <w:r w:rsidR="00150213" w:rsidRPr="00A31903">
        <w:rPr>
          <w:rFonts w:ascii="Times New Roman" w:hAnsi="Times New Roman" w:cs="Times New Roman"/>
        </w:rPr>
        <w:t>ability of the government t</w:t>
      </w:r>
      <w:r w:rsidR="00A75552" w:rsidRPr="00A31903">
        <w:rPr>
          <w:rFonts w:ascii="Times New Roman" w:hAnsi="Times New Roman" w:cs="Times New Roman"/>
        </w:rPr>
        <w:t>o collect (Malik, 2010</w:t>
      </w:r>
      <w:r w:rsidR="00ED65D9" w:rsidRPr="00A31903">
        <w:rPr>
          <w:rFonts w:ascii="Times New Roman" w:hAnsi="Times New Roman" w:cs="Times New Roman"/>
        </w:rPr>
        <w:t>)</w:t>
      </w:r>
      <w:r w:rsidRPr="00A31903">
        <w:rPr>
          <w:rFonts w:ascii="Times New Roman" w:hAnsi="Times New Roman" w:cs="Times New Roman"/>
        </w:rPr>
        <w:t xml:space="preserve"> and</w:t>
      </w:r>
      <w:r w:rsidR="00CC2E43" w:rsidRPr="00A31903">
        <w:rPr>
          <w:rFonts w:ascii="Times New Roman" w:hAnsi="Times New Roman" w:cs="Times New Roman"/>
        </w:rPr>
        <w:t xml:space="preserve"> </w:t>
      </w:r>
      <w:proofErr w:type="gramStart"/>
      <w:r w:rsidR="00CC2E43" w:rsidRPr="00A31903">
        <w:rPr>
          <w:rFonts w:ascii="Times New Roman" w:hAnsi="Times New Roman" w:cs="Times New Roman"/>
        </w:rPr>
        <w:t>could be split</w:t>
      </w:r>
      <w:proofErr w:type="gramEnd"/>
      <w:r w:rsidR="00CC2E43" w:rsidRPr="00A31903">
        <w:rPr>
          <w:rFonts w:ascii="Times New Roman" w:hAnsi="Times New Roman" w:cs="Times New Roman"/>
        </w:rPr>
        <w:t xml:space="preserve"> into two types</w:t>
      </w:r>
      <w:r w:rsidR="00201BED" w:rsidRPr="00A31903">
        <w:rPr>
          <w:rFonts w:ascii="Times New Roman" w:hAnsi="Times New Roman" w:cs="Times New Roman"/>
        </w:rPr>
        <w:t xml:space="preserve"> </w:t>
      </w:r>
      <w:r w:rsidR="0060491D" w:rsidRPr="00A31903">
        <w:rPr>
          <w:rFonts w:ascii="Times New Roman" w:hAnsi="Times New Roman" w:cs="Times New Roman"/>
        </w:rPr>
        <w:t xml:space="preserve">(Dalton, </w:t>
      </w:r>
      <w:r w:rsidR="00201BED" w:rsidRPr="00A31903">
        <w:rPr>
          <w:rFonts w:ascii="Times New Roman" w:hAnsi="Times New Roman" w:cs="Times New Roman"/>
        </w:rPr>
        <w:t>1961</w:t>
      </w:r>
      <w:r w:rsidR="005C2153" w:rsidRPr="00A31903">
        <w:rPr>
          <w:rFonts w:ascii="Times New Roman" w:hAnsi="Times New Roman" w:cs="Times New Roman"/>
        </w:rPr>
        <w:t xml:space="preserve">; </w:t>
      </w:r>
      <w:proofErr w:type="spellStart"/>
      <w:r w:rsidR="005C2153" w:rsidRPr="00A31903">
        <w:rPr>
          <w:rFonts w:ascii="Times New Roman" w:hAnsi="Times New Roman" w:cs="Times New Roman"/>
        </w:rPr>
        <w:t>Bahl</w:t>
      </w:r>
      <w:proofErr w:type="spellEnd"/>
      <w:r w:rsidR="005C2153" w:rsidRPr="00A31903">
        <w:rPr>
          <w:rFonts w:ascii="Times New Roman" w:hAnsi="Times New Roman" w:cs="Times New Roman"/>
        </w:rPr>
        <w:t>, 1971; Gupta, 2007</w:t>
      </w:r>
      <w:r w:rsidR="00201BED" w:rsidRPr="00A31903">
        <w:rPr>
          <w:rFonts w:ascii="Times New Roman" w:hAnsi="Times New Roman" w:cs="Times New Roman"/>
        </w:rPr>
        <w:t>)</w:t>
      </w:r>
      <w:r w:rsidR="00DC3DD9" w:rsidRPr="00A31903">
        <w:rPr>
          <w:rFonts w:ascii="Times New Roman" w:hAnsi="Times New Roman" w:cs="Times New Roman"/>
        </w:rPr>
        <w:t>:</w:t>
      </w:r>
      <w:r w:rsidR="00CC2E43" w:rsidRPr="00A31903">
        <w:rPr>
          <w:rFonts w:ascii="Times New Roman" w:hAnsi="Times New Roman" w:cs="Times New Roman"/>
        </w:rPr>
        <w:t xml:space="preserve"> absolute taxable capacity and relative taxable capacity. </w:t>
      </w:r>
      <w:proofErr w:type="spellStart"/>
      <w:r w:rsidR="00C42FF4" w:rsidRPr="00A31903">
        <w:rPr>
          <w:rFonts w:ascii="Times New Roman" w:hAnsi="Times New Roman" w:cs="Times New Roman"/>
        </w:rPr>
        <w:t>Bahl</w:t>
      </w:r>
      <w:proofErr w:type="spellEnd"/>
      <w:r w:rsidR="00C42FF4" w:rsidRPr="00A31903">
        <w:rPr>
          <w:rFonts w:ascii="Times New Roman" w:hAnsi="Times New Roman" w:cs="Times New Roman"/>
        </w:rPr>
        <w:t xml:space="preserve"> (1971) defined relative taxable capacity as the </w:t>
      </w:r>
      <w:r w:rsidRPr="00A31903">
        <w:rPr>
          <w:rFonts w:ascii="Times New Roman" w:hAnsi="Times New Roman" w:cs="Times New Roman"/>
        </w:rPr>
        <w:t xml:space="preserve">achievable </w:t>
      </w:r>
      <w:r w:rsidR="00C42FF4" w:rsidRPr="00A31903">
        <w:rPr>
          <w:rFonts w:ascii="Times New Roman" w:hAnsi="Times New Roman" w:cs="Times New Roman"/>
        </w:rPr>
        <w:t>tax ratio when a country applies to its variant tax bases</w:t>
      </w:r>
      <w:r w:rsidR="001B5AE4" w:rsidRPr="00A31903">
        <w:rPr>
          <w:rFonts w:ascii="Times New Roman" w:hAnsi="Times New Roman" w:cs="Times New Roman"/>
        </w:rPr>
        <w:t>,</w:t>
      </w:r>
      <w:r w:rsidR="00C42FF4" w:rsidRPr="00A31903">
        <w:rPr>
          <w:rFonts w:ascii="Times New Roman" w:hAnsi="Times New Roman" w:cs="Times New Roman"/>
        </w:rPr>
        <w:t xml:space="preserve"> a group of mean effective rates calculated as net regression coefficient</w:t>
      </w:r>
      <w:r w:rsidRPr="00A31903">
        <w:rPr>
          <w:rFonts w:ascii="Times New Roman" w:hAnsi="Times New Roman" w:cs="Times New Roman"/>
        </w:rPr>
        <w:t xml:space="preserve">. </w:t>
      </w:r>
      <w:r w:rsidR="00C42FF4" w:rsidRPr="00A31903">
        <w:rPr>
          <w:rFonts w:ascii="Times New Roman" w:hAnsi="Times New Roman" w:cs="Times New Roman"/>
        </w:rPr>
        <w:t xml:space="preserve">Gupta (2007) </w:t>
      </w:r>
      <w:r w:rsidRPr="00A31903">
        <w:rPr>
          <w:rFonts w:ascii="Times New Roman" w:hAnsi="Times New Roman" w:cs="Times New Roman"/>
        </w:rPr>
        <w:t xml:space="preserve">explained </w:t>
      </w:r>
      <w:r w:rsidR="00C42FF4" w:rsidRPr="00A31903">
        <w:rPr>
          <w:rFonts w:ascii="Times New Roman" w:hAnsi="Times New Roman" w:cs="Times New Roman"/>
        </w:rPr>
        <w:t>that absolute taxable capacity is the surplus of production over the minimum volume of production per head of the population, keeping the essential standard of living unc</w:t>
      </w:r>
      <w:r w:rsidR="007C2492" w:rsidRPr="00A31903">
        <w:rPr>
          <w:rFonts w:ascii="Times New Roman" w:hAnsi="Times New Roman" w:cs="Times New Roman"/>
        </w:rPr>
        <w:t xml:space="preserve">hanged over a number of years. </w:t>
      </w:r>
      <w:r w:rsidR="001B5AE4" w:rsidRPr="00A31903">
        <w:rPr>
          <w:rFonts w:ascii="Times New Roman" w:hAnsi="Times New Roman" w:cs="Times New Roman"/>
        </w:rPr>
        <w:t xml:space="preserve">He </w:t>
      </w:r>
      <w:r w:rsidR="00C42FF4" w:rsidRPr="00A31903">
        <w:rPr>
          <w:rFonts w:ascii="Times New Roman" w:hAnsi="Times New Roman" w:cs="Times New Roman"/>
        </w:rPr>
        <w:t xml:space="preserve">further </w:t>
      </w:r>
      <w:r w:rsidRPr="00A31903">
        <w:rPr>
          <w:rFonts w:ascii="Times New Roman" w:hAnsi="Times New Roman" w:cs="Times New Roman"/>
        </w:rPr>
        <w:t>stated</w:t>
      </w:r>
      <w:r w:rsidR="00C42FF4" w:rsidRPr="00A31903">
        <w:rPr>
          <w:rFonts w:ascii="Times New Roman" w:hAnsi="Times New Roman" w:cs="Times New Roman"/>
        </w:rPr>
        <w:t xml:space="preserve"> that relative taxable capacity is the extent of tax burden that </w:t>
      </w:r>
      <w:proofErr w:type="gramStart"/>
      <w:r w:rsidR="00C42FF4" w:rsidRPr="00A31903">
        <w:rPr>
          <w:rFonts w:ascii="Times New Roman" w:hAnsi="Times New Roman" w:cs="Times New Roman"/>
        </w:rPr>
        <w:t>should be imposed</w:t>
      </w:r>
      <w:proofErr w:type="gramEnd"/>
      <w:r w:rsidR="00C42FF4" w:rsidRPr="00A31903">
        <w:rPr>
          <w:rFonts w:ascii="Times New Roman" w:hAnsi="Times New Roman" w:cs="Times New Roman"/>
        </w:rPr>
        <w:t xml:space="preserve"> on different persons to finance a common expenditure.</w:t>
      </w:r>
      <w:r w:rsidR="00C42FF4" w:rsidRPr="00A31903">
        <w:rPr>
          <w:rFonts w:ascii="Times New Roman" w:hAnsi="Times New Roman" w:cs="Times New Roman"/>
          <w:color w:val="FF0000"/>
        </w:rPr>
        <w:t xml:space="preserve"> </w:t>
      </w:r>
    </w:p>
    <w:p w:rsidR="00E04694" w:rsidRPr="00A31903" w:rsidRDefault="00E04694" w:rsidP="007277FD">
      <w:pPr>
        <w:autoSpaceDE w:val="0"/>
        <w:autoSpaceDN w:val="0"/>
        <w:adjustRightInd w:val="0"/>
        <w:spacing w:after="0" w:line="240" w:lineRule="auto"/>
        <w:jc w:val="both"/>
        <w:rPr>
          <w:rFonts w:ascii="Times New Roman" w:hAnsi="Times New Roman" w:cs="Times New Roman"/>
          <w:bCs/>
          <w:color w:val="FF0000"/>
        </w:rPr>
      </w:pPr>
      <w:r w:rsidRPr="00A31903">
        <w:rPr>
          <w:rFonts w:ascii="Times New Roman" w:hAnsi="Times New Roman" w:cs="Times New Roman"/>
          <w:bCs/>
          <w:i/>
          <w:color w:val="FF0000"/>
        </w:rPr>
        <w:t xml:space="preserve">     </w:t>
      </w:r>
      <w:r w:rsidR="009E149E" w:rsidRPr="00A31903">
        <w:rPr>
          <w:rFonts w:ascii="Times New Roman" w:hAnsi="Times New Roman" w:cs="Times New Roman"/>
        </w:rPr>
        <w:t>The i</w:t>
      </w:r>
      <w:r w:rsidR="001B5AE4" w:rsidRPr="00A31903">
        <w:rPr>
          <w:rFonts w:ascii="Times New Roman" w:hAnsi="Times New Roman" w:cs="Times New Roman"/>
        </w:rPr>
        <w:t xml:space="preserve">nitial attempt </w:t>
      </w:r>
      <w:proofErr w:type="gramStart"/>
      <w:r w:rsidR="001B5AE4" w:rsidRPr="00A31903">
        <w:rPr>
          <w:rFonts w:ascii="Times New Roman" w:hAnsi="Times New Roman" w:cs="Times New Roman"/>
        </w:rPr>
        <w:t>to statistically compute</w:t>
      </w:r>
      <w:proofErr w:type="gramEnd"/>
      <w:r w:rsidR="001B5AE4" w:rsidRPr="00A31903">
        <w:rPr>
          <w:rFonts w:ascii="Times New Roman" w:hAnsi="Times New Roman" w:cs="Times New Roman"/>
        </w:rPr>
        <w:t xml:space="preserve"> taxable capacity was introduced by M</w:t>
      </w:r>
      <w:r w:rsidRPr="00A31903">
        <w:rPr>
          <w:rFonts w:ascii="Times New Roman" w:hAnsi="Times New Roman" w:cs="Times New Roman"/>
        </w:rPr>
        <w:t xml:space="preserve">artin </w:t>
      </w:r>
      <w:r w:rsidR="001E4731" w:rsidRPr="00A31903">
        <w:rPr>
          <w:rFonts w:ascii="Times New Roman" w:hAnsi="Times New Roman" w:cs="Times New Roman"/>
        </w:rPr>
        <w:t>and</w:t>
      </w:r>
      <w:r w:rsidRPr="00A31903">
        <w:rPr>
          <w:rFonts w:ascii="Times New Roman" w:hAnsi="Times New Roman" w:cs="Times New Roman"/>
        </w:rPr>
        <w:t xml:space="preserve"> Lewis (1956)</w:t>
      </w:r>
      <w:r w:rsidR="001B5AE4" w:rsidRPr="00A31903">
        <w:rPr>
          <w:rFonts w:ascii="Times New Roman" w:hAnsi="Times New Roman" w:cs="Times New Roman"/>
        </w:rPr>
        <w:t>.</w:t>
      </w:r>
      <w:r w:rsidRPr="00A31903">
        <w:rPr>
          <w:rFonts w:ascii="Times New Roman" w:hAnsi="Times New Roman" w:cs="Times New Roman"/>
        </w:rPr>
        <w:t xml:space="preserve"> They examined the trends in taxation of different countries at different stages of economic development using a tax ratio</w:t>
      </w:r>
      <w:proofErr w:type="gramStart"/>
      <w:r w:rsidRPr="00A31903">
        <w:rPr>
          <w:rFonts w:ascii="Times New Roman" w:hAnsi="Times New Roman" w:cs="Times New Roman"/>
        </w:rPr>
        <w:t>;</w:t>
      </w:r>
      <w:proofErr w:type="gramEnd"/>
      <w:r w:rsidRPr="00A31903">
        <w:rPr>
          <w:rFonts w:ascii="Times New Roman" w:hAnsi="Times New Roman" w:cs="Times New Roman"/>
        </w:rPr>
        <w:t xml:space="preserve"> the ratio of total tax revenues to gross domestic (GDP) or gross national product (GNP). The findings of their study suggest that the higher the income, the degree of openness, the level and degree of industrialization and the level of urbanization, the higher the overall tax ratio of a tax jurisdiction would be.</w:t>
      </w:r>
      <w:r w:rsidR="00AC6044" w:rsidRPr="00A31903">
        <w:rPr>
          <w:rFonts w:ascii="Times New Roman" w:hAnsi="Times New Roman" w:cs="Times New Roman"/>
          <w:bCs/>
          <w:color w:val="FF0000"/>
        </w:rPr>
        <w:t xml:space="preserve"> </w:t>
      </w:r>
    </w:p>
    <w:p w:rsidR="00AE74A7" w:rsidRPr="00A31903" w:rsidRDefault="00E04694" w:rsidP="007277FD">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rPr>
        <w:t xml:space="preserve">     </w:t>
      </w:r>
      <w:r w:rsidR="00D812B7" w:rsidRPr="00A31903">
        <w:rPr>
          <w:rFonts w:ascii="Times New Roman" w:hAnsi="Times New Roman" w:cs="Times New Roman"/>
        </w:rPr>
        <w:t xml:space="preserve">Musgrave (1959) </w:t>
      </w:r>
      <w:r w:rsidR="00AC6044" w:rsidRPr="00A31903">
        <w:rPr>
          <w:rFonts w:ascii="Times New Roman" w:hAnsi="Times New Roman" w:cs="Times New Roman"/>
        </w:rPr>
        <w:t>handled the concept of taxable capacity</w:t>
      </w:r>
      <w:r w:rsidR="009E149E" w:rsidRPr="00A31903">
        <w:rPr>
          <w:rFonts w:ascii="Times New Roman" w:hAnsi="Times New Roman" w:cs="Times New Roman"/>
        </w:rPr>
        <w:t xml:space="preserve"> rather</w:t>
      </w:r>
      <w:r w:rsidR="00AC6044" w:rsidRPr="00A31903">
        <w:rPr>
          <w:rFonts w:ascii="Times New Roman" w:hAnsi="Times New Roman" w:cs="Times New Roman"/>
        </w:rPr>
        <w:t xml:space="preserve"> </w:t>
      </w:r>
      <w:r w:rsidR="00470344" w:rsidRPr="00A31903">
        <w:rPr>
          <w:rFonts w:ascii="Times New Roman" w:hAnsi="Times New Roman" w:cs="Times New Roman"/>
        </w:rPr>
        <w:t>theoretically</w:t>
      </w:r>
      <w:r w:rsidRPr="00A31903">
        <w:rPr>
          <w:rFonts w:ascii="Times New Roman" w:hAnsi="Times New Roman" w:cs="Times New Roman"/>
        </w:rPr>
        <w:t xml:space="preserve">. </w:t>
      </w:r>
      <w:r w:rsidR="009E149E" w:rsidRPr="00A31903">
        <w:rPr>
          <w:rFonts w:ascii="Times New Roman" w:hAnsi="Times New Roman" w:cs="Times New Roman"/>
        </w:rPr>
        <w:t>H</w:t>
      </w:r>
      <w:r w:rsidRPr="00A31903">
        <w:rPr>
          <w:rFonts w:ascii="Times New Roman" w:hAnsi="Times New Roman" w:cs="Times New Roman"/>
        </w:rPr>
        <w:t>e</w:t>
      </w:r>
      <w:r w:rsidR="00E3650B" w:rsidRPr="00A31903">
        <w:rPr>
          <w:rFonts w:ascii="Times New Roman" w:hAnsi="Times New Roman" w:cs="Times New Roman"/>
        </w:rPr>
        <w:t xml:space="preserve"> </w:t>
      </w:r>
      <w:proofErr w:type="spellStart"/>
      <w:r w:rsidR="00E3650B" w:rsidRPr="00A31903">
        <w:rPr>
          <w:rFonts w:ascii="Times New Roman" w:hAnsi="Times New Roman" w:cs="Times New Roman"/>
        </w:rPr>
        <w:t>emphasised</w:t>
      </w:r>
      <w:proofErr w:type="spellEnd"/>
      <w:r w:rsidR="00470344" w:rsidRPr="00A31903">
        <w:rPr>
          <w:rFonts w:ascii="Times New Roman" w:hAnsi="Times New Roman" w:cs="Times New Roman"/>
        </w:rPr>
        <w:t xml:space="preserve"> the relevance of relative taxable </w:t>
      </w:r>
      <w:r w:rsidR="00E3650B" w:rsidRPr="00A31903">
        <w:rPr>
          <w:rFonts w:ascii="Times New Roman" w:hAnsi="Times New Roman" w:cs="Times New Roman"/>
        </w:rPr>
        <w:t>capacity</w:t>
      </w:r>
      <w:r w:rsidR="00F56466" w:rsidRPr="00A31903">
        <w:rPr>
          <w:rFonts w:ascii="Times New Roman" w:hAnsi="Times New Roman" w:cs="Times New Roman"/>
        </w:rPr>
        <w:t>,</w:t>
      </w:r>
      <w:r w:rsidR="00E3650B" w:rsidRPr="00A31903">
        <w:rPr>
          <w:rFonts w:ascii="Times New Roman" w:hAnsi="Times New Roman" w:cs="Times New Roman"/>
        </w:rPr>
        <w:t xml:space="preserve"> </w:t>
      </w:r>
      <w:r w:rsidR="00D52D74" w:rsidRPr="00A31903">
        <w:rPr>
          <w:rFonts w:ascii="Times New Roman" w:hAnsi="Times New Roman" w:cs="Times New Roman"/>
        </w:rPr>
        <w:t xml:space="preserve">which he </w:t>
      </w:r>
      <w:r w:rsidR="00470344" w:rsidRPr="00A31903">
        <w:rPr>
          <w:rFonts w:ascii="Times New Roman" w:hAnsi="Times New Roman" w:cs="Times New Roman"/>
        </w:rPr>
        <w:t>estimated by comparing different countries or sub-national units in a federation.</w:t>
      </w:r>
      <w:r w:rsidR="007277FD" w:rsidRPr="00A31903">
        <w:rPr>
          <w:rFonts w:ascii="Times New Roman" w:hAnsi="Times New Roman" w:cs="Times New Roman"/>
        </w:rPr>
        <w:t xml:space="preserve"> </w:t>
      </w:r>
      <w:r w:rsidR="007277FD" w:rsidRPr="00A31903">
        <w:rPr>
          <w:rFonts w:ascii="Times New Roman" w:hAnsi="Times New Roman" w:cs="Times New Roman"/>
          <w:lang w:val="en-GB"/>
        </w:rPr>
        <w:t>H</w:t>
      </w:r>
      <w:r w:rsidRPr="00A31903">
        <w:rPr>
          <w:rFonts w:ascii="Times New Roman" w:hAnsi="Times New Roman" w:cs="Times New Roman"/>
          <w:lang w:val="en-GB"/>
        </w:rPr>
        <w:t>is argument was that</w:t>
      </w:r>
      <w:r w:rsidR="007277FD" w:rsidRPr="00A31903">
        <w:rPr>
          <w:rFonts w:ascii="Times New Roman" w:hAnsi="Times New Roman" w:cs="Times New Roman"/>
          <w:lang w:val="en-GB"/>
        </w:rPr>
        <w:t xml:space="preserve"> taxable capacity of different units in a federation </w:t>
      </w:r>
      <w:proofErr w:type="gramStart"/>
      <w:r w:rsidR="007277FD" w:rsidRPr="00A31903">
        <w:rPr>
          <w:rFonts w:ascii="Times New Roman" w:hAnsi="Times New Roman" w:cs="Times New Roman"/>
          <w:lang w:val="en-GB"/>
        </w:rPr>
        <w:t>could be estimated</w:t>
      </w:r>
      <w:proofErr w:type="gramEnd"/>
      <w:r w:rsidR="007277FD" w:rsidRPr="00A31903">
        <w:rPr>
          <w:rFonts w:ascii="Times New Roman" w:hAnsi="Times New Roman" w:cs="Times New Roman"/>
          <w:lang w:val="en-GB"/>
        </w:rPr>
        <w:t xml:space="preserve"> by estimating the ‘average’ behaviour of the states in raising revenues after allowing for economic factors that can cause differences in taxable capacity.</w:t>
      </w:r>
    </w:p>
    <w:p w:rsidR="00420636" w:rsidRPr="00A31903" w:rsidRDefault="00667805" w:rsidP="00D37705">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7277FD" w:rsidRPr="00A31903">
        <w:rPr>
          <w:rFonts w:ascii="Times New Roman" w:hAnsi="Times New Roman" w:cs="Times New Roman"/>
        </w:rPr>
        <w:t>Subsequently, m</w:t>
      </w:r>
      <w:r w:rsidR="003F0E39" w:rsidRPr="00A31903">
        <w:rPr>
          <w:rFonts w:ascii="Times New Roman" w:hAnsi="Times New Roman" w:cs="Times New Roman"/>
        </w:rPr>
        <w:t xml:space="preserve">ost </w:t>
      </w:r>
      <w:r w:rsidR="00D37705" w:rsidRPr="00A31903">
        <w:rPr>
          <w:rFonts w:ascii="Times New Roman" w:hAnsi="Times New Roman" w:cs="Times New Roman"/>
        </w:rPr>
        <w:t>studies</w:t>
      </w:r>
      <w:r w:rsidR="003F0E39" w:rsidRPr="00A31903">
        <w:rPr>
          <w:rFonts w:ascii="Times New Roman" w:hAnsi="Times New Roman" w:cs="Times New Roman"/>
        </w:rPr>
        <w:t xml:space="preserve"> on the subject</w:t>
      </w:r>
      <w:r w:rsidR="00D37705" w:rsidRPr="00A31903">
        <w:rPr>
          <w:rFonts w:ascii="Times New Roman" w:hAnsi="Times New Roman" w:cs="Times New Roman"/>
        </w:rPr>
        <w:t xml:space="preserve"> agree that measuring taxable capacity must be achieved through finding the expecte</w:t>
      </w:r>
      <w:r w:rsidR="00E04694" w:rsidRPr="00A31903">
        <w:rPr>
          <w:rFonts w:ascii="Times New Roman" w:hAnsi="Times New Roman" w:cs="Times New Roman"/>
        </w:rPr>
        <w:t>d or potential ratio of tax to GNP</w:t>
      </w:r>
      <w:r w:rsidR="00D37705" w:rsidRPr="00A31903">
        <w:rPr>
          <w:rFonts w:ascii="Times New Roman" w:hAnsi="Times New Roman" w:cs="Times New Roman"/>
        </w:rPr>
        <w:t xml:space="preserve"> and </w:t>
      </w:r>
      <w:proofErr w:type="gramStart"/>
      <w:r w:rsidR="00D37705" w:rsidRPr="00A31903">
        <w:rPr>
          <w:rFonts w:ascii="Times New Roman" w:hAnsi="Times New Roman" w:cs="Times New Roman"/>
        </w:rPr>
        <w:t>through the use of</w:t>
      </w:r>
      <w:proofErr w:type="gramEnd"/>
      <w:r w:rsidR="00D37705" w:rsidRPr="00A31903">
        <w:rPr>
          <w:rFonts w:ascii="Times New Roman" w:hAnsi="Times New Roman" w:cs="Times New Roman"/>
        </w:rPr>
        <w:t xml:space="preserve"> a regression equation of the actual tax burden on </w:t>
      </w:r>
      <w:r w:rsidR="00E04694" w:rsidRPr="00A31903">
        <w:rPr>
          <w:rFonts w:ascii="Times New Roman" w:hAnsi="Times New Roman" w:cs="Times New Roman"/>
        </w:rPr>
        <w:t>a</w:t>
      </w:r>
      <w:r w:rsidR="00D37705" w:rsidRPr="00A31903">
        <w:rPr>
          <w:rFonts w:ascii="Times New Roman" w:hAnsi="Times New Roman" w:cs="Times New Roman"/>
        </w:rPr>
        <w:t xml:space="preserve"> variety of factors influencing it</w:t>
      </w:r>
      <w:r w:rsidR="005C2153" w:rsidRPr="00A31903">
        <w:rPr>
          <w:rFonts w:ascii="Times New Roman" w:hAnsi="Times New Roman" w:cs="Times New Roman"/>
        </w:rPr>
        <w:t xml:space="preserve"> (Le Minh </w:t>
      </w:r>
      <w:r w:rsidR="005C2153" w:rsidRPr="00A31903">
        <w:rPr>
          <w:rFonts w:ascii="Times New Roman" w:hAnsi="Times New Roman" w:cs="Times New Roman"/>
          <w:i/>
        </w:rPr>
        <w:t>et al.,</w:t>
      </w:r>
      <w:r w:rsidR="005C2153" w:rsidRPr="00A31903">
        <w:rPr>
          <w:rFonts w:ascii="Times New Roman" w:hAnsi="Times New Roman" w:cs="Times New Roman"/>
        </w:rPr>
        <w:t xml:space="preserve"> 2008).</w:t>
      </w:r>
      <w:r w:rsidR="00D37705" w:rsidRPr="00A31903">
        <w:rPr>
          <w:rFonts w:ascii="Times New Roman" w:hAnsi="Times New Roman" w:cs="Times New Roman"/>
        </w:rPr>
        <w:t xml:space="preserve"> </w:t>
      </w:r>
      <w:r w:rsidR="00E04694" w:rsidRPr="00A31903">
        <w:rPr>
          <w:rFonts w:ascii="Times New Roman" w:hAnsi="Times New Roman" w:cs="Times New Roman"/>
        </w:rPr>
        <w:t>Thus</w:t>
      </w:r>
      <w:r w:rsidR="00D37705" w:rsidRPr="00A31903">
        <w:rPr>
          <w:rFonts w:ascii="Times New Roman" w:hAnsi="Times New Roman" w:cs="Times New Roman"/>
        </w:rPr>
        <w:t xml:space="preserve">, taxable capacity is the </w:t>
      </w:r>
      <w:r w:rsidR="00E04694" w:rsidRPr="00A31903">
        <w:rPr>
          <w:rFonts w:ascii="Times New Roman" w:hAnsi="Times New Roman" w:cs="Times New Roman"/>
        </w:rPr>
        <w:t>predicted tax/</w:t>
      </w:r>
      <w:r w:rsidR="00D37705" w:rsidRPr="00A31903">
        <w:rPr>
          <w:rFonts w:ascii="Times New Roman" w:hAnsi="Times New Roman" w:cs="Times New Roman"/>
        </w:rPr>
        <w:t>GDP ratio estimated from a regression</w:t>
      </w:r>
      <w:r w:rsidR="003F0E39" w:rsidRPr="00A31903">
        <w:rPr>
          <w:rFonts w:ascii="Times New Roman" w:hAnsi="Times New Roman" w:cs="Times New Roman"/>
        </w:rPr>
        <w:t xml:space="preserve"> model</w:t>
      </w:r>
      <w:r w:rsidR="009E149E" w:rsidRPr="00A31903">
        <w:rPr>
          <w:rFonts w:ascii="Times New Roman" w:hAnsi="Times New Roman" w:cs="Times New Roman"/>
        </w:rPr>
        <w:t>, taking into account a</w:t>
      </w:r>
      <w:r w:rsidR="00D37705" w:rsidRPr="00A31903">
        <w:rPr>
          <w:rFonts w:ascii="Times New Roman" w:hAnsi="Times New Roman" w:cs="Times New Roman"/>
        </w:rPr>
        <w:t xml:space="preserve"> country’s specific characteristics </w:t>
      </w:r>
      <w:r w:rsidR="00420636" w:rsidRPr="00A31903">
        <w:rPr>
          <w:rFonts w:ascii="Times New Roman" w:hAnsi="Times New Roman" w:cs="Times New Roman"/>
        </w:rPr>
        <w:t xml:space="preserve">and other variables </w:t>
      </w:r>
      <w:r w:rsidR="00D37705" w:rsidRPr="00A31903">
        <w:rPr>
          <w:rFonts w:ascii="Times New Roman" w:hAnsi="Times New Roman" w:cs="Times New Roman"/>
        </w:rPr>
        <w:t xml:space="preserve">(Le Minh </w:t>
      </w:r>
      <w:r w:rsidR="00D37705" w:rsidRPr="00A31903">
        <w:rPr>
          <w:rFonts w:ascii="Times New Roman" w:hAnsi="Times New Roman" w:cs="Times New Roman"/>
          <w:i/>
        </w:rPr>
        <w:t>et al.,</w:t>
      </w:r>
      <w:r w:rsidR="008B64DD" w:rsidRPr="00A31903">
        <w:rPr>
          <w:rFonts w:ascii="Times New Roman" w:hAnsi="Times New Roman" w:cs="Times New Roman"/>
        </w:rPr>
        <w:t xml:space="preserve"> </w:t>
      </w:r>
      <w:r w:rsidR="00D37705" w:rsidRPr="00A31903">
        <w:rPr>
          <w:rFonts w:ascii="Times New Roman" w:hAnsi="Times New Roman" w:cs="Times New Roman"/>
        </w:rPr>
        <w:t>2008</w:t>
      </w:r>
      <w:r w:rsidR="00C12F43" w:rsidRPr="00A31903">
        <w:rPr>
          <w:rFonts w:ascii="Times New Roman" w:hAnsi="Times New Roman" w:cs="Times New Roman"/>
        </w:rPr>
        <w:t>; Truong and</w:t>
      </w:r>
      <w:r w:rsidR="00CA3FCF" w:rsidRPr="00A31903">
        <w:rPr>
          <w:rFonts w:ascii="Times New Roman" w:hAnsi="Times New Roman" w:cs="Times New Roman"/>
        </w:rPr>
        <w:t xml:space="preserve"> Gash, 1979; Le Blanca </w:t>
      </w:r>
      <w:r w:rsidR="00C12F43" w:rsidRPr="00A31903">
        <w:rPr>
          <w:rFonts w:ascii="Times New Roman" w:hAnsi="Times New Roman" w:cs="Times New Roman"/>
        </w:rPr>
        <w:t>and</w:t>
      </w:r>
      <w:r w:rsidR="009E120F" w:rsidRPr="00A31903">
        <w:rPr>
          <w:rFonts w:ascii="Times New Roman" w:hAnsi="Times New Roman" w:cs="Times New Roman"/>
        </w:rPr>
        <w:t xml:space="preserve"> </w:t>
      </w:r>
      <w:proofErr w:type="spellStart"/>
      <w:r w:rsidR="005C2153" w:rsidRPr="00A31903">
        <w:rPr>
          <w:rFonts w:ascii="Times New Roman" w:hAnsi="Times New Roman" w:cs="Times New Roman"/>
        </w:rPr>
        <w:t>Rojchaichaninthorn</w:t>
      </w:r>
      <w:proofErr w:type="spellEnd"/>
      <w:r w:rsidR="005C2153" w:rsidRPr="00A31903">
        <w:rPr>
          <w:rFonts w:ascii="Times New Roman" w:hAnsi="Times New Roman" w:cs="Times New Roman"/>
        </w:rPr>
        <w:t>, 2008</w:t>
      </w:r>
      <w:r w:rsidR="009E120F" w:rsidRPr="00A31903">
        <w:rPr>
          <w:rFonts w:ascii="Times New Roman" w:hAnsi="Times New Roman" w:cs="Times New Roman"/>
        </w:rPr>
        <w:t>;</w:t>
      </w:r>
      <w:r w:rsidR="009E149E" w:rsidRPr="00A31903">
        <w:rPr>
          <w:rFonts w:ascii="Times New Roman" w:hAnsi="Times New Roman" w:cs="Times New Roman"/>
        </w:rPr>
        <w:t xml:space="preserve"> </w:t>
      </w:r>
      <w:r w:rsidR="009E120F" w:rsidRPr="00A31903">
        <w:rPr>
          <w:rFonts w:ascii="Times New Roman" w:hAnsi="Times New Roman" w:cs="Times New Roman"/>
          <w:lang w:val="en-GB"/>
        </w:rPr>
        <w:t xml:space="preserve">Le, Moreno-Dodson </w:t>
      </w:r>
      <w:r w:rsidR="00C12F43" w:rsidRPr="00A31903">
        <w:rPr>
          <w:rFonts w:ascii="Times New Roman" w:hAnsi="Times New Roman" w:cs="Times New Roman"/>
        </w:rPr>
        <w:t>and</w:t>
      </w:r>
      <w:r w:rsidR="00911210" w:rsidRPr="00A31903">
        <w:rPr>
          <w:rFonts w:ascii="Times New Roman" w:hAnsi="Times New Roman" w:cs="Times New Roman"/>
          <w:lang w:val="en-GB"/>
        </w:rPr>
        <w:t xml:space="preserve"> </w:t>
      </w:r>
      <w:proofErr w:type="spellStart"/>
      <w:r w:rsidR="00911210" w:rsidRPr="00A31903">
        <w:rPr>
          <w:rFonts w:ascii="Times New Roman" w:hAnsi="Times New Roman" w:cs="Times New Roman"/>
          <w:lang w:val="en-GB"/>
        </w:rPr>
        <w:t>Bayraktar</w:t>
      </w:r>
      <w:proofErr w:type="spellEnd"/>
      <w:r w:rsidR="00911210" w:rsidRPr="00A31903">
        <w:rPr>
          <w:rFonts w:ascii="Times New Roman" w:hAnsi="Times New Roman" w:cs="Times New Roman"/>
          <w:lang w:val="en-GB"/>
        </w:rPr>
        <w:t>, 2012</w:t>
      </w:r>
      <w:r w:rsidR="00D37705" w:rsidRPr="00A31903">
        <w:rPr>
          <w:rFonts w:ascii="Times New Roman" w:hAnsi="Times New Roman" w:cs="Times New Roman"/>
        </w:rPr>
        <w:t xml:space="preserve">). </w:t>
      </w:r>
    </w:p>
    <w:p w:rsidR="00D37705" w:rsidRPr="00A31903" w:rsidRDefault="00667805" w:rsidP="00214022">
      <w:pPr>
        <w:autoSpaceDE w:val="0"/>
        <w:autoSpaceDN w:val="0"/>
        <w:adjustRightInd w:val="0"/>
        <w:spacing w:after="0" w:line="240" w:lineRule="auto"/>
        <w:jc w:val="both"/>
        <w:rPr>
          <w:rFonts w:ascii="Times New Roman" w:hAnsi="Times New Roman" w:cs="Times New Roman"/>
          <w:color w:val="FF0000"/>
          <w:lang w:val="en-GB"/>
        </w:rPr>
      </w:pPr>
      <w:r w:rsidRPr="00A31903">
        <w:rPr>
          <w:rFonts w:ascii="Times New Roman" w:hAnsi="Times New Roman" w:cs="Times New Roman"/>
        </w:rPr>
        <w:t xml:space="preserve">    </w:t>
      </w:r>
      <w:r w:rsidR="00214022" w:rsidRPr="00A31903">
        <w:rPr>
          <w:rFonts w:ascii="Times New Roman" w:hAnsi="Times New Roman" w:cs="Times New Roman"/>
          <w:lang w:val="en-GB"/>
        </w:rPr>
        <w:t>The regression approach is an improvement over the</w:t>
      </w:r>
      <w:r w:rsidR="001456FA" w:rsidRPr="00A31903">
        <w:rPr>
          <w:rFonts w:ascii="Times New Roman" w:hAnsi="Times New Roman" w:cs="Times New Roman"/>
          <w:lang w:val="en-GB"/>
        </w:rPr>
        <w:t xml:space="preserve"> </w:t>
      </w:r>
      <w:r w:rsidR="00214022" w:rsidRPr="00A31903">
        <w:rPr>
          <w:rFonts w:ascii="Times New Roman" w:hAnsi="Times New Roman" w:cs="Times New Roman"/>
          <w:lang w:val="en-GB"/>
        </w:rPr>
        <w:t>traditional tax effort measure</w:t>
      </w:r>
      <w:r w:rsidR="001456FA" w:rsidRPr="00A31903">
        <w:rPr>
          <w:rFonts w:ascii="Times New Roman" w:hAnsi="Times New Roman" w:cs="Times New Roman"/>
          <w:lang w:val="en-GB"/>
        </w:rPr>
        <w:t>s (</w:t>
      </w:r>
      <w:r w:rsidR="00AC709E" w:rsidRPr="00A31903">
        <w:rPr>
          <w:rFonts w:ascii="Times New Roman" w:hAnsi="Times New Roman" w:cs="Times New Roman"/>
          <w:lang w:val="en-GB"/>
        </w:rPr>
        <w:t>tax/</w:t>
      </w:r>
      <w:r w:rsidR="00214022" w:rsidRPr="00A31903">
        <w:rPr>
          <w:rFonts w:ascii="Times New Roman" w:hAnsi="Times New Roman" w:cs="Times New Roman"/>
          <w:lang w:val="en-GB"/>
        </w:rPr>
        <w:t>income ratio</w:t>
      </w:r>
      <w:r w:rsidR="001456FA" w:rsidRPr="00A31903">
        <w:rPr>
          <w:rFonts w:ascii="Times New Roman" w:hAnsi="Times New Roman" w:cs="Times New Roman"/>
          <w:lang w:val="en-GB"/>
        </w:rPr>
        <w:t xml:space="preserve">) </w:t>
      </w:r>
      <w:r w:rsidR="00214022" w:rsidRPr="00A31903">
        <w:rPr>
          <w:rFonts w:ascii="Times New Roman" w:hAnsi="Times New Roman" w:cs="Times New Roman"/>
          <w:lang w:val="en-GB"/>
        </w:rPr>
        <w:t xml:space="preserve">where income </w:t>
      </w:r>
      <w:proofErr w:type="gramStart"/>
      <w:r w:rsidR="00214022" w:rsidRPr="00A31903">
        <w:rPr>
          <w:rFonts w:ascii="Times New Roman" w:hAnsi="Times New Roman" w:cs="Times New Roman"/>
          <w:lang w:val="en-GB"/>
        </w:rPr>
        <w:t>is used</w:t>
      </w:r>
      <w:proofErr w:type="gramEnd"/>
      <w:r w:rsidR="00214022" w:rsidRPr="00A31903">
        <w:rPr>
          <w:rFonts w:ascii="Times New Roman" w:hAnsi="Times New Roman" w:cs="Times New Roman"/>
          <w:lang w:val="en-GB"/>
        </w:rPr>
        <w:t xml:space="preserve"> as a measure of taxable capacity. </w:t>
      </w:r>
      <w:r w:rsidR="00AC709E" w:rsidRPr="00A31903">
        <w:rPr>
          <w:rFonts w:ascii="Times New Roman" w:hAnsi="Times New Roman" w:cs="Times New Roman"/>
          <w:lang w:val="en-GB"/>
        </w:rPr>
        <w:t xml:space="preserve">It </w:t>
      </w:r>
      <w:r w:rsidR="00214022" w:rsidRPr="00A31903">
        <w:rPr>
          <w:rFonts w:ascii="Times New Roman" w:hAnsi="Times New Roman" w:cs="Times New Roman"/>
          <w:lang w:val="en-GB"/>
        </w:rPr>
        <w:t xml:space="preserve">establishes that in </w:t>
      </w:r>
      <w:r w:rsidR="001456FA" w:rsidRPr="00A31903">
        <w:rPr>
          <w:rFonts w:ascii="Times New Roman" w:hAnsi="Times New Roman" w:cs="Times New Roman"/>
          <w:lang w:val="en-GB"/>
        </w:rPr>
        <w:t>addition to aggregate income, which is</w:t>
      </w:r>
      <w:r w:rsidR="00214022" w:rsidRPr="00A31903">
        <w:rPr>
          <w:rFonts w:ascii="Times New Roman" w:hAnsi="Times New Roman" w:cs="Times New Roman"/>
          <w:lang w:val="en-GB"/>
        </w:rPr>
        <w:t xml:space="preserve"> the denominator in the tax ratio,</w:t>
      </w:r>
      <w:r w:rsidR="00AC709E" w:rsidRPr="00A31903">
        <w:rPr>
          <w:rFonts w:ascii="Times New Roman" w:hAnsi="Times New Roman" w:cs="Times New Roman"/>
          <w:lang w:val="en-GB"/>
        </w:rPr>
        <w:t xml:space="preserve"> other factors affect a country’</w:t>
      </w:r>
      <w:r w:rsidR="00214022" w:rsidRPr="00A31903">
        <w:rPr>
          <w:rFonts w:ascii="Times New Roman" w:hAnsi="Times New Roman" w:cs="Times New Roman"/>
          <w:lang w:val="en-GB"/>
        </w:rPr>
        <w:t xml:space="preserve">s taxable </w:t>
      </w:r>
      <w:r w:rsidR="00214022" w:rsidRPr="00A31903">
        <w:rPr>
          <w:rFonts w:ascii="Times New Roman" w:hAnsi="Times New Roman" w:cs="Times New Roman"/>
          <w:lang w:val="en-GB"/>
        </w:rPr>
        <w:lastRenderedPageBreak/>
        <w:t>capacity</w:t>
      </w:r>
      <w:r w:rsidR="00214022" w:rsidRPr="00A31903">
        <w:rPr>
          <w:rFonts w:ascii="TimesNewRomanPSMT" w:hAnsi="TimesNewRomanPSMT" w:cs="TimesNewRomanPSMT"/>
          <w:lang w:val="en-GB"/>
        </w:rPr>
        <w:t>.</w:t>
      </w:r>
      <w:r w:rsidR="00214022" w:rsidRPr="00A31903">
        <w:rPr>
          <w:rFonts w:ascii="Times New Roman" w:hAnsi="Times New Roman" w:cs="Times New Roman"/>
          <w:color w:val="FF0000"/>
        </w:rPr>
        <w:t xml:space="preserve"> </w:t>
      </w:r>
      <w:r w:rsidR="0060491D" w:rsidRPr="00A31903">
        <w:rPr>
          <w:rFonts w:ascii="Times New Roman" w:hAnsi="Times New Roman" w:cs="Times New Roman"/>
        </w:rPr>
        <w:t xml:space="preserve">This </w:t>
      </w:r>
      <w:r w:rsidR="00D37705" w:rsidRPr="00A31903">
        <w:rPr>
          <w:rFonts w:ascii="Times New Roman" w:hAnsi="Times New Roman" w:cs="Times New Roman"/>
        </w:rPr>
        <w:t xml:space="preserve">study </w:t>
      </w:r>
      <w:r w:rsidR="001456FA" w:rsidRPr="00A31903">
        <w:rPr>
          <w:rFonts w:ascii="Times New Roman" w:hAnsi="Times New Roman" w:cs="Times New Roman"/>
        </w:rPr>
        <w:t xml:space="preserve">therefore </w:t>
      </w:r>
      <w:r w:rsidR="0060491D" w:rsidRPr="00A31903">
        <w:rPr>
          <w:rFonts w:ascii="Times New Roman" w:hAnsi="Times New Roman" w:cs="Times New Roman"/>
        </w:rPr>
        <w:t>adopted the relative taxable capacity</w:t>
      </w:r>
      <w:r w:rsidR="00C42FF4" w:rsidRPr="00A31903">
        <w:rPr>
          <w:rFonts w:ascii="Times New Roman" w:hAnsi="Times New Roman" w:cs="Times New Roman"/>
        </w:rPr>
        <w:t xml:space="preserve"> </w:t>
      </w:r>
      <w:r w:rsidR="00FF67E6" w:rsidRPr="00A31903">
        <w:rPr>
          <w:rFonts w:ascii="Times New Roman" w:hAnsi="Times New Roman" w:cs="Times New Roman"/>
        </w:rPr>
        <w:t xml:space="preserve">approach </w:t>
      </w:r>
      <w:r w:rsidR="00C42FF4" w:rsidRPr="00A31903">
        <w:rPr>
          <w:rFonts w:ascii="Times New Roman" w:hAnsi="Times New Roman" w:cs="Times New Roman"/>
        </w:rPr>
        <w:t xml:space="preserve">because it </w:t>
      </w:r>
      <w:r w:rsidR="00D52D74" w:rsidRPr="00A31903">
        <w:rPr>
          <w:rFonts w:ascii="Times New Roman" w:hAnsi="Times New Roman" w:cs="Times New Roman"/>
        </w:rPr>
        <w:t xml:space="preserve">is </w:t>
      </w:r>
      <w:r w:rsidR="00C42FF4" w:rsidRPr="00A31903">
        <w:rPr>
          <w:rFonts w:ascii="Times New Roman" w:hAnsi="Times New Roman" w:cs="Times New Roman"/>
        </w:rPr>
        <w:t>more accurate and its estimation has gained significant attention (</w:t>
      </w:r>
      <w:proofErr w:type="spellStart"/>
      <w:r w:rsidR="00C42FF4" w:rsidRPr="00A31903">
        <w:rPr>
          <w:rFonts w:ascii="Times New Roman" w:hAnsi="Times New Roman" w:cs="Times New Roman"/>
        </w:rPr>
        <w:t>Prest</w:t>
      </w:r>
      <w:proofErr w:type="spellEnd"/>
      <w:r w:rsidR="00C42FF4" w:rsidRPr="00A31903">
        <w:rPr>
          <w:rFonts w:ascii="Times New Roman" w:hAnsi="Times New Roman" w:cs="Times New Roman"/>
        </w:rPr>
        <w:t>, 1978).</w:t>
      </w:r>
    </w:p>
    <w:p w:rsidR="00007189" w:rsidRPr="00A31903" w:rsidRDefault="00012ACD" w:rsidP="00012ACD">
      <w:pPr>
        <w:tabs>
          <w:tab w:val="left" w:pos="2940"/>
        </w:tabs>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ab/>
      </w:r>
    </w:p>
    <w:p w:rsidR="00E55F06" w:rsidRPr="00A31903" w:rsidRDefault="00455300" w:rsidP="005E3906">
      <w:pPr>
        <w:pStyle w:val="ListParagraph"/>
        <w:numPr>
          <w:ilvl w:val="1"/>
          <w:numId w:val="14"/>
        </w:numPr>
        <w:autoSpaceDE w:val="0"/>
        <w:autoSpaceDN w:val="0"/>
        <w:adjustRightInd w:val="0"/>
        <w:spacing w:after="0" w:line="240" w:lineRule="auto"/>
        <w:jc w:val="both"/>
        <w:rPr>
          <w:rFonts w:ascii="Times New Roman" w:hAnsi="Times New Roman" w:cs="Times New Roman"/>
          <w:b/>
          <w:i/>
        </w:rPr>
      </w:pPr>
      <w:r w:rsidRPr="00A31903">
        <w:rPr>
          <w:rFonts w:ascii="Times New Roman" w:hAnsi="Times New Roman" w:cs="Times New Roman"/>
          <w:b/>
          <w:i/>
        </w:rPr>
        <w:t>Tax burden</w:t>
      </w:r>
    </w:p>
    <w:p w:rsidR="004207D7" w:rsidRPr="00A31903" w:rsidRDefault="005E3906" w:rsidP="004207D7">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012ACD" w:rsidRPr="00A31903">
        <w:rPr>
          <w:rFonts w:ascii="Times New Roman" w:hAnsi="Times New Roman" w:cs="Times New Roman"/>
        </w:rPr>
        <w:t xml:space="preserve">De </w:t>
      </w:r>
      <w:proofErr w:type="spellStart"/>
      <w:r w:rsidR="00012ACD" w:rsidRPr="00A31903">
        <w:rPr>
          <w:rFonts w:ascii="Times New Roman" w:hAnsi="Times New Roman" w:cs="Times New Roman"/>
        </w:rPr>
        <w:t>Santis</w:t>
      </w:r>
      <w:proofErr w:type="spellEnd"/>
      <w:r w:rsidR="00012ACD" w:rsidRPr="00A31903">
        <w:rPr>
          <w:rFonts w:ascii="Times New Roman" w:hAnsi="Times New Roman" w:cs="Times New Roman"/>
        </w:rPr>
        <w:t xml:space="preserve"> </w:t>
      </w:r>
      <w:r w:rsidR="00012ACD" w:rsidRPr="00A31903">
        <w:rPr>
          <w:rFonts w:ascii="Times New Roman" w:hAnsi="Times New Roman" w:cs="Times New Roman"/>
          <w:i/>
        </w:rPr>
        <w:t>et al.</w:t>
      </w:r>
      <w:r w:rsidR="00CA3FCF" w:rsidRPr="00A31903">
        <w:rPr>
          <w:rFonts w:ascii="Times New Roman" w:hAnsi="Times New Roman" w:cs="Times New Roman"/>
        </w:rPr>
        <w:t>, (2001</w:t>
      </w:r>
      <w:r w:rsidR="00012ACD" w:rsidRPr="00A31903">
        <w:rPr>
          <w:rFonts w:ascii="Times New Roman" w:hAnsi="Times New Roman" w:cs="Times New Roman"/>
        </w:rPr>
        <w:t>) describe t</w:t>
      </w:r>
      <w:r w:rsidR="0015194E" w:rsidRPr="00A31903">
        <w:rPr>
          <w:rFonts w:ascii="Times New Roman" w:hAnsi="Times New Roman" w:cs="Times New Roman"/>
        </w:rPr>
        <w:t xml:space="preserve">ax burden </w:t>
      </w:r>
      <w:r w:rsidR="00012ACD" w:rsidRPr="00A31903">
        <w:rPr>
          <w:rFonts w:ascii="Times New Roman" w:hAnsi="Times New Roman" w:cs="Times New Roman"/>
        </w:rPr>
        <w:t>as representing</w:t>
      </w:r>
      <w:r w:rsidR="0015194E" w:rsidRPr="00A31903">
        <w:rPr>
          <w:rFonts w:ascii="Times New Roman" w:hAnsi="Times New Roman" w:cs="Times New Roman"/>
        </w:rPr>
        <w:t xml:space="preserve"> the wider indicator of th</w:t>
      </w:r>
      <w:r w:rsidR="001456FA" w:rsidRPr="00A31903">
        <w:rPr>
          <w:rFonts w:ascii="Times New Roman" w:hAnsi="Times New Roman" w:cs="Times New Roman"/>
        </w:rPr>
        <w:t>e role of taxation in a country’</w:t>
      </w:r>
      <w:r w:rsidR="0015194E" w:rsidRPr="00A31903">
        <w:rPr>
          <w:rFonts w:ascii="Times New Roman" w:hAnsi="Times New Roman" w:cs="Times New Roman"/>
        </w:rPr>
        <w:t>s</w:t>
      </w:r>
      <w:r w:rsidR="00B71DAF" w:rsidRPr="00A31903">
        <w:rPr>
          <w:rFonts w:ascii="Times New Roman" w:hAnsi="Times New Roman" w:cs="Times New Roman"/>
        </w:rPr>
        <w:t xml:space="preserve"> </w:t>
      </w:r>
      <w:r w:rsidR="0015194E" w:rsidRPr="00A31903">
        <w:rPr>
          <w:rFonts w:ascii="Times New Roman" w:hAnsi="Times New Roman" w:cs="Times New Roman"/>
        </w:rPr>
        <w:t>economy, which mirrors the entire tax burd</w:t>
      </w:r>
      <w:r w:rsidR="00246CB4" w:rsidRPr="00A31903">
        <w:rPr>
          <w:rFonts w:ascii="Times New Roman" w:hAnsi="Times New Roman" w:cs="Times New Roman"/>
        </w:rPr>
        <w:t>en born</w:t>
      </w:r>
      <w:r w:rsidR="00E22640" w:rsidRPr="00A31903">
        <w:rPr>
          <w:rFonts w:ascii="Times New Roman" w:hAnsi="Times New Roman" w:cs="Times New Roman"/>
        </w:rPr>
        <w:t>e</w:t>
      </w:r>
      <w:r w:rsidR="00246CB4" w:rsidRPr="00A31903">
        <w:rPr>
          <w:rFonts w:ascii="Times New Roman" w:hAnsi="Times New Roman" w:cs="Times New Roman"/>
        </w:rPr>
        <w:t xml:space="preserve"> by households and firms.</w:t>
      </w:r>
      <w:r w:rsidR="00B71DAF" w:rsidRPr="00A31903">
        <w:rPr>
          <w:rFonts w:ascii="Times New Roman" w:hAnsi="Times New Roman" w:cs="Times New Roman"/>
        </w:rPr>
        <w:t xml:space="preserve"> </w:t>
      </w:r>
      <w:proofErr w:type="spellStart"/>
      <w:r w:rsidR="004207D7" w:rsidRPr="00A31903">
        <w:rPr>
          <w:rFonts w:ascii="Times New Roman" w:hAnsi="Times New Roman" w:cs="Times New Roman"/>
          <w:lang w:val="en-GB"/>
        </w:rPr>
        <w:t>Entin</w:t>
      </w:r>
      <w:proofErr w:type="spellEnd"/>
      <w:r w:rsidR="004207D7" w:rsidRPr="00A31903">
        <w:rPr>
          <w:rFonts w:ascii="Times New Roman" w:hAnsi="Times New Roman" w:cs="Times New Roman"/>
          <w:lang w:val="en-GB"/>
        </w:rPr>
        <w:t xml:space="preserve"> (2004) maintains that tax burden is an economic impact caused by taxation and reflects the reactions of taxpayers because of this tax deduction. </w:t>
      </w:r>
      <w:r w:rsidR="004207D7" w:rsidRPr="00A31903">
        <w:rPr>
          <w:rFonts w:ascii="Times New Roman" w:hAnsi="Times New Roman" w:cs="Times New Roman"/>
        </w:rPr>
        <w:t xml:space="preserve">Black (1997) defined tax burden as the burden to which an entire society </w:t>
      </w:r>
      <w:proofErr w:type="gramStart"/>
      <w:r w:rsidR="004207D7" w:rsidRPr="00A31903">
        <w:rPr>
          <w:rFonts w:ascii="Times New Roman" w:hAnsi="Times New Roman" w:cs="Times New Roman"/>
        </w:rPr>
        <w:t>is subjected</w:t>
      </w:r>
      <w:proofErr w:type="gramEnd"/>
      <w:r w:rsidR="004207D7" w:rsidRPr="00A31903">
        <w:rPr>
          <w:rFonts w:ascii="Times New Roman" w:hAnsi="Times New Roman" w:cs="Times New Roman"/>
        </w:rPr>
        <w:t xml:space="preserve"> to, in terms of tax cost. </w:t>
      </w:r>
    </w:p>
    <w:p w:rsidR="00645F19" w:rsidRPr="00A31903" w:rsidRDefault="00AC6044" w:rsidP="00A927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Prior</w:t>
      </w:r>
      <w:r w:rsidR="00246CB4" w:rsidRPr="00A31903">
        <w:rPr>
          <w:rFonts w:ascii="Times New Roman" w:hAnsi="Times New Roman" w:cs="Times New Roman"/>
        </w:rPr>
        <w:t xml:space="preserve"> researche</w:t>
      </w:r>
      <w:r w:rsidR="00420636" w:rsidRPr="00A31903">
        <w:rPr>
          <w:rFonts w:ascii="Times New Roman" w:hAnsi="Times New Roman" w:cs="Times New Roman"/>
        </w:rPr>
        <w:t>r</w:t>
      </w:r>
      <w:r w:rsidR="00246CB4" w:rsidRPr="00A31903">
        <w:rPr>
          <w:rFonts w:ascii="Times New Roman" w:hAnsi="Times New Roman" w:cs="Times New Roman"/>
        </w:rPr>
        <w:t>s</w:t>
      </w:r>
      <w:r w:rsidR="00420636" w:rsidRPr="00A31903">
        <w:rPr>
          <w:rFonts w:ascii="Times New Roman" w:hAnsi="Times New Roman" w:cs="Times New Roman"/>
        </w:rPr>
        <w:t xml:space="preserve"> agree that </w:t>
      </w:r>
      <w:r w:rsidR="006A3A8B" w:rsidRPr="00A31903">
        <w:rPr>
          <w:rFonts w:ascii="Times New Roman" w:hAnsi="Times New Roman" w:cs="Times New Roman"/>
        </w:rPr>
        <w:t xml:space="preserve">tax burden </w:t>
      </w:r>
      <w:proofErr w:type="gramStart"/>
      <w:r w:rsidR="006A3A8B" w:rsidRPr="00A31903">
        <w:rPr>
          <w:rFonts w:ascii="Times New Roman" w:hAnsi="Times New Roman" w:cs="Times New Roman"/>
        </w:rPr>
        <w:t>can be measured</w:t>
      </w:r>
      <w:proofErr w:type="gramEnd"/>
      <w:r w:rsidR="006A3A8B" w:rsidRPr="00A31903">
        <w:rPr>
          <w:rFonts w:ascii="Times New Roman" w:hAnsi="Times New Roman" w:cs="Times New Roman"/>
        </w:rPr>
        <w:t xml:space="preserve"> quantitatively as a share of G</w:t>
      </w:r>
      <w:r w:rsidR="00CA3FCF" w:rsidRPr="00A31903">
        <w:rPr>
          <w:rFonts w:ascii="Times New Roman" w:hAnsi="Times New Roman" w:cs="Times New Roman"/>
        </w:rPr>
        <w:t xml:space="preserve">DP, (Baer </w:t>
      </w:r>
      <w:r w:rsidR="00C12F43" w:rsidRPr="00A31903">
        <w:rPr>
          <w:rFonts w:ascii="Times New Roman" w:hAnsi="Times New Roman" w:cs="Times New Roman"/>
        </w:rPr>
        <w:t>and</w:t>
      </w:r>
      <w:r w:rsidR="007752F5" w:rsidRPr="00A31903">
        <w:rPr>
          <w:rFonts w:ascii="Times New Roman" w:hAnsi="Times New Roman" w:cs="Times New Roman"/>
        </w:rPr>
        <w:t xml:space="preserve"> </w:t>
      </w:r>
      <w:proofErr w:type="spellStart"/>
      <w:r w:rsidR="007752F5" w:rsidRPr="00A31903">
        <w:rPr>
          <w:rFonts w:ascii="Times New Roman" w:hAnsi="Times New Roman" w:cs="Times New Roman"/>
        </w:rPr>
        <w:t>Galvao</w:t>
      </w:r>
      <w:proofErr w:type="spellEnd"/>
      <w:r w:rsidR="007752F5" w:rsidRPr="00A31903">
        <w:rPr>
          <w:rFonts w:ascii="Times New Roman" w:hAnsi="Times New Roman" w:cs="Times New Roman"/>
        </w:rPr>
        <w:t>, 2005</w:t>
      </w:r>
      <w:r w:rsidR="00CA3FCF" w:rsidRPr="00A31903">
        <w:rPr>
          <w:rFonts w:ascii="Times New Roman" w:hAnsi="Times New Roman" w:cs="Times New Roman"/>
        </w:rPr>
        <w:t xml:space="preserve">). </w:t>
      </w:r>
      <w:proofErr w:type="spellStart"/>
      <w:r w:rsidR="00CA3FCF" w:rsidRPr="00A31903">
        <w:rPr>
          <w:rFonts w:ascii="Times New Roman" w:hAnsi="Times New Roman" w:cs="Times New Roman"/>
        </w:rPr>
        <w:t>Daxon</w:t>
      </w:r>
      <w:proofErr w:type="spellEnd"/>
      <w:r w:rsidR="00CA3FCF" w:rsidRPr="00A31903">
        <w:rPr>
          <w:rFonts w:ascii="Times New Roman" w:hAnsi="Times New Roman" w:cs="Times New Roman"/>
        </w:rPr>
        <w:t xml:space="preserve"> </w:t>
      </w:r>
      <w:r w:rsidR="00C12F43" w:rsidRPr="00A31903">
        <w:rPr>
          <w:rFonts w:ascii="Times New Roman" w:hAnsi="Times New Roman" w:cs="Times New Roman"/>
        </w:rPr>
        <w:t>and</w:t>
      </w:r>
      <w:r w:rsidR="006A3A8B" w:rsidRPr="00A31903">
        <w:rPr>
          <w:rFonts w:ascii="Times New Roman" w:hAnsi="Times New Roman" w:cs="Times New Roman"/>
        </w:rPr>
        <w:t xml:space="preserve"> </w:t>
      </w:r>
      <w:proofErr w:type="spellStart"/>
      <w:r w:rsidR="006A3A8B" w:rsidRPr="00A31903">
        <w:rPr>
          <w:rFonts w:ascii="Times New Roman" w:hAnsi="Times New Roman" w:cs="Times New Roman"/>
        </w:rPr>
        <w:t>Enevoldsen</w:t>
      </w:r>
      <w:proofErr w:type="spellEnd"/>
      <w:r w:rsidR="006A3A8B" w:rsidRPr="00A31903">
        <w:rPr>
          <w:rFonts w:ascii="Times New Roman" w:hAnsi="Times New Roman" w:cs="Times New Roman"/>
        </w:rPr>
        <w:t xml:space="preserve"> (1998) suggested a measu</w:t>
      </w:r>
      <w:r w:rsidR="00420636" w:rsidRPr="00A31903">
        <w:rPr>
          <w:rFonts w:ascii="Times New Roman" w:hAnsi="Times New Roman" w:cs="Times New Roman"/>
        </w:rPr>
        <w:t>re of the tax burden per capita.</w:t>
      </w:r>
      <w:r w:rsidR="006A3A8B" w:rsidRPr="00A31903">
        <w:rPr>
          <w:rFonts w:ascii="Times New Roman" w:hAnsi="Times New Roman" w:cs="Times New Roman"/>
        </w:rPr>
        <w:t xml:space="preserve"> </w:t>
      </w:r>
      <w:r w:rsidR="00645F19" w:rsidRPr="00A31903">
        <w:rPr>
          <w:rFonts w:ascii="Times New Roman" w:hAnsi="Times New Roman" w:cs="Times New Roman"/>
        </w:rPr>
        <w:t>T</w:t>
      </w:r>
      <w:r w:rsidR="00D37705" w:rsidRPr="00A31903">
        <w:rPr>
          <w:rFonts w:ascii="Times New Roman" w:hAnsi="Times New Roman" w:cs="Times New Roman"/>
        </w:rPr>
        <w:t xml:space="preserve">he International Monetary Fund (IMF) </w:t>
      </w:r>
      <w:r w:rsidR="00645F19" w:rsidRPr="00A31903">
        <w:rPr>
          <w:rFonts w:ascii="Times New Roman" w:hAnsi="Times New Roman" w:cs="Times New Roman"/>
        </w:rPr>
        <w:t>employed</w:t>
      </w:r>
      <w:r w:rsidR="001456FA" w:rsidRPr="00A31903">
        <w:rPr>
          <w:rFonts w:ascii="Times New Roman" w:hAnsi="Times New Roman" w:cs="Times New Roman"/>
        </w:rPr>
        <w:t xml:space="preserve"> three </w:t>
      </w:r>
      <w:r w:rsidR="00645F19" w:rsidRPr="00A31903">
        <w:rPr>
          <w:rFonts w:ascii="Times New Roman" w:hAnsi="Times New Roman" w:cs="Times New Roman"/>
        </w:rPr>
        <w:t>methods</w:t>
      </w:r>
      <w:r w:rsidR="001456FA" w:rsidRPr="00A31903">
        <w:rPr>
          <w:rFonts w:ascii="Times New Roman" w:hAnsi="Times New Roman" w:cs="Times New Roman"/>
        </w:rPr>
        <w:t xml:space="preserve"> </w:t>
      </w:r>
      <w:r w:rsidR="007030DF" w:rsidRPr="00A31903">
        <w:rPr>
          <w:rFonts w:ascii="Times New Roman" w:hAnsi="Times New Roman" w:cs="Times New Roman"/>
        </w:rPr>
        <w:t xml:space="preserve">as follows: </w:t>
      </w:r>
    </w:p>
    <w:p w:rsidR="00645F19" w:rsidRPr="00A31903" w:rsidRDefault="00645F19" w:rsidP="00A927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9E149E" w:rsidRPr="00A31903">
        <w:rPr>
          <w:rFonts w:ascii="Times New Roman" w:hAnsi="Times New Roman" w:cs="Times New Roman"/>
        </w:rPr>
        <w:t xml:space="preserve">(1) </w:t>
      </w:r>
      <w:proofErr w:type="gramStart"/>
      <w:r w:rsidR="007030DF" w:rsidRPr="00A31903">
        <w:rPr>
          <w:rFonts w:ascii="Times New Roman" w:hAnsi="Times New Roman" w:cs="Times New Roman"/>
        </w:rPr>
        <w:t>ta</w:t>
      </w:r>
      <w:r w:rsidRPr="00A31903">
        <w:rPr>
          <w:rFonts w:ascii="Times New Roman" w:hAnsi="Times New Roman" w:cs="Times New Roman"/>
        </w:rPr>
        <w:t>x</w:t>
      </w:r>
      <w:proofErr w:type="gramEnd"/>
      <w:r w:rsidRPr="00A31903">
        <w:rPr>
          <w:rFonts w:ascii="Times New Roman" w:hAnsi="Times New Roman" w:cs="Times New Roman"/>
        </w:rPr>
        <w:t xml:space="preserve"> burden = total tax revenues/</w:t>
      </w:r>
      <w:r w:rsidR="009E149E" w:rsidRPr="00A31903">
        <w:rPr>
          <w:rFonts w:ascii="Times New Roman" w:hAnsi="Times New Roman" w:cs="Times New Roman"/>
        </w:rPr>
        <w:t>GNP</w:t>
      </w:r>
      <w:r w:rsidR="007030DF" w:rsidRPr="00A31903">
        <w:rPr>
          <w:rFonts w:ascii="Times New Roman" w:hAnsi="Times New Roman" w:cs="Times New Roman"/>
        </w:rPr>
        <w:t xml:space="preserve">, </w:t>
      </w:r>
    </w:p>
    <w:p w:rsidR="00645F19" w:rsidRPr="00A31903" w:rsidRDefault="00645F19" w:rsidP="00A927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9E149E" w:rsidRPr="00A31903">
        <w:rPr>
          <w:rFonts w:ascii="Times New Roman" w:hAnsi="Times New Roman" w:cs="Times New Roman"/>
        </w:rPr>
        <w:t xml:space="preserve">(2) </w:t>
      </w:r>
      <w:proofErr w:type="gramStart"/>
      <w:r w:rsidR="007030DF" w:rsidRPr="00A31903">
        <w:rPr>
          <w:rFonts w:ascii="Times New Roman" w:hAnsi="Times New Roman" w:cs="Times New Roman"/>
        </w:rPr>
        <w:t>tax</w:t>
      </w:r>
      <w:proofErr w:type="gramEnd"/>
      <w:r w:rsidR="007030DF" w:rsidRPr="00A31903">
        <w:rPr>
          <w:rFonts w:ascii="Times New Roman" w:hAnsi="Times New Roman" w:cs="Times New Roman"/>
        </w:rPr>
        <w:t xml:space="preserve"> burden = total t</w:t>
      </w:r>
      <w:r w:rsidRPr="00A31903">
        <w:rPr>
          <w:rFonts w:ascii="Times New Roman" w:hAnsi="Times New Roman" w:cs="Times New Roman"/>
        </w:rPr>
        <w:t>ax revenues/</w:t>
      </w:r>
      <w:r w:rsidR="007030DF" w:rsidRPr="00A31903">
        <w:rPr>
          <w:rFonts w:ascii="Times New Roman" w:hAnsi="Times New Roman" w:cs="Times New Roman"/>
        </w:rPr>
        <w:t xml:space="preserve">per capita income, and </w:t>
      </w:r>
    </w:p>
    <w:p w:rsidR="00645F19" w:rsidRPr="00A31903" w:rsidRDefault="00645F19" w:rsidP="00A927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9E149E" w:rsidRPr="00A31903">
        <w:rPr>
          <w:rFonts w:ascii="Times New Roman" w:hAnsi="Times New Roman" w:cs="Times New Roman"/>
        </w:rPr>
        <w:t xml:space="preserve">(3) </w:t>
      </w:r>
      <w:proofErr w:type="gramStart"/>
      <w:r w:rsidR="007030DF" w:rsidRPr="00A31903">
        <w:rPr>
          <w:rFonts w:ascii="Times New Roman" w:hAnsi="Times New Roman" w:cs="Times New Roman"/>
        </w:rPr>
        <w:t>tax</w:t>
      </w:r>
      <w:proofErr w:type="gramEnd"/>
      <w:r w:rsidR="007030DF" w:rsidRPr="00A31903">
        <w:rPr>
          <w:rFonts w:ascii="Times New Roman" w:hAnsi="Times New Roman" w:cs="Times New Roman"/>
        </w:rPr>
        <w:t xml:space="preserve"> burden = total tax revenu</w:t>
      </w:r>
      <w:r w:rsidRPr="00A31903">
        <w:rPr>
          <w:rFonts w:ascii="Times New Roman" w:hAnsi="Times New Roman" w:cs="Times New Roman"/>
        </w:rPr>
        <w:t>es/</w:t>
      </w:r>
      <w:r w:rsidR="007030DF" w:rsidRPr="00A31903">
        <w:rPr>
          <w:rFonts w:ascii="Times New Roman" w:hAnsi="Times New Roman" w:cs="Times New Roman"/>
        </w:rPr>
        <w:t>size of the foreign trade</w:t>
      </w:r>
      <w:r w:rsidRPr="00A31903">
        <w:rPr>
          <w:rFonts w:ascii="Times New Roman" w:hAnsi="Times New Roman" w:cs="Times New Roman"/>
        </w:rPr>
        <w:t>.</w:t>
      </w:r>
    </w:p>
    <w:p w:rsidR="00776E0C" w:rsidRPr="00A31903" w:rsidRDefault="00CA3FCF" w:rsidP="00A927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Marar</w:t>
      </w:r>
      <w:proofErr w:type="spellEnd"/>
      <w:r w:rsidRPr="00A31903">
        <w:rPr>
          <w:rFonts w:ascii="Times New Roman" w:hAnsi="Times New Roman" w:cs="Times New Roman"/>
        </w:rPr>
        <w:t xml:space="preserve"> </w:t>
      </w:r>
      <w:r w:rsidR="00C12F43" w:rsidRPr="00A31903">
        <w:rPr>
          <w:rFonts w:ascii="Times New Roman" w:hAnsi="Times New Roman" w:cs="Times New Roman"/>
        </w:rPr>
        <w:t>and</w:t>
      </w:r>
      <w:r w:rsidR="007030DF" w:rsidRPr="00A31903">
        <w:rPr>
          <w:rFonts w:ascii="Times New Roman" w:hAnsi="Times New Roman" w:cs="Times New Roman"/>
        </w:rPr>
        <w:t xml:space="preserve"> El-</w:t>
      </w:r>
      <w:proofErr w:type="spellStart"/>
      <w:r w:rsidR="007030DF" w:rsidRPr="00A31903">
        <w:rPr>
          <w:rFonts w:ascii="Times New Roman" w:hAnsi="Times New Roman" w:cs="Times New Roman"/>
        </w:rPr>
        <w:t>hindi</w:t>
      </w:r>
      <w:proofErr w:type="spellEnd"/>
      <w:r w:rsidR="007030DF" w:rsidRPr="00A31903">
        <w:rPr>
          <w:rFonts w:ascii="Times New Roman" w:hAnsi="Times New Roman" w:cs="Times New Roman"/>
        </w:rPr>
        <w:t>,</w:t>
      </w:r>
      <w:r w:rsidRPr="00A31903">
        <w:rPr>
          <w:rFonts w:ascii="Times New Roman" w:hAnsi="Times New Roman" w:cs="Times New Roman"/>
        </w:rPr>
        <w:t xml:space="preserve"> 1980</w:t>
      </w:r>
      <w:r w:rsidR="009E149E" w:rsidRPr="00A31903">
        <w:rPr>
          <w:rFonts w:ascii="Times New Roman" w:hAnsi="Times New Roman" w:cs="Times New Roman"/>
        </w:rPr>
        <w:t xml:space="preserve"> </w:t>
      </w:r>
      <w:r w:rsidR="00645F19" w:rsidRPr="00A31903">
        <w:rPr>
          <w:rFonts w:ascii="Times New Roman" w:hAnsi="Times New Roman" w:cs="Times New Roman"/>
        </w:rPr>
        <w:t xml:space="preserve">used the third method </w:t>
      </w:r>
      <w:r w:rsidR="009E149E" w:rsidRPr="00A31903">
        <w:rPr>
          <w:rFonts w:ascii="Times New Roman" w:hAnsi="Times New Roman" w:cs="Times New Roman"/>
        </w:rPr>
        <w:t xml:space="preserve">to </w:t>
      </w:r>
      <w:r w:rsidR="00645F19" w:rsidRPr="00A31903">
        <w:rPr>
          <w:rFonts w:ascii="Times New Roman" w:hAnsi="Times New Roman" w:cs="Times New Roman"/>
        </w:rPr>
        <w:t>c</w:t>
      </w:r>
      <w:r w:rsidR="009E149E" w:rsidRPr="00A31903">
        <w:rPr>
          <w:rFonts w:ascii="Times New Roman" w:hAnsi="Times New Roman" w:cs="Times New Roman"/>
        </w:rPr>
        <w:t>ompute</w:t>
      </w:r>
      <w:r w:rsidR="00645F19" w:rsidRPr="00A31903">
        <w:rPr>
          <w:rFonts w:ascii="Times New Roman" w:hAnsi="Times New Roman" w:cs="Times New Roman"/>
        </w:rPr>
        <w:t xml:space="preserve"> tax burden</w:t>
      </w:r>
      <w:r w:rsidR="007030DF" w:rsidRPr="00A31903">
        <w:rPr>
          <w:rFonts w:ascii="Times New Roman" w:hAnsi="Times New Roman" w:cs="Times New Roman"/>
        </w:rPr>
        <w:t xml:space="preserve">. </w:t>
      </w:r>
      <w:r w:rsidR="00420636" w:rsidRPr="00A31903">
        <w:rPr>
          <w:rFonts w:ascii="Times New Roman" w:hAnsi="Times New Roman" w:cs="Times New Roman"/>
        </w:rPr>
        <w:t xml:space="preserve">The measures of tax burden are indicators of how </w:t>
      </w:r>
      <w:r w:rsidR="00645F19" w:rsidRPr="00A31903">
        <w:rPr>
          <w:rFonts w:ascii="Times New Roman" w:hAnsi="Times New Roman" w:cs="Times New Roman"/>
        </w:rPr>
        <w:t>efficient</w:t>
      </w:r>
      <w:r w:rsidR="00420636" w:rsidRPr="00A31903">
        <w:rPr>
          <w:rFonts w:ascii="Times New Roman" w:hAnsi="Times New Roman" w:cs="Times New Roman"/>
        </w:rPr>
        <w:t xml:space="preserve"> tax policy meets one of its primary</w:t>
      </w:r>
      <w:r w:rsidR="00EC41C8" w:rsidRPr="00A31903">
        <w:rPr>
          <w:rFonts w:ascii="Times New Roman" w:hAnsi="Times New Roman" w:cs="Times New Roman"/>
        </w:rPr>
        <w:t xml:space="preserve"> goals</w:t>
      </w:r>
      <w:r w:rsidR="00645F19" w:rsidRPr="00A31903">
        <w:rPr>
          <w:rFonts w:ascii="Times New Roman" w:hAnsi="Times New Roman" w:cs="Times New Roman"/>
        </w:rPr>
        <w:t xml:space="preserve"> of</w:t>
      </w:r>
      <w:r w:rsidR="00EC41C8" w:rsidRPr="00A31903">
        <w:rPr>
          <w:rFonts w:ascii="Times New Roman" w:hAnsi="Times New Roman" w:cs="Times New Roman"/>
        </w:rPr>
        <w:t xml:space="preserve"> </w:t>
      </w:r>
      <w:r w:rsidR="00420636" w:rsidRPr="00A31903">
        <w:rPr>
          <w:rFonts w:ascii="Times New Roman" w:hAnsi="Times New Roman" w:cs="Times New Roman"/>
        </w:rPr>
        <w:t xml:space="preserve">equitably raising the revenues needed to run </w:t>
      </w:r>
      <w:r w:rsidR="00776E0C" w:rsidRPr="00A31903">
        <w:rPr>
          <w:rFonts w:ascii="Times New Roman" w:hAnsi="Times New Roman" w:cs="Times New Roman"/>
        </w:rPr>
        <w:t>a tax jurisdiction</w:t>
      </w:r>
      <w:r w:rsidR="00420636" w:rsidRPr="00A31903">
        <w:rPr>
          <w:rFonts w:ascii="Times New Roman" w:hAnsi="Times New Roman" w:cs="Times New Roman"/>
        </w:rPr>
        <w:t>.</w:t>
      </w:r>
      <w:r w:rsidR="00283E2F" w:rsidRPr="00A31903">
        <w:rPr>
          <w:rFonts w:ascii="Times New Roman" w:hAnsi="Times New Roman" w:cs="Times New Roman"/>
        </w:rPr>
        <w:t xml:space="preserve"> </w:t>
      </w:r>
    </w:p>
    <w:p w:rsidR="00A927B4" w:rsidRPr="00A31903" w:rsidRDefault="00776E0C" w:rsidP="00A927B4">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rPr>
        <w:t xml:space="preserve">     In </w:t>
      </w:r>
      <w:r w:rsidRPr="00A31903">
        <w:rPr>
          <w:rFonts w:ascii="Times New Roman" w:hAnsi="Times New Roman" w:cs="Times New Roman"/>
          <w:lang w:val="en-GB"/>
        </w:rPr>
        <w:t xml:space="preserve">assessing the tax burden and taxable capacity, </w:t>
      </w:r>
      <w:proofErr w:type="spellStart"/>
      <w:r w:rsidR="007C2492" w:rsidRPr="00A31903">
        <w:rPr>
          <w:rFonts w:ascii="Times New Roman" w:hAnsi="Times New Roman" w:cs="Times New Roman"/>
          <w:lang w:val="en-GB"/>
        </w:rPr>
        <w:t>Toye</w:t>
      </w:r>
      <w:proofErr w:type="spellEnd"/>
      <w:r w:rsidR="007C2492" w:rsidRPr="00A31903">
        <w:rPr>
          <w:rFonts w:ascii="Times New Roman" w:hAnsi="Times New Roman" w:cs="Times New Roman"/>
          <w:lang w:val="en-GB"/>
        </w:rPr>
        <w:t xml:space="preserve"> (</w:t>
      </w:r>
      <w:r w:rsidR="00A33E0A" w:rsidRPr="00A31903">
        <w:rPr>
          <w:rFonts w:ascii="Times New Roman" w:hAnsi="Times New Roman" w:cs="Times New Roman"/>
          <w:lang w:val="en-GB"/>
        </w:rPr>
        <w:t>1978</w:t>
      </w:r>
      <w:r w:rsidR="007C2492" w:rsidRPr="00A31903">
        <w:rPr>
          <w:rFonts w:ascii="Times New Roman" w:hAnsi="Times New Roman" w:cs="Times New Roman"/>
          <w:lang w:val="en-GB"/>
        </w:rPr>
        <w:t>)</w:t>
      </w:r>
      <w:r w:rsidR="00A33E0A" w:rsidRPr="00A31903">
        <w:rPr>
          <w:rFonts w:ascii="Times New Roman" w:hAnsi="Times New Roman" w:cs="Times New Roman"/>
          <w:lang w:val="en-GB"/>
        </w:rPr>
        <w:t xml:space="preserve"> provided </w:t>
      </w:r>
      <w:r w:rsidR="007C2492" w:rsidRPr="00A31903">
        <w:rPr>
          <w:rFonts w:ascii="Times New Roman" w:hAnsi="Times New Roman" w:cs="Times New Roman"/>
          <w:lang w:val="en-GB"/>
        </w:rPr>
        <w:t xml:space="preserve">a typology </w:t>
      </w:r>
      <w:r w:rsidRPr="00A31903">
        <w:rPr>
          <w:rFonts w:ascii="Times New Roman" w:hAnsi="Times New Roman" w:cs="Times New Roman"/>
          <w:lang w:val="en-GB"/>
        </w:rPr>
        <w:t>as displayed in Table I, which will serve as</w:t>
      </w:r>
      <w:r w:rsidR="00A33E0A" w:rsidRPr="00A31903">
        <w:rPr>
          <w:rFonts w:ascii="Times New Roman" w:hAnsi="Times New Roman" w:cs="Times New Roman"/>
          <w:lang w:val="en-GB"/>
        </w:rPr>
        <w:t xml:space="preserve"> a guide for tax policy classification </w:t>
      </w:r>
      <w:r w:rsidRPr="00A31903">
        <w:rPr>
          <w:rFonts w:ascii="Times New Roman" w:hAnsi="Times New Roman" w:cs="Times New Roman"/>
          <w:lang w:val="en-GB"/>
        </w:rPr>
        <w:t>of</w:t>
      </w:r>
      <w:r w:rsidR="00A33E0A" w:rsidRPr="00A31903">
        <w:rPr>
          <w:rFonts w:ascii="Times New Roman" w:hAnsi="Times New Roman" w:cs="Times New Roman"/>
          <w:lang w:val="en-GB"/>
        </w:rPr>
        <w:t xml:space="preserve"> any country</w:t>
      </w:r>
      <w:r w:rsidRPr="00A31903">
        <w:rPr>
          <w:rFonts w:ascii="Times New Roman" w:hAnsi="Times New Roman" w:cs="Times New Roman"/>
          <w:lang w:val="en-GB"/>
        </w:rPr>
        <w:t>.</w:t>
      </w:r>
    </w:p>
    <w:p w:rsidR="000037CF" w:rsidRPr="00A31903" w:rsidRDefault="000037CF" w:rsidP="00A927B4">
      <w:pPr>
        <w:autoSpaceDE w:val="0"/>
        <w:autoSpaceDN w:val="0"/>
        <w:adjustRightInd w:val="0"/>
        <w:spacing w:after="0" w:line="240" w:lineRule="auto"/>
        <w:jc w:val="both"/>
        <w:rPr>
          <w:rFonts w:ascii="Times New Roman" w:hAnsi="Times New Roman" w:cs="Times New Roman"/>
          <w:lang w:val="en-GB"/>
        </w:rPr>
      </w:pPr>
    </w:p>
    <w:p w:rsidR="00B044F7" w:rsidRPr="00A31903" w:rsidRDefault="00A927B4" w:rsidP="00A927B4">
      <w:pPr>
        <w:autoSpaceDE w:val="0"/>
        <w:autoSpaceDN w:val="0"/>
        <w:adjustRightInd w:val="0"/>
        <w:spacing w:after="0" w:line="240" w:lineRule="auto"/>
        <w:jc w:val="both"/>
        <w:rPr>
          <w:rFonts w:ascii="Times New Roman" w:hAnsi="Times New Roman" w:cs="Times New Roman"/>
          <w:b/>
        </w:rPr>
      </w:pPr>
      <w:r w:rsidRPr="00A31903">
        <w:rPr>
          <w:rFonts w:ascii="Times New Roman" w:hAnsi="Times New Roman" w:cs="Times New Roman"/>
        </w:rPr>
        <w:t xml:space="preserve"> </w:t>
      </w:r>
      <w:r w:rsidRPr="00A31903">
        <w:rPr>
          <w:rFonts w:ascii="Times New Roman" w:hAnsi="Times New Roman" w:cs="Times New Roman"/>
          <w:b/>
        </w:rPr>
        <w:t xml:space="preserve">Table I: </w:t>
      </w:r>
      <w:r w:rsidR="00A33E0A" w:rsidRPr="00A31903">
        <w:rPr>
          <w:rFonts w:ascii="Times New Roman" w:hAnsi="Times New Roman" w:cs="Times New Roman"/>
          <w:b/>
        </w:rPr>
        <w:t>Typology of taxable capacity and tax burden</w:t>
      </w:r>
    </w:p>
    <w:p w:rsidR="00B12919" w:rsidRPr="00A31903" w:rsidRDefault="00B12919" w:rsidP="00A927B4">
      <w:pPr>
        <w:autoSpaceDE w:val="0"/>
        <w:autoSpaceDN w:val="0"/>
        <w:adjustRightInd w:val="0"/>
        <w:spacing w:after="0" w:line="240" w:lineRule="auto"/>
        <w:jc w:val="both"/>
        <w:rPr>
          <w:rFonts w:ascii="Times New Roman" w:hAnsi="Times New Roman" w:cs="Times New Roman"/>
          <w:b/>
        </w:rPr>
      </w:pPr>
    </w:p>
    <w:tbl>
      <w:tblPr>
        <w:tblpPr w:leftFromText="180" w:rightFromText="180" w:vertAnchor="text" w:horzAnchor="margin" w:tblpXSpec="center" w:tblpY="306"/>
        <w:tblW w:w="9300" w:type="dxa"/>
        <w:tblLook w:val="04A0" w:firstRow="1" w:lastRow="0" w:firstColumn="1" w:lastColumn="0" w:noHBand="0" w:noVBand="1"/>
      </w:tblPr>
      <w:tblGrid>
        <w:gridCol w:w="1142"/>
        <w:gridCol w:w="783"/>
        <w:gridCol w:w="3651"/>
        <w:gridCol w:w="3724"/>
      </w:tblGrid>
      <w:tr w:rsidR="00A33E0A" w:rsidRPr="00A31903" w:rsidTr="00A33E0A">
        <w:trPr>
          <w:trHeight w:val="242"/>
        </w:trPr>
        <w:tc>
          <w:tcPr>
            <w:tcW w:w="192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A33E0A" w:rsidRPr="00A31903" w:rsidRDefault="00A33E0A" w:rsidP="00F92EDF">
            <w:pPr>
              <w:spacing w:after="0" w:line="240" w:lineRule="auto"/>
              <w:jc w:val="center"/>
              <w:rPr>
                <w:rFonts w:ascii="Times New Roman" w:eastAsia="Times New Roman" w:hAnsi="Times New Roman" w:cs="Times New Roman"/>
                <w:color w:val="000000"/>
                <w:lang w:eastAsia="en-GB"/>
              </w:rPr>
            </w:pPr>
            <w:r w:rsidRPr="00A31903">
              <w:rPr>
                <w:rFonts w:ascii="Times New Roman" w:eastAsia="Times New Roman" w:hAnsi="Times New Roman" w:cs="Times New Roman"/>
                <w:color w:val="000000"/>
                <w:lang w:eastAsia="en-GB"/>
              </w:rPr>
              <w:t> </w:t>
            </w:r>
          </w:p>
        </w:tc>
        <w:tc>
          <w:tcPr>
            <w:tcW w:w="7374" w:type="dxa"/>
            <w:gridSpan w:val="2"/>
            <w:tcBorders>
              <w:top w:val="single" w:sz="4" w:space="0" w:color="auto"/>
              <w:left w:val="nil"/>
              <w:bottom w:val="single" w:sz="4" w:space="0" w:color="auto"/>
              <w:right w:val="single" w:sz="4" w:space="0" w:color="auto"/>
            </w:tcBorders>
            <w:shd w:val="clear" w:color="auto" w:fill="auto"/>
            <w:noWrap/>
            <w:vAlign w:val="bottom"/>
            <w:hideMark/>
          </w:tcPr>
          <w:p w:rsidR="00A33E0A" w:rsidRPr="00A31903" w:rsidRDefault="00A33E0A" w:rsidP="00F92EDF">
            <w:pPr>
              <w:spacing w:after="0" w:line="240" w:lineRule="auto"/>
              <w:jc w:val="center"/>
              <w:rPr>
                <w:rFonts w:ascii="Times New Roman" w:eastAsia="Times New Roman" w:hAnsi="Times New Roman" w:cs="Times New Roman"/>
                <w:color w:val="000000"/>
                <w:lang w:eastAsia="en-GB"/>
              </w:rPr>
            </w:pPr>
            <w:r w:rsidRPr="00A31903">
              <w:rPr>
                <w:rFonts w:ascii="Times New Roman" w:eastAsia="Times New Roman" w:hAnsi="Times New Roman" w:cs="Times New Roman"/>
                <w:color w:val="000000"/>
                <w:lang w:eastAsia="en-GB"/>
              </w:rPr>
              <w:t>Tax burden</w:t>
            </w:r>
          </w:p>
          <w:p w:rsidR="00A33E0A" w:rsidRPr="00A31903" w:rsidRDefault="00A33E0A" w:rsidP="00F92EDF">
            <w:pPr>
              <w:spacing w:after="0" w:line="240" w:lineRule="auto"/>
              <w:jc w:val="center"/>
              <w:rPr>
                <w:rFonts w:ascii="Times New Roman" w:eastAsia="Times New Roman" w:hAnsi="Times New Roman" w:cs="Times New Roman"/>
                <w:color w:val="000000"/>
                <w:lang w:eastAsia="en-GB"/>
              </w:rPr>
            </w:pPr>
          </w:p>
        </w:tc>
      </w:tr>
      <w:tr w:rsidR="00A33E0A" w:rsidRPr="00A31903" w:rsidTr="00A33E0A">
        <w:trPr>
          <w:trHeight w:val="242"/>
        </w:trPr>
        <w:tc>
          <w:tcPr>
            <w:tcW w:w="1925" w:type="dxa"/>
            <w:gridSpan w:val="2"/>
            <w:vMerge/>
            <w:tcBorders>
              <w:top w:val="single" w:sz="4" w:space="0" w:color="auto"/>
              <w:left w:val="single" w:sz="4" w:space="0" w:color="auto"/>
              <w:bottom w:val="single" w:sz="4" w:space="0" w:color="000000"/>
              <w:right w:val="single" w:sz="4" w:space="0" w:color="000000"/>
            </w:tcBorders>
            <w:vAlign w:val="center"/>
            <w:hideMark/>
          </w:tcPr>
          <w:p w:rsidR="00A33E0A" w:rsidRPr="00A31903" w:rsidRDefault="00A33E0A" w:rsidP="00F92EDF">
            <w:pPr>
              <w:spacing w:after="0" w:line="240" w:lineRule="auto"/>
              <w:rPr>
                <w:rFonts w:ascii="Times New Roman" w:eastAsia="Times New Roman" w:hAnsi="Times New Roman" w:cs="Times New Roman"/>
                <w:color w:val="000000"/>
                <w:lang w:eastAsia="en-GB"/>
              </w:rPr>
            </w:pPr>
          </w:p>
        </w:tc>
        <w:tc>
          <w:tcPr>
            <w:tcW w:w="3651" w:type="dxa"/>
            <w:tcBorders>
              <w:top w:val="nil"/>
              <w:left w:val="nil"/>
              <w:bottom w:val="single" w:sz="4" w:space="0" w:color="auto"/>
              <w:right w:val="single" w:sz="4" w:space="0" w:color="auto"/>
            </w:tcBorders>
            <w:shd w:val="clear" w:color="auto" w:fill="auto"/>
            <w:noWrap/>
            <w:vAlign w:val="bottom"/>
            <w:hideMark/>
          </w:tcPr>
          <w:p w:rsidR="00A33E0A" w:rsidRPr="00A31903" w:rsidRDefault="00A33E0A" w:rsidP="00F92EDF">
            <w:pPr>
              <w:spacing w:after="0" w:line="240" w:lineRule="auto"/>
              <w:rPr>
                <w:rFonts w:ascii="Times New Roman" w:eastAsia="Times New Roman" w:hAnsi="Times New Roman" w:cs="Times New Roman"/>
                <w:color w:val="000000"/>
                <w:lang w:eastAsia="en-GB"/>
              </w:rPr>
            </w:pPr>
            <w:r w:rsidRPr="00A31903">
              <w:rPr>
                <w:rFonts w:ascii="Times New Roman" w:eastAsia="Times New Roman" w:hAnsi="Times New Roman" w:cs="Times New Roman"/>
                <w:color w:val="000000"/>
                <w:lang w:eastAsia="en-GB"/>
              </w:rPr>
              <w:t>High</w:t>
            </w:r>
          </w:p>
        </w:tc>
        <w:tc>
          <w:tcPr>
            <w:tcW w:w="3724" w:type="dxa"/>
            <w:tcBorders>
              <w:top w:val="nil"/>
              <w:left w:val="nil"/>
              <w:bottom w:val="single" w:sz="4" w:space="0" w:color="auto"/>
              <w:right w:val="single" w:sz="4" w:space="0" w:color="auto"/>
            </w:tcBorders>
            <w:shd w:val="clear" w:color="auto" w:fill="auto"/>
            <w:noWrap/>
            <w:vAlign w:val="bottom"/>
            <w:hideMark/>
          </w:tcPr>
          <w:p w:rsidR="00A33E0A" w:rsidRPr="00A31903" w:rsidRDefault="00A33E0A" w:rsidP="00F92EDF">
            <w:pPr>
              <w:spacing w:after="0" w:line="240" w:lineRule="auto"/>
              <w:rPr>
                <w:rFonts w:ascii="Times New Roman" w:eastAsia="Times New Roman" w:hAnsi="Times New Roman" w:cs="Times New Roman"/>
                <w:color w:val="000000"/>
                <w:lang w:eastAsia="en-GB"/>
              </w:rPr>
            </w:pPr>
            <w:r w:rsidRPr="00A31903">
              <w:rPr>
                <w:rFonts w:ascii="Times New Roman" w:eastAsia="Times New Roman" w:hAnsi="Times New Roman" w:cs="Times New Roman"/>
                <w:color w:val="000000"/>
                <w:lang w:eastAsia="en-GB"/>
              </w:rPr>
              <w:t>Low</w:t>
            </w:r>
          </w:p>
        </w:tc>
      </w:tr>
      <w:tr w:rsidR="00A33E0A" w:rsidRPr="00A31903" w:rsidTr="00A33E0A">
        <w:trPr>
          <w:trHeight w:val="242"/>
        </w:trPr>
        <w:tc>
          <w:tcPr>
            <w:tcW w:w="114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A33E0A" w:rsidRPr="00A31903" w:rsidRDefault="00A33E0A" w:rsidP="00F92EDF">
            <w:pPr>
              <w:spacing w:after="0" w:line="240" w:lineRule="auto"/>
              <w:ind w:left="113" w:right="113"/>
              <w:jc w:val="center"/>
              <w:rPr>
                <w:rFonts w:ascii="Times New Roman" w:eastAsia="Times New Roman" w:hAnsi="Times New Roman" w:cs="Times New Roman"/>
                <w:color w:val="000000"/>
                <w:lang w:eastAsia="en-GB"/>
              </w:rPr>
            </w:pPr>
            <w:r w:rsidRPr="00A31903">
              <w:rPr>
                <w:rFonts w:ascii="Times New Roman" w:eastAsia="Times New Roman" w:hAnsi="Times New Roman" w:cs="Times New Roman"/>
                <w:color w:val="000000"/>
                <w:lang w:eastAsia="en-GB"/>
              </w:rPr>
              <w:t>Taxable capacity</w:t>
            </w:r>
          </w:p>
        </w:tc>
        <w:tc>
          <w:tcPr>
            <w:tcW w:w="783" w:type="dxa"/>
            <w:tcBorders>
              <w:top w:val="nil"/>
              <w:left w:val="nil"/>
              <w:bottom w:val="single" w:sz="4" w:space="0" w:color="auto"/>
              <w:right w:val="single" w:sz="4" w:space="0" w:color="auto"/>
            </w:tcBorders>
            <w:shd w:val="clear" w:color="auto" w:fill="auto"/>
            <w:noWrap/>
            <w:vAlign w:val="bottom"/>
            <w:hideMark/>
          </w:tcPr>
          <w:p w:rsidR="00A33E0A" w:rsidRPr="00A31903" w:rsidRDefault="00A33E0A" w:rsidP="00F92EDF">
            <w:pPr>
              <w:spacing w:after="0" w:line="240" w:lineRule="auto"/>
              <w:rPr>
                <w:rFonts w:ascii="Times New Roman" w:eastAsia="Times New Roman" w:hAnsi="Times New Roman" w:cs="Times New Roman"/>
                <w:color w:val="000000"/>
                <w:lang w:eastAsia="en-GB"/>
              </w:rPr>
            </w:pPr>
            <w:r w:rsidRPr="00A31903">
              <w:rPr>
                <w:rFonts w:ascii="Times New Roman" w:eastAsia="Times New Roman" w:hAnsi="Times New Roman" w:cs="Times New Roman"/>
                <w:color w:val="000000"/>
                <w:lang w:eastAsia="en-GB"/>
              </w:rPr>
              <w:t>High</w:t>
            </w:r>
          </w:p>
        </w:tc>
        <w:tc>
          <w:tcPr>
            <w:tcW w:w="3651" w:type="dxa"/>
            <w:tcBorders>
              <w:top w:val="nil"/>
              <w:left w:val="nil"/>
              <w:bottom w:val="single" w:sz="4" w:space="0" w:color="auto"/>
              <w:right w:val="single" w:sz="4" w:space="0" w:color="auto"/>
            </w:tcBorders>
            <w:shd w:val="clear" w:color="auto" w:fill="auto"/>
            <w:noWrap/>
            <w:vAlign w:val="bottom"/>
            <w:hideMark/>
          </w:tcPr>
          <w:p w:rsidR="00A33E0A" w:rsidRPr="00A31903" w:rsidRDefault="00A33E0A" w:rsidP="00F92EDF">
            <w:pPr>
              <w:spacing w:after="0" w:line="240" w:lineRule="auto"/>
              <w:rPr>
                <w:rFonts w:ascii="Times New Roman" w:eastAsia="Times New Roman" w:hAnsi="Times New Roman" w:cs="Times New Roman"/>
                <w:color w:val="000000"/>
                <w:lang w:eastAsia="en-GB"/>
              </w:rPr>
            </w:pPr>
            <w:r w:rsidRPr="00A31903">
              <w:rPr>
                <w:rFonts w:ascii="Times New Roman" w:eastAsia="Times New Roman" w:hAnsi="Times New Roman" w:cs="Times New Roman"/>
                <w:color w:val="000000"/>
                <w:lang w:eastAsia="en-GB"/>
              </w:rPr>
              <w:t>High taxable capacity and high tax burden</w:t>
            </w:r>
          </w:p>
        </w:tc>
        <w:tc>
          <w:tcPr>
            <w:tcW w:w="3724" w:type="dxa"/>
            <w:tcBorders>
              <w:top w:val="nil"/>
              <w:left w:val="nil"/>
              <w:bottom w:val="single" w:sz="4" w:space="0" w:color="auto"/>
              <w:right w:val="single" w:sz="4" w:space="0" w:color="auto"/>
            </w:tcBorders>
            <w:shd w:val="clear" w:color="auto" w:fill="auto"/>
            <w:noWrap/>
            <w:vAlign w:val="bottom"/>
            <w:hideMark/>
          </w:tcPr>
          <w:p w:rsidR="00A33E0A" w:rsidRPr="00A31903" w:rsidRDefault="00A33E0A" w:rsidP="00F92EDF">
            <w:pPr>
              <w:spacing w:after="0" w:line="240" w:lineRule="auto"/>
              <w:rPr>
                <w:rFonts w:ascii="Times New Roman" w:eastAsia="Times New Roman" w:hAnsi="Times New Roman" w:cs="Times New Roman"/>
                <w:color w:val="000000"/>
                <w:lang w:eastAsia="en-GB"/>
              </w:rPr>
            </w:pPr>
            <w:r w:rsidRPr="00A31903">
              <w:rPr>
                <w:rFonts w:ascii="Times New Roman" w:eastAsia="Times New Roman" w:hAnsi="Times New Roman" w:cs="Times New Roman"/>
                <w:color w:val="000000"/>
                <w:lang w:eastAsia="en-GB"/>
              </w:rPr>
              <w:t>High taxable capacity and low tax burden</w:t>
            </w:r>
          </w:p>
        </w:tc>
      </w:tr>
      <w:tr w:rsidR="00A33E0A" w:rsidRPr="00A31903" w:rsidTr="00A33E0A">
        <w:trPr>
          <w:trHeight w:val="301"/>
        </w:trPr>
        <w:tc>
          <w:tcPr>
            <w:tcW w:w="1142" w:type="dxa"/>
            <w:vMerge/>
            <w:tcBorders>
              <w:top w:val="nil"/>
              <w:left w:val="single" w:sz="4" w:space="0" w:color="auto"/>
              <w:bottom w:val="single" w:sz="4" w:space="0" w:color="auto"/>
              <w:right w:val="single" w:sz="4" w:space="0" w:color="auto"/>
            </w:tcBorders>
            <w:vAlign w:val="center"/>
            <w:hideMark/>
          </w:tcPr>
          <w:p w:rsidR="00A33E0A" w:rsidRPr="00A31903" w:rsidRDefault="00A33E0A" w:rsidP="00F92EDF">
            <w:pPr>
              <w:spacing w:after="0" w:line="240" w:lineRule="auto"/>
              <w:rPr>
                <w:rFonts w:ascii="Times New Roman" w:eastAsia="Times New Roman" w:hAnsi="Times New Roman" w:cs="Times New Roman"/>
                <w:color w:val="000000"/>
                <w:lang w:eastAsia="en-GB"/>
              </w:rPr>
            </w:pPr>
          </w:p>
        </w:tc>
        <w:tc>
          <w:tcPr>
            <w:tcW w:w="783" w:type="dxa"/>
            <w:tcBorders>
              <w:top w:val="nil"/>
              <w:left w:val="nil"/>
              <w:bottom w:val="single" w:sz="4" w:space="0" w:color="auto"/>
              <w:right w:val="single" w:sz="4" w:space="0" w:color="auto"/>
            </w:tcBorders>
            <w:shd w:val="clear" w:color="auto" w:fill="auto"/>
            <w:noWrap/>
            <w:vAlign w:val="bottom"/>
            <w:hideMark/>
          </w:tcPr>
          <w:p w:rsidR="00A33E0A" w:rsidRPr="00A31903" w:rsidRDefault="00A33E0A" w:rsidP="00F92EDF">
            <w:pPr>
              <w:spacing w:after="0" w:line="240" w:lineRule="auto"/>
              <w:rPr>
                <w:rFonts w:ascii="Times New Roman" w:eastAsia="Times New Roman" w:hAnsi="Times New Roman" w:cs="Times New Roman"/>
                <w:color w:val="000000"/>
                <w:lang w:eastAsia="en-GB"/>
              </w:rPr>
            </w:pPr>
            <w:r w:rsidRPr="00A31903">
              <w:rPr>
                <w:rFonts w:ascii="Times New Roman" w:eastAsia="Times New Roman" w:hAnsi="Times New Roman" w:cs="Times New Roman"/>
                <w:color w:val="000000"/>
                <w:lang w:eastAsia="en-GB"/>
              </w:rPr>
              <w:t>Low</w:t>
            </w:r>
          </w:p>
        </w:tc>
        <w:tc>
          <w:tcPr>
            <w:tcW w:w="3651" w:type="dxa"/>
            <w:tcBorders>
              <w:top w:val="nil"/>
              <w:left w:val="nil"/>
              <w:bottom w:val="single" w:sz="4" w:space="0" w:color="auto"/>
              <w:right w:val="single" w:sz="4" w:space="0" w:color="auto"/>
            </w:tcBorders>
            <w:shd w:val="clear" w:color="auto" w:fill="auto"/>
            <w:noWrap/>
            <w:vAlign w:val="bottom"/>
            <w:hideMark/>
          </w:tcPr>
          <w:p w:rsidR="00A33E0A" w:rsidRPr="00A31903" w:rsidRDefault="00A33E0A" w:rsidP="00F92EDF">
            <w:pPr>
              <w:spacing w:after="0" w:line="240" w:lineRule="auto"/>
              <w:rPr>
                <w:rFonts w:ascii="Times New Roman" w:eastAsia="Times New Roman" w:hAnsi="Times New Roman" w:cs="Times New Roman"/>
                <w:color w:val="000000"/>
                <w:lang w:eastAsia="en-GB"/>
              </w:rPr>
            </w:pPr>
            <w:r w:rsidRPr="00A31903">
              <w:rPr>
                <w:rFonts w:ascii="Times New Roman" w:eastAsia="Times New Roman" w:hAnsi="Times New Roman" w:cs="Times New Roman"/>
                <w:color w:val="000000"/>
                <w:lang w:eastAsia="en-GB"/>
              </w:rPr>
              <w:t>Low taxable capacity and high tax burden</w:t>
            </w:r>
          </w:p>
        </w:tc>
        <w:tc>
          <w:tcPr>
            <w:tcW w:w="3724" w:type="dxa"/>
            <w:tcBorders>
              <w:top w:val="nil"/>
              <w:left w:val="nil"/>
              <w:bottom w:val="single" w:sz="4" w:space="0" w:color="auto"/>
              <w:right w:val="single" w:sz="4" w:space="0" w:color="auto"/>
            </w:tcBorders>
            <w:shd w:val="clear" w:color="auto" w:fill="auto"/>
            <w:noWrap/>
            <w:vAlign w:val="bottom"/>
            <w:hideMark/>
          </w:tcPr>
          <w:p w:rsidR="00A33E0A" w:rsidRPr="00A31903" w:rsidRDefault="00A33E0A" w:rsidP="00F92EDF">
            <w:pPr>
              <w:spacing w:after="0" w:line="240" w:lineRule="auto"/>
              <w:rPr>
                <w:rFonts w:ascii="Times New Roman" w:eastAsia="Times New Roman" w:hAnsi="Times New Roman" w:cs="Times New Roman"/>
                <w:color w:val="000000"/>
                <w:lang w:eastAsia="en-GB"/>
              </w:rPr>
            </w:pPr>
            <w:r w:rsidRPr="00A31903">
              <w:rPr>
                <w:rFonts w:ascii="Times New Roman" w:eastAsia="Times New Roman" w:hAnsi="Times New Roman" w:cs="Times New Roman"/>
                <w:color w:val="000000"/>
                <w:lang w:eastAsia="en-GB"/>
              </w:rPr>
              <w:t>Low taxable capacity and low tax burden</w:t>
            </w:r>
          </w:p>
        </w:tc>
      </w:tr>
    </w:tbl>
    <w:p w:rsidR="000037CF" w:rsidRPr="00A31903" w:rsidRDefault="000037CF" w:rsidP="00B12919">
      <w:pPr>
        <w:autoSpaceDE w:val="0"/>
        <w:autoSpaceDN w:val="0"/>
        <w:adjustRightInd w:val="0"/>
        <w:spacing w:after="0" w:line="240" w:lineRule="auto"/>
        <w:jc w:val="both"/>
        <w:rPr>
          <w:rFonts w:ascii="Times New Roman" w:hAnsi="Times New Roman" w:cs="Times New Roman"/>
          <w:b/>
          <w:lang w:val="en-GB"/>
        </w:rPr>
      </w:pPr>
    </w:p>
    <w:p w:rsidR="00B12919" w:rsidRPr="00A31903" w:rsidRDefault="00B12919" w:rsidP="00B12919">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b/>
          <w:lang w:val="en-GB"/>
        </w:rPr>
        <w:t>Source</w:t>
      </w:r>
      <w:r w:rsidRPr="00A31903">
        <w:rPr>
          <w:rFonts w:ascii="Times New Roman" w:hAnsi="Times New Roman" w:cs="Times New Roman"/>
          <w:lang w:val="en-GB"/>
        </w:rPr>
        <w:t xml:space="preserve">: </w:t>
      </w:r>
      <w:proofErr w:type="spellStart"/>
      <w:r w:rsidRPr="00A31903">
        <w:rPr>
          <w:rFonts w:ascii="Times New Roman" w:hAnsi="Times New Roman" w:cs="Times New Roman"/>
          <w:lang w:val="en-GB"/>
        </w:rPr>
        <w:t>Toye</w:t>
      </w:r>
      <w:proofErr w:type="spellEnd"/>
      <w:r w:rsidRPr="00A31903">
        <w:rPr>
          <w:rFonts w:ascii="Times New Roman" w:hAnsi="Times New Roman" w:cs="Times New Roman"/>
          <w:lang w:val="en-GB"/>
        </w:rPr>
        <w:t xml:space="preserve"> (1978)</w:t>
      </w:r>
    </w:p>
    <w:p w:rsidR="00B12919" w:rsidRPr="00A31903" w:rsidRDefault="00B12919" w:rsidP="00ED18EF">
      <w:pPr>
        <w:autoSpaceDE w:val="0"/>
        <w:autoSpaceDN w:val="0"/>
        <w:adjustRightInd w:val="0"/>
        <w:spacing w:after="0" w:line="240" w:lineRule="auto"/>
        <w:jc w:val="both"/>
        <w:rPr>
          <w:rFonts w:ascii="Times New Roman" w:hAnsi="Times New Roman" w:cs="Times New Roman"/>
        </w:rPr>
      </w:pPr>
    </w:p>
    <w:p w:rsidR="00A33E0A" w:rsidRPr="00A31903" w:rsidRDefault="00283E2F" w:rsidP="00ED18EF">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In estimating Ghana’s tax burden quantitatively, the study adopted the </w:t>
      </w:r>
      <w:r w:rsidR="001E4731" w:rsidRPr="00A31903">
        <w:rPr>
          <w:rFonts w:ascii="Times New Roman" w:hAnsi="Times New Roman" w:cs="Times New Roman"/>
        </w:rPr>
        <w:t>model used in Brazil by Baer and</w:t>
      </w:r>
      <w:r w:rsidRPr="00A31903">
        <w:rPr>
          <w:rFonts w:ascii="Times New Roman" w:hAnsi="Times New Roman" w:cs="Times New Roman"/>
        </w:rPr>
        <w:t xml:space="preserve"> </w:t>
      </w:r>
      <w:proofErr w:type="spellStart"/>
      <w:r w:rsidRPr="00A31903">
        <w:rPr>
          <w:rFonts w:ascii="Times New Roman" w:hAnsi="Times New Roman" w:cs="Times New Roman"/>
        </w:rPr>
        <w:t>Galvao</w:t>
      </w:r>
      <w:proofErr w:type="spellEnd"/>
      <w:r w:rsidRPr="00A31903">
        <w:rPr>
          <w:rFonts w:ascii="Times New Roman" w:hAnsi="Times New Roman" w:cs="Times New Roman"/>
        </w:rPr>
        <w:t xml:space="preserve"> (</w:t>
      </w:r>
      <w:r w:rsidR="00CA3FCF" w:rsidRPr="00A31903">
        <w:rPr>
          <w:rFonts w:ascii="Times New Roman" w:hAnsi="Times New Roman" w:cs="Times New Roman"/>
        </w:rPr>
        <w:t>2005</w:t>
      </w:r>
      <w:r w:rsidRPr="00A31903">
        <w:rPr>
          <w:rFonts w:ascii="Times New Roman" w:hAnsi="Times New Roman" w:cs="Times New Roman"/>
        </w:rPr>
        <w:t xml:space="preserve">), which is the total tax revenue as a percentage of GDP. </w:t>
      </w:r>
    </w:p>
    <w:p w:rsidR="001456FA" w:rsidRPr="00A31903" w:rsidRDefault="001456FA" w:rsidP="001456FA">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rPr>
        <w:t xml:space="preserve">    In summary, </w:t>
      </w:r>
      <w:r w:rsidRPr="00A31903">
        <w:rPr>
          <w:rFonts w:ascii="Times New Roman" w:hAnsi="Times New Roman" w:cs="Times New Roman"/>
          <w:noProof/>
        </w:rPr>
        <w:t>tax</w:t>
      </w:r>
      <w:r w:rsidRPr="00A31903">
        <w:rPr>
          <w:rFonts w:ascii="Times New Roman" w:hAnsi="Times New Roman" w:cs="Times New Roman"/>
        </w:rPr>
        <w:t xml:space="preserve"> becomes a burden because it reduces </w:t>
      </w:r>
      <w:r w:rsidR="007D61AB" w:rsidRPr="00A31903">
        <w:rPr>
          <w:rFonts w:ascii="Times New Roman" w:hAnsi="Times New Roman" w:cs="Times New Roman"/>
        </w:rPr>
        <w:t>taxpayer</w:t>
      </w:r>
      <w:r w:rsidRPr="00A31903">
        <w:rPr>
          <w:rFonts w:ascii="Times New Roman" w:hAnsi="Times New Roman" w:cs="Times New Roman"/>
        </w:rPr>
        <w:t xml:space="preserve">’s income. Tax burden thus </w:t>
      </w:r>
      <w:r w:rsidR="007D61AB" w:rsidRPr="00A31903">
        <w:rPr>
          <w:rFonts w:ascii="Times New Roman" w:hAnsi="Times New Roman" w:cs="Times New Roman"/>
        </w:rPr>
        <w:t>answers</w:t>
      </w:r>
      <w:r w:rsidRPr="00A31903">
        <w:rPr>
          <w:rFonts w:ascii="Times New Roman" w:hAnsi="Times New Roman" w:cs="Times New Roman"/>
        </w:rPr>
        <w:t xml:space="preserve"> broad economic and social questions about the effect of tax policy on the distribution of income and wealth. </w:t>
      </w:r>
    </w:p>
    <w:p w:rsidR="00A33E0A" w:rsidRPr="00A31903" w:rsidRDefault="00A33E0A" w:rsidP="00ED18EF">
      <w:pPr>
        <w:autoSpaceDE w:val="0"/>
        <w:autoSpaceDN w:val="0"/>
        <w:adjustRightInd w:val="0"/>
        <w:spacing w:after="0" w:line="240" w:lineRule="auto"/>
        <w:jc w:val="both"/>
        <w:rPr>
          <w:rFonts w:ascii="Times New Roman" w:hAnsi="Times New Roman" w:cs="Times New Roman"/>
        </w:rPr>
      </w:pPr>
    </w:p>
    <w:p w:rsidR="00E55F06" w:rsidRPr="00A31903" w:rsidRDefault="00455300" w:rsidP="005E3906">
      <w:pPr>
        <w:pStyle w:val="ListParagraph"/>
        <w:numPr>
          <w:ilvl w:val="1"/>
          <w:numId w:val="14"/>
        </w:numPr>
        <w:autoSpaceDE w:val="0"/>
        <w:autoSpaceDN w:val="0"/>
        <w:adjustRightInd w:val="0"/>
        <w:spacing w:after="0" w:line="240" w:lineRule="auto"/>
        <w:jc w:val="both"/>
        <w:rPr>
          <w:rFonts w:ascii="Times New Roman" w:hAnsi="Times New Roman" w:cs="Times New Roman"/>
          <w:b/>
          <w:i/>
        </w:rPr>
      </w:pPr>
      <w:r w:rsidRPr="00A31903">
        <w:rPr>
          <w:rFonts w:ascii="Times New Roman" w:hAnsi="Times New Roman" w:cs="Times New Roman"/>
          <w:b/>
          <w:i/>
        </w:rPr>
        <w:t>Tax effort</w:t>
      </w:r>
    </w:p>
    <w:p w:rsidR="00AC73D4" w:rsidRPr="00A31903" w:rsidRDefault="00E55F06" w:rsidP="00D37705">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C77AA7" w:rsidRPr="00A31903">
        <w:rPr>
          <w:rFonts w:ascii="Times New Roman" w:hAnsi="Times New Roman" w:cs="Times New Roman"/>
        </w:rPr>
        <w:t xml:space="preserve">Prior literature recognizes the essential role of tax effort in assessing the ability of both the </w:t>
      </w:r>
      <w:r w:rsidR="00C77AA7" w:rsidRPr="00A31903">
        <w:rPr>
          <w:rFonts w:ascii="Times New Roman" w:hAnsi="Times New Roman" w:cs="Times New Roman"/>
          <w:noProof/>
        </w:rPr>
        <w:t>individual</w:t>
      </w:r>
      <w:r w:rsidR="00C77AA7" w:rsidRPr="00A31903">
        <w:rPr>
          <w:rFonts w:ascii="Times New Roman" w:hAnsi="Times New Roman" w:cs="Times New Roman"/>
        </w:rPr>
        <w:t xml:space="preserve"> and the national economy to bear the tax burden at different periods, thereby helping to make decisions regarding the imposition of new taxes or the changing of tax rates (Malik, 2010). </w:t>
      </w:r>
    </w:p>
    <w:p w:rsidR="00D37705" w:rsidRPr="00A31903" w:rsidRDefault="00AC73D4" w:rsidP="00D37705">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671B55" w:rsidRPr="00A31903">
        <w:rPr>
          <w:rFonts w:ascii="Times New Roman" w:hAnsi="Times New Roman" w:cs="Times New Roman"/>
        </w:rPr>
        <w:t>Tax effort is</w:t>
      </w:r>
      <w:r w:rsidR="00982A8B" w:rsidRPr="00A31903">
        <w:rPr>
          <w:rFonts w:ascii="Times New Roman" w:hAnsi="Times New Roman" w:cs="Times New Roman"/>
        </w:rPr>
        <w:t xml:space="preserve"> an index of the ratio between the share of the actual tax coll</w:t>
      </w:r>
      <w:r w:rsidR="00283E2F" w:rsidRPr="00A31903">
        <w:rPr>
          <w:rFonts w:ascii="Times New Roman" w:hAnsi="Times New Roman" w:cs="Times New Roman"/>
        </w:rPr>
        <w:t>ection in GDP</w:t>
      </w:r>
      <w:r w:rsidR="00982A8B" w:rsidRPr="00A31903">
        <w:rPr>
          <w:rFonts w:ascii="Times New Roman" w:hAnsi="Times New Roman" w:cs="Times New Roman"/>
        </w:rPr>
        <w:t xml:space="preserve"> and the predicted taxable capacity</w:t>
      </w:r>
      <w:r w:rsidR="00671B55" w:rsidRPr="00A31903">
        <w:rPr>
          <w:rFonts w:ascii="Times New Roman" w:hAnsi="Times New Roman" w:cs="Times New Roman"/>
        </w:rPr>
        <w:t xml:space="preserve"> obtained from a regression model</w:t>
      </w:r>
      <w:r w:rsidR="00982A8B" w:rsidRPr="00A31903">
        <w:rPr>
          <w:rFonts w:ascii="Times New Roman" w:hAnsi="Times New Roman" w:cs="Times New Roman"/>
        </w:rPr>
        <w:t>.</w:t>
      </w:r>
      <w:r w:rsidR="00DC5051" w:rsidRPr="00A31903">
        <w:rPr>
          <w:rFonts w:ascii="Times New Roman" w:hAnsi="Times New Roman" w:cs="Times New Roman"/>
        </w:rPr>
        <w:t xml:space="preserve"> </w:t>
      </w:r>
      <w:proofErr w:type="spellStart"/>
      <w:r w:rsidR="00671B55" w:rsidRPr="00A31903">
        <w:rPr>
          <w:rFonts w:ascii="Times New Roman" w:hAnsi="Times New Roman" w:cs="Times New Roman"/>
        </w:rPr>
        <w:t>Leuthold</w:t>
      </w:r>
      <w:proofErr w:type="spellEnd"/>
      <w:r w:rsidR="00671B55" w:rsidRPr="00A31903">
        <w:rPr>
          <w:rFonts w:ascii="Times New Roman" w:hAnsi="Times New Roman" w:cs="Times New Roman"/>
        </w:rPr>
        <w:t xml:space="preserve"> (2002) defined tax effort</w:t>
      </w:r>
      <w:r w:rsidR="00DC5051" w:rsidRPr="00A31903">
        <w:rPr>
          <w:rFonts w:ascii="Times New Roman" w:hAnsi="Times New Roman" w:cs="Times New Roman"/>
        </w:rPr>
        <w:t xml:space="preserve"> as the exertion a country puts into collecting its tax revenue, given the </w:t>
      </w:r>
      <w:r w:rsidR="00C77AA7" w:rsidRPr="00A31903">
        <w:rPr>
          <w:rFonts w:ascii="Times New Roman" w:hAnsi="Times New Roman" w:cs="Times New Roman"/>
        </w:rPr>
        <w:t xml:space="preserve">available </w:t>
      </w:r>
      <w:r w:rsidR="00DC5051" w:rsidRPr="00A31903">
        <w:rPr>
          <w:rFonts w:ascii="Times New Roman" w:hAnsi="Times New Roman" w:cs="Times New Roman"/>
        </w:rPr>
        <w:t>tax handles</w:t>
      </w:r>
      <w:r w:rsidR="00C77AA7" w:rsidRPr="00A31903">
        <w:rPr>
          <w:rFonts w:ascii="Times New Roman" w:hAnsi="Times New Roman" w:cs="Times New Roman"/>
        </w:rPr>
        <w:t>.</w:t>
      </w:r>
      <w:r w:rsidR="00DC5051" w:rsidRPr="00A31903">
        <w:rPr>
          <w:rFonts w:ascii="Times New Roman" w:hAnsi="Times New Roman" w:cs="Times New Roman"/>
        </w:rPr>
        <w:t xml:space="preserve"> </w:t>
      </w:r>
      <w:r w:rsidR="00671B55" w:rsidRPr="00A31903">
        <w:rPr>
          <w:rFonts w:ascii="Times New Roman" w:hAnsi="Times New Roman" w:cs="Times New Roman"/>
        </w:rPr>
        <w:t>According to Gillis (</w:t>
      </w:r>
      <w:r w:rsidR="007030DF" w:rsidRPr="00A31903">
        <w:rPr>
          <w:rFonts w:ascii="Times New Roman" w:hAnsi="Times New Roman" w:cs="Times New Roman"/>
        </w:rPr>
        <w:t>1989),</w:t>
      </w:r>
      <w:r w:rsidR="00DC5051" w:rsidRPr="00A31903">
        <w:rPr>
          <w:rFonts w:ascii="Times New Roman" w:hAnsi="Times New Roman" w:cs="Times New Roman"/>
        </w:rPr>
        <w:t xml:space="preserve"> tax effort is the extent to which a country </w:t>
      </w:r>
      <w:r w:rsidR="007030DF" w:rsidRPr="00A31903">
        <w:rPr>
          <w:rFonts w:ascii="Times New Roman" w:hAnsi="Times New Roman" w:cs="Times New Roman"/>
          <w:noProof/>
        </w:rPr>
        <w:t>utilizes</w:t>
      </w:r>
      <w:r w:rsidR="00DC5051" w:rsidRPr="00A31903">
        <w:rPr>
          <w:rFonts w:ascii="Times New Roman" w:hAnsi="Times New Roman" w:cs="Times New Roman"/>
        </w:rPr>
        <w:t xml:space="preserve"> its taxable </w:t>
      </w:r>
      <w:r w:rsidR="00671B55" w:rsidRPr="00A31903">
        <w:rPr>
          <w:rFonts w:ascii="Times New Roman" w:hAnsi="Times New Roman" w:cs="Times New Roman"/>
        </w:rPr>
        <w:t xml:space="preserve">capacity. </w:t>
      </w:r>
      <w:r w:rsidR="00C77AA7" w:rsidRPr="00A31903">
        <w:rPr>
          <w:rFonts w:ascii="Times New Roman" w:hAnsi="Times New Roman" w:cs="Times New Roman"/>
        </w:rPr>
        <w:t>Thus, it</w:t>
      </w:r>
      <w:r w:rsidR="00DC5051" w:rsidRPr="00A31903">
        <w:rPr>
          <w:rFonts w:ascii="Times New Roman" w:hAnsi="Times New Roman" w:cs="Times New Roman"/>
        </w:rPr>
        <w:t xml:space="preserve"> is the ratio of actual tax revenues to taxab</w:t>
      </w:r>
      <w:r w:rsidR="00D10600" w:rsidRPr="00A31903">
        <w:rPr>
          <w:rFonts w:ascii="Times New Roman" w:hAnsi="Times New Roman" w:cs="Times New Roman"/>
        </w:rPr>
        <w:t xml:space="preserve">le capacity. </w:t>
      </w:r>
      <w:r w:rsidR="00DC5051" w:rsidRPr="00A31903">
        <w:rPr>
          <w:rFonts w:ascii="Times New Roman" w:hAnsi="Times New Roman" w:cs="Times New Roman"/>
        </w:rPr>
        <w:t xml:space="preserve">In other </w:t>
      </w:r>
      <w:r w:rsidR="00C17D0F" w:rsidRPr="00A31903">
        <w:rPr>
          <w:rFonts w:ascii="Times New Roman" w:hAnsi="Times New Roman" w:cs="Times New Roman"/>
        </w:rPr>
        <w:t>words</w:t>
      </w:r>
      <w:r w:rsidR="00DC5051" w:rsidRPr="00A31903">
        <w:rPr>
          <w:rFonts w:ascii="Times New Roman" w:hAnsi="Times New Roman" w:cs="Times New Roman"/>
        </w:rPr>
        <w:t xml:space="preserve">, the tax effort </w:t>
      </w:r>
      <w:proofErr w:type="gramStart"/>
      <w:r w:rsidR="00DC5051" w:rsidRPr="00A31903">
        <w:rPr>
          <w:rFonts w:ascii="Times New Roman" w:hAnsi="Times New Roman" w:cs="Times New Roman"/>
        </w:rPr>
        <w:t>can be measured</w:t>
      </w:r>
      <w:proofErr w:type="gramEnd"/>
      <w:r w:rsidR="00DC5051" w:rsidRPr="00A31903">
        <w:rPr>
          <w:rFonts w:ascii="Times New Roman" w:hAnsi="Times New Roman" w:cs="Times New Roman"/>
        </w:rPr>
        <w:t xml:space="preserve"> by dividing the tax burden by the taxable </w:t>
      </w:r>
      <w:r w:rsidR="00283E2F" w:rsidRPr="00A31903">
        <w:rPr>
          <w:rFonts w:ascii="Times New Roman" w:hAnsi="Times New Roman" w:cs="Times New Roman"/>
        </w:rPr>
        <w:t>capacity</w:t>
      </w:r>
      <w:r w:rsidR="00DC5051" w:rsidRPr="00A31903">
        <w:rPr>
          <w:rFonts w:ascii="Times New Roman" w:hAnsi="Times New Roman" w:cs="Times New Roman"/>
        </w:rPr>
        <w:t xml:space="preserve"> (Le Minh </w:t>
      </w:r>
      <w:r w:rsidR="00DC5051" w:rsidRPr="00A31903">
        <w:rPr>
          <w:rFonts w:ascii="Times New Roman" w:hAnsi="Times New Roman" w:cs="Times New Roman"/>
          <w:i/>
        </w:rPr>
        <w:t>et al.</w:t>
      </w:r>
      <w:r w:rsidR="00DC5051" w:rsidRPr="00A31903">
        <w:rPr>
          <w:rFonts w:ascii="Times New Roman" w:hAnsi="Times New Roman" w:cs="Times New Roman"/>
        </w:rPr>
        <w:t xml:space="preserve">, 2008). </w:t>
      </w:r>
      <w:proofErr w:type="spellStart"/>
      <w:r w:rsidR="00CA3FCF" w:rsidRPr="00A31903">
        <w:rPr>
          <w:rFonts w:ascii="Times New Roman" w:hAnsi="Times New Roman" w:cs="Times New Roman"/>
        </w:rPr>
        <w:t>Stotsky</w:t>
      </w:r>
      <w:proofErr w:type="spellEnd"/>
      <w:r w:rsidR="00CA3FCF" w:rsidRPr="00A31903">
        <w:rPr>
          <w:rFonts w:ascii="Times New Roman" w:hAnsi="Times New Roman" w:cs="Times New Roman"/>
        </w:rPr>
        <w:t xml:space="preserve"> </w:t>
      </w:r>
      <w:r w:rsidR="00C12F43" w:rsidRPr="00A31903">
        <w:rPr>
          <w:rFonts w:ascii="Times New Roman" w:hAnsi="Times New Roman" w:cs="Times New Roman"/>
        </w:rPr>
        <w:t>and</w:t>
      </w:r>
      <w:r w:rsidR="00B03E0A" w:rsidRPr="00A31903">
        <w:rPr>
          <w:rFonts w:ascii="Times New Roman" w:hAnsi="Times New Roman" w:cs="Times New Roman"/>
        </w:rPr>
        <w:t xml:space="preserve"> </w:t>
      </w:r>
      <w:proofErr w:type="spellStart"/>
      <w:r w:rsidR="00AC6044" w:rsidRPr="00A31903">
        <w:rPr>
          <w:rFonts w:ascii="Times New Roman" w:hAnsi="Times New Roman" w:cs="Times New Roman"/>
        </w:rPr>
        <w:t>Wolde</w:t>
      </w:r>
      <w:r w:rsidR="001A5BAB" w:rsidRPr="00A31903">
        <w:rPr>
          <w:rFonts w:ascii="Times New Roman" w:hAnsi="Times New Roman" w:cs="Times New Roman"/>
        </w:rPr>
        <w:t>Mariam</w:t>
      </w:r>
      <w:proofErr w:type="spellEnd"/>
      <w:r w:rsidR="00F03362" w:rsidRPr="00A31903">
        <w:rPr>
          <w:rFonts w:ascii="Times New Roman" w:hAnsi="Times New Roman" w:cs="Times New Roman"/>
        </w:rPr>
        <w:t xml:space="preserve"> (1997)</w:t>
      </w:r>
      <w:r w:rsidR="00C56C18" w:rsidRPr="00A31903">
        <w:rPr>
          <w:rFonts w:ascii="Times New Roman" w:hAnsi="Times New Roman" w:cs="Times New Roman"/>
        </w:rPr>
        <w:t xml:space="preserve"> explained</w:t>
      </w:r>
      <w:r w:rsidR="00283E2F" w:rsidRPr="00A31903">
        <w:rPr>
          <w:rFonts w:ascii="Times New Roman" w:hAnsi="Times New Roman" w:cs="Times New Roman"/>
        </w:rPr>
        <w:t xml:space="preserve"> that </w:t>
      </w:r>
      <w:r w:rsidR="00D37705" w:rsidRPr="00A31903">
        <w:rPr>
          <w:rFonts w:ascii="Times New Roman" w:hAnsi="Times New Roman" w:cs="Times New Roman"/>
        </w:rPr>
        <w:t xml:space="preserve">tax effort index </w:t>
      </w:r>
      <w:r w:rsidR="00C56C18" w:rsidRPr="00A31903">
        <w:rPr>
          <w:rFonts w:ascii="Times New Roman" w:hAnsi="Times New Roman" w:cs="Times New Roman"/>
        </w:rPr>
        <w:t xml:space="preserve">is </w:t>
      </w:r>
      <w:r w:rsidR="00D37705" w:rsidRPr="00A31903">
        <w:rPr>
          <w:rFonts w:ascii="Times New Roman" w:hAnsi="Times New Roman" w:cs="Times New Roman"/>
        </w:rPr>
        <w:t>the ratio of the actual tax share to the predicted (or potential) tax share</w:t>
      </w:r>
      <w:r w:rsidR="000D5FC5" w:rsidRPr="00A31903">
        <w:rPr>
          <w:rFonts w:ascii="Times New Roman" w:hAnsi="Times New Roman" w:cs="Times New Roman"/>
        </w:rPr>
        <w:t>.</w:t>
      </w:r>
    </w:p>
    <w:p w:rsidR="00AC73D4" w:rsidRPr="00A31903" w:rsidRDefault="00667805" w:rsidP="00E22640">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6B59E7" w:rsidRPr="00A31903">
        <w:rPr>
          <w:rFonts w:ascii="Times New Roman" w:hAnsi="Times New Roman" w:cs="Times New Roman"/>
        </w:rPr>
        <w:t xml:space="preserve">In </w:t>
      </w:r>
      <w:r w:rsidR="006B59E7" w:rsidRPr="00A31903">
        <w:rPr>
          <w:rFonts w:ascii="Times New Roman" w:hAnsi="Times New Roman" w:cs="Times New Roman"/>
          <w:noProof/>
        </w:rPr>
        <w:t>analyzing</w:t>
      </w:r>
      <w:r w:rsidR="006B59E7" w:rsidRPr="00A31903">
        <w:rPr>
          <w:rFonts w:ascii="Times New Roman" w:hAnsi="Times New Roman" w:cs="Times New Roman"/>
        </w:rPr>
        <w:t xml:space="preserve"> the tax effort of a country, i</w:t>
      </w:r>
      <w:r w:rsidR="006A3A8B" w:rsidRPr="00A31903">
        <w:rPr>
          <w:rFonts w:ascii="Times New Roman" w:hAnsi="Times New Roman" w:cs="Times New Roman"/>
        </w:rPr>
        <w:t>f the t</w:t>
      </w:r>
      <w:r w:rsidR="00D37705" w:rsidRPr="00A31903">
        <w:rPr>
          <w:rFonts w:ascii="Times New Roman" w:hAnsi="Times New Roman" w:cs="Times New Roman"/>
        </w:rPr>
        <w:t xml:space="preserve">ax </w:t>
      </w:r>
      <w:r w:rsidR="006A3A8B" w:rsidRPr="00A31903">
        <w:rPr>
          <w:rFonts w:ascii="Times New Roman" w:hAnsi="Times New Roman" w:cs="Times New Roman"/>
        </w:rPr>
        <w:t>effort i</w:t>
      </w:r>
      <w:r w:rsidR="00D37705" w:rsidRPr="00A31903">
        <w:rPr>
          <w:rFonts w:ascii="Times New Roman" w:hAnsi="Times New Roman" w:cs="Times New Roman"/>
        </w:rPr>
        <w:t>ndex is greater than one, this means that the tax burden exceeds th</w:t>
      </w:r>
      <w:r w:rsidR="00AC73D4" w:rsidRPr="00A31903">
        <w:rPr>
          <w:rFonts w:ascii="Times New Roman" w:hAnsi="Times New Roman" w:cs="Times New Roman"/>
        </w:rPr>
        <w:t xml:space="preserve">e taxable capacity. This </w:t>
      </w:r>
      <w:r w:rsidR="006B59E7" w:rsidRPr="00A31903">
        <w:rPr>
          <w:rFonts w:ascii="Times New Roman" w:hAnsi="Times New Roman" w:cs="Times New Roman"/>
        </w:rPr>
        <w:t>suggests</w:t>
      </w:r>
      <w:r w:rsidR="00D37705" w:rsidRPr="00A31903">
        <w:rPr>
          <w:rFonts w:ascii="Times New Roman" w:hAnsi="Times New Roman" w:cs="Times New Roman"/>
        </w:rPr>
        <w:t xml:space="preserve"> the taxpayer suffers </w:t>
      </w:r>
      <w:r w:rsidR="006B59E7" w:rsidRPr="00A31903">
        <w:rPr>
          <w:rFonts w:ascii="Times New Roman" w:hAnsi="Times New Roman" w:cs="Times New Roman"/>
        </w:rPr>
        <w:t>more</w:t>
      </w:r>
      <w:r w:rsidR="00973829" w:rsidRPr="00A31903">
        <w:rPr>
          <w:rFonts w:ascii="Times New Roman" w:hAnsi="Times New Roman" w:cs="Times New Roman"/>
        </w:rPr>
        <w:t xml:space="preserve"> from </w:t>
      </w:r>
      <w:r w:rsidR="00D37705" w:rsidRPr="00A31903">
        <w:rPr>
          <w:rFonts w:ascii="Times New Roman" w:hAnsi="Times New Roman" w:cs="Times New Roman"/>
        </w:rPr>
        <w:t xml:space="preserve">tax </w:t>
      </w:r>
      <w:r w:rsidR="00EF5C38" w:rsidRPr="00A31903">
        <w:rPr>
          <w:rFonts w:ascii="Times New Roman" w:hAnsi="Times New Roman" w:cs="Times New Roman"/>
        </w:rPr>
        <w:t>d</w:t>
      </w:r>
      <w:r w:rsidR="00C56C18" w:rsidRPr="00A31903">
        <w:rPr>
          <w:rFonts w:ascii="Times New Roman" w:hAnsi="Times New Roman" w:cs="Times New Roman"/>
        </w:rPr>
        <w:t xml:space="preserve">eduction, which exceeds </w:t>
      </w:r>
      <w:proofErr w:type="gramStart"/>
      <w:r w:rsidR="00C56C18" w:rsidRPr="00A31903">
        <w:rPr>
          <w:rFonts w:ascii="Times New Roman" w:hAnsi="Times New Roman" w:cs="Times New Roman"/>
        </w:rPr>
        <w:t>his/her</w:t>
      </w:r>
      <w:proofErr w:type="gramEnd"/>
      <w:r w:rsidR="00D37705" w:rsidRPr="00A31903">
        <w:rPr>
          <w:rFonts w:ascii="Times New Roman" w:hAnsi="Times New Roman" w:cs="Times New Roman"/>
        </w:rPr>
        <w:t xml:space="preserve"> ability to pay. </w:t>
      </w:r>
      <w:r w:rsidR="00AC73D4" w:rsidRPr="00A31903">
        <w:rPr>
          <w:rFonts w:ascii="Times New Roman" w:hAnsi="Times New Roman" w:cs="Times New Roman"/>
        </w:rPr>
        <w:t>Therefore</w:t>
      </w:r>
      <w:r w:rsidR="00D37705" w:rsidRPr="00A31903">
        <w:rPr>
          <w:rFonts w:ascii="Times New Roman" w:hAnsi="Times New Roman" w:cs="Times New Roman"/>
        </w:rPr>
        <w:t xml:space="preserve">, a high tax effort ratio, above one, indicates </w:t>
      </w:r>
      <w:r w:rsidR="00D37705" w:rsidRPr="00A31903">
        <w:rPr>
          <w:rFonts w:ascii="Times New Roman" w:hAnsi="Times New Roman" w:cs="Times New Roman"/>
        </w:rPr>
        <w:lastRenderedPageBreak/>
        <w:t>that the country is collecting more taxes than predicted</w:t>
      </w:r>
      <w:r w:rsidR="006B59E7" w:rsidRPr="00A31903">
        <w:rPr>
          <w:rFonts w:ascii="Times New Roman" w:hAnsi="Times New Roman" w:cs="Times New Roman"/>
        </w:rPr>
        <w:t xml:space="preserve"> taxable capacity</w:t>
      </w:r>
      <w:r w:rsidR="00973829" w:rsidRPr="00A31903">
        <w:rPr>
          <w:rFonts w:ascii="Times New Roman" w:hAnsi="Times New Roman" w:cs="Times New Roman"/>
        </w:rPr>
        <w:t xml:space="preserve"> and </w:t>
      </w:r>
      <w:r w:rsidR="00AC73D4" w:rsidRPr="00A31903">
        <w:rPr>
          <w:rFonts w:ascii="Times New Roman" w:hAnsi="Times New Roman" w:cs="Times New Roman"/>
        </w:rPr>
        <w:t xml:space="preserve">suggests </w:t>
      </w:r>
      <w:r w:rsidR="00973829" w:rsidRPr="00A31903">
        <w:rPr>
          <w:rFonts w:ascii="Times New Roman" w:hAnsi="Times New Roman" w:cs="Times New Roman"/>
        </w:rPr>
        <w:t>a high</w:t>
      </w:r>
      <w:r w:rsidR="000D5FC5" w:rsidRPr="00A31903">
        <w:rPr>
          <w:rFonts w:ascii="Times New Roman" w:hAnsi="Times New Roman" w:cs="Times New Roman"/>
        </w:rPr>
        <w:t xml:space="preserve"> tax burden</w:t>
      </w:r>
      <w:r w:rsidR="00083262" w:rsidRPr="00A31903">
        <w:rPr>
          <w:rFonts w:ascii="Times New Roman" w:hAnsi="Times New Roman" w:cs="Times New Roman"/>
        </w:rPr>
        <w:t xml:space="preserve"> (</w:t>
      </w:r>
      <w:proofErr w:type="spellStart"/>
      <w:r w:rsidR="00083262" w:rsidRPr="00A31903">
        <w:rPr>
          <w:rFonts w:ascii="Times New Roman" w:hAnsi="Times New Roman" w:cs="Times New Roman"/>
        </w:rPr>
        <w:t>Mertens</w:t>
      </w:r>
      <w:proofErr w:type="spellEnd"/>
      <w:r w:rsidR="00083262" w:rsidRPr="00A31903">
        <w:rPr>
          <w:rFonts w:ascii="Times New Roman" w:hAnsi="Times New Roman" w:cs="Times New Roman"/>
        </w:rPr>
        <w:t>,</w:t>
      </w:r>
      <w:r w:rsidR="009E120F" w:rsidRPr="00A31903">
        <w:rPr>
          <w:rFonts w:ascii="Times New Roman" w:hAnsi="Times New Roman" w:cs="Times New Roman"/>
        </w:rPr>
        <w:t xml:space="preserve"> 2003; Begum, 2007; </w:t>
      </w:r>
      <w:proofErr w:type="spellStart"/>
      <w:r w:rsidR="009E120F" w:rsidRPr="00A31903">
        <w:rPr>
          <w:rFonts w:ascii="Times New Roman" w:hAnsi="Times New Roman" w:cs="Times New Roman"/>
        </w:rPr>
        <w:t>Hoek</w:t>
      </w:r>
      <w:proofErr w:type="spellEnd"/>
      <w:r w:rsidR="009E120F" w:rsidRPr="00A31903">
        <w:rPr>
          <w:rFonts w:ascii="Times New Roman" w:hAnsi="Times New Roman" w:cs="Times New Roman"/>
        </w:rPr>
        <w:t xml:space="preserve">, 2008; </w:t>
      </w:r>
      <w:r w:rsidR="00083262" w:rsidRPr="00A31903">
        <w:rPr>
          <w:rFonts w:ascii="Times New Roman" w:hAnsi="Times New Roman" w:cs="Times New Roman"/>
        </w:rPr>
        <w:t xml:space="preserve">Le </w:t>
      </w:r>
      <w:r w:rsidR="00083262" w:rsidRPr="00A31903">
        <w:rPr>
          <w:rFonts w:ascii="Times New Roman" w:hAnsi="Times New Roman" w:cs="Times New Roman"/>
          <w:i/>
        </w:rPr>
        <w:t>et al.</w:t>
      </w:r>
      <w:r w:rsidR="00083262" w:rsidRPr="00A31903">
        <w:rPr>
          <w:rFonts w:ascii="Times New Roman" w:hAnsi="Times New Roman" w:cs="Times New Roman"/>
        </w:rPr>
        <w:t xml:space="preserve">, </w:t>
      </w:r>
      <w:r w:rsidR="00083262" w:rsidRPr="00A31903">
        <w:rPr>
          <w:rFonts w:ascii="Times New Roman" w:hAnsi="Times New Roman" w:cs="Times New Roman"/>
          <w:noProof/>
        </w:rPr>
        <w:t xml:space="preserve">2008). </w:t>
      </w:r>
      <w:r w:rsidR="00D37705" w:rsidRPr="00A31903">
        <w:rPr>
          <w:rFonts w:ascii="Times New Roman" w:hAnsi="Times New Roman" w:cs="Times New Roman"/>
        </w:rPr>
        <w:t xml:space="preserve"> </w:t>
      </w:r>
    </w:p>
    <w:p w:rsidR="00E22640" w:rsidRPr="00A31903" w:rsidRDefault="00AC73D4" w:rsidP="00E22640">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6B59E7" w:rsidRPr="00A31903">
        <w:rPr>
          <w:rFonts w:ascii="Times New Roman" w:hAnsi="Times New Roman" w:cs="Times New Roman"/>
        </w:rPr>
        <w:t>On the other hand, if the tax effort i</w:t>
      </w:r>
      <w:r w:rsidR="00D37705" w:rsidRPr="00A31903">
        <w:rPr>
          <w:rFonts w:ascii="Times New Roman" w:hAnsi="Times New Roman" w:cs="Times New Roman"/>
        </w:rPr>
        <w:t>nd</w:t>
      </w:r>
      <w:r w:rsidRPr="00A31903">
        <w:rPr>
          <w:rFonts w:ascii="Times New Roman" w:hAnsi="Times New Roman" w:cs="Times New Roman"/>
        </w:rPr>
        <w:t>ex is less than one, it suggests</w:t>
      </w:r>
      <w:r w:rsidR="00D37705" w:rsidRPr="00A31903">
        <w:rPr>
          <w:rFonts w:ascii="Times New Roman" w:hAnsi="Times New Roman" w:cs="Times New Roman"/>
        </w:rPr>
        <w:t xml:space="preserve"> that the tax burden is less than the potential taxable capacity, and the country is collecting less</w:t>
      </w:r>
      <w:r w:rsidR="006B59E7" w:rsidRPr="00A31903">
        <w:rPr>
          <w:rFonts w:ascii="Times New Roman" w:hAnsi="Times New Roman" w:cs="Times New Roman"/>
        </w:rPr>
        <w:t xml:space="preserve"> in</w:t>
      </w:r>
      <w:r w:rsidR="00D37705" w:rsidRPr="00A31903">
        <w:rPr>
          <w:rFonts w:ascii="Times New Roman" w:hAnsi="Times New Roman" w:cs="Times New Roman"/>
        </w:rPr>
        <w:t xml:space="preserve"> tax</w:t>
      </w:r>
      <w:r w:rsidR="006B59E7" w:rsidRPr="00A31903">
        <w:rPr>
          <w:rFonts w:ascii="Times New Roman" w:hAnsi="Times New Roman" w:cs="Times New Roman"/>
        </w:rPr>
        <w:t>es</w:t>
      </w:r>
      <w:r w:rsidR="00D37705" w:rsidRPr="00A31903">
        <w:rPr>
          <w:rFonts w:ascii="Times New Roman" w:hAnsi="Times New Roman" w:cs="Times New Roman"/>
        </w:rPr>
        <w:t xml:space="preserve"> </w:t>
      </w:r>
      <w:r w:rsidR="006B59E7" w:rsidRPr="00A31903">
        <w:rPr>
          <w:rFonts w:ascii="Times New Roman" w:hAnsi="Times New Roman" w:cs="Times New Roman"/>
        </w:rPr>
        <w:t>than predicted</w:t>
      </w:r>
      <w:r w:rsidRPr="00A31903">
        <w:rPr>
          <w:rFonts w:ascii="Times New Roman" w:hAnsi="Times New Roman" w:cs="Times New Roman"/>
        </w:rPr>
        <w:t xml:space="preserve"> hence,</w:t>
      </w:r>
      <w:r w:rsidR="000D5FC5" w:rsidRPr="00A31903">
        <w:rPr>
          <w:rFonts w:ascii="Times New Roman" w:hAnsi="Times New Roman" w:cs="Times New Roman"/>
        </w:rPr>
        <w:t xml:space="preserve"> the country is not </w:t>
      </w:r>
      <w:r w:rsidRPr="00A31903">
        <w:rPr>
          <w:rFonts w:ascii="Times New Roman" w:hAnsi="Times New Roman" w:cs="Times New Roman"/>
          <w:noProof/>
        </w:rPr>
        <w:t>maximising</w:t>
      </w:r>
      <w:r w:rsidR="000D5FC5" w:rsidRPr="00A31903">
        <w:rPr>
          <w:rFonts w:ascii="Times New Roman" w:hAnsi="Times New Roman" w:cs="Times New Roman"/>
        </w:rPr>
        <w:t xml:space="preserve"> its full revenue potential. </w:t>
      </w:r>
    </w:p>
    <w:p w:rsidR="001B4A43" w:rsidRPr="00A31903" w:rsidRDefault="00F82295" w:rsidP="0014588B">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14588B" w:rsidRPr="00A31903">
        <w:rPr>
          <w:rFonts w:ascii="Times New Roman" w:hAnsi="Times New Roman" w:cs="Times New Roman"/>
        </w:rPr>
        <w:t xml:space="preserve">In Ghana, only a single </w:t>
      </w:r>
      <w:r w:rsidR="0014588B" w:rsidRPr="00A31903">
        <w:rPr>
          <w:rFonts w:ascii="Times New Roman" w:hAnsi="Times New Roman" w:cs="Times New Roman"/>
          <w:iCs/>
          <w:lang w:val="en-GB"/>
        </w:rPr>
        <w:t xml:space="preserve">work-in-progress report on estimating Ghana’s tax capacity and effort by </w:t>
      </w:r>
      <w:proofErr w:type="spellStart"/>
      <w:r w:rsidR="0014588B" w:rsidRPr="00A31903">
        <w:rPr>
          <w:rFonts w:ascii="Times New Roman" w:hAnsi="Times New Roman" w:cs="Times New Roman"/>
        </w:rPr>
        <w:t>Brafu-Insaidoo</w:t>
      </w:r>
      <w:proofErr w:type="spellEnd"/>
      <w:r w:rsidR="0014588B" w:rsidRPr="00A31903">
        <w:rPr>
          <w:rFonts w:ascii="Times New Roman" w:hAnsi="Times New Roman" w:cs="Times New Roman"/>
        </w:rPr>
        <w:t xml:space="preserve"> </w:t>
      </w:r>
      <w:r w:rsidR="00C12F43" w:rsidRPr="00A31903">
        <w:rPr>
          <w:rFonts w:ascii="Times New Roman" w:hAnsi="Times New Roman" w:cs="Times New Roman"/>
        </w:rPr>
        <w:t>and</w:t>
      </w:r>
      <w:r w:rsidR="0014588B" w:rsidRPr="00A31903">
        <w:rPr>
          <w:rFonts w:ascii="Times New Roman" w:hAnsi="Times New Roman" w:cs="Times New Roman"/>
        </w:rPr>
        <w:t xml:space="preserve"> </w:t>
      </w:r>
      <w:proofErr w:type="spellStart"/>
      <w:r w:rsidR="0014588B" w:rsidRPr="00A31903">
        <w:rPr>
          <w:rFonts w:ascii="Times New Roman" w:hAnsi="Times New Roman" w:cs="Times New Roman"/>
        </w:rPr>
        <w:t>Obeng</w:t>
      </w:r>
      <w:proofErr w:type="spellEnd"/>
      <w:r w:rsidR="0014588B" w:rsidRPr="00A31903">
        <w:rPr>
          <w:rFonts w:ascii="Times New Roman" w:hAnsi="Times New Roman" w:cs="Times New Roman"/>
        </w:rPr>
        <w:t xml:space="preserve"> (2016) </w:t>
      </w:r>
      <w:proofErr w:type="gramStart"/>
      <w:r w:rsidR="0014588B" w:rsidRPr="00A31903">
        <w:rPr>
          <w:rFonts w:ascii="Times New Roman" w:hAnsi="Times New Roman" w:cs="Times New Roman"/>
        </w:rPr>
        <w:t>has been identified</w:t>
      </w:r>
      <w:proofErr w:type="gramEnd"/>
      <w:r w:rsidR="0014588B" w:rsidRPr="00A31903">
        <w:rPr>
          <w:rFonts w:ascii="Times New Roman" w:hAnsi="Times New Roman" w:cs="Times New Roman"/>
        </w:rPr>
        <w:t xml:space="preserve">. Their work can be </w:t>
      </w:r>
      <w:proofErr w:type="gramStart"/>
      <w:r w:rsidR="0014588B" w:rsidRPr="00A31903">
        <w:rPr>
          <w:rFonts w:ascii="Times New Roman" w:hAnsi="Times New Roman" w:cs="Times New Roman"/>
        </w:rPr>
        <w:t>distinguished  from</w:t>
      </w:r>
      <w:proofErr w:type="gramEnd"/>
      <w:r w:rsidR="0014588B" w:rsidRPr="00A31903">
        <w:rPr>
          <w:rFonts w:ascii="Times New Roman" w:hAnsi="Times New Roman" w:cs="Times New Roman"/>
        </w:rPr>
        <w:t xml:space="preserve"> this study in many ways. Methodologically, they propose to employ the stochastic frontier analysis (SFA) technique, which estimates how much potential tax revenue is being lost and provides a policy-relevant measure of tax potential (capacity) and effort from 1985 to 2014. In this </w:t>
      </w:r>
      <w:r w:rsidR="0014588B" w:rsidRPr="00A31903">
        <w:rPr>
          <w:rFonts w:ascii="Times New Roman" w:hAnsi="Times New Roman" w:cs="Times New Roman"/>
          <w:noProof/>
        </w:rPr>
        <w:t>study</w:t>
      </w:r>
      <w:r w:rsidR="00083262" w:rsidRPr="00A31903">
        <w:rPr>
          <w:rFonts w:ascii="Times New Roman" w:hAnsi="Times New Roman" w:cs="Times New Roman"/>
          <w:noProof/>
        </w:rPr>
        <w:t>,</w:t>
      </w:r>
      <w:r w:rsidR="0014588B" w:rsidRPr="00A31903">
        <w:rPr>
          <w:rFonts w:ascii="Times New Roman" w:hAnsi="Times New Roman" w:cs="Times New Roman"/>
        </w:rPr>
        <w:t xml:space="preserve"> OLS regression and VAR model</w:t>
      </w:r>
      <w:r w:rsidR="00632A33" w:rsidRPr="00A31903">
        <w:rPr>
          <w:rFonts w:ascii="Times New Roman" w:hAnsi="Times New Roman" w:cs="Times New Roman"/>
        </w:rPr>
        <w:t xml:space="preserve">s </w:t>
      </w:r>
      <w:proofErr w:type="gramStart"/>
      <w:r w:rsidR="00632A33" w:rsidRPr="00A31903">
        <w:rPr>
          <w:rFonts w:ascii="Times New Roman" w:hAnsi="Times New Roman" w:cs="Times New Roman"/>
        </w:rPr>
        <w:t>are</w:t>
      </w:r>
      <w:r w:rsidR="0014588B" w:rsidRPr="00A31903">
        <w:rPr>
          <w:rFonts w:ascii="Times New Roman" w:hAnsi="Times New Roman" w:cs="Times New Roman"/>
        </w:rPr>
        <w:t xml:space="preserve"> </w:t>
      </w:r>
      <w:r w:rsidR="000406D1" w:rsidRPr="00A31903">
        <w:rPr>
          <w:rFonts w:ascii="Times New Roman" w:hAnsi="Times New Roman" w:cs="Times New Roman"/>
        </w:rPr>
        <w:t>employed</w:t>
      </w:r>
      <w:proofErr w:type="gramEnd"/>
      <w:r w:rsidR="000406D1" w:rsidRPr="00A31903">
        <w:rPr>
          <w:rFonts w:ascii="Times New Roman" w:hAnsi="Times New Roman" w:cs="Times New Roman"/>
        </w:rPr>
        <w:t xml:space="preserve"> </w:t>
      </w:r>
      <w:r w:rsidR="0014588B" w:rsidRPr="00A31903">
        <w:rPr>
          <w:rFonts w:ascii="Times New Roman" w:hAnsi="Times New Roman" w:cs="Times New Roman"/>
        </w:rPr>
        <w:t>on time series data</w:t>
      </w:r>
      <w:r w:rsidR="00083262" w:rsidRPr="00A31903">
        <w:rPr>
          <w:rFonts w:ascii="Times New Roman" w:hAnsi="Times New Roman" w:cs="Times New Roman"/>
        </w:rPr>
        <w:t xml:space="preserve"> from 1970 to 2015. </w:t>
      </w:r>
    </w:p>
    <w:p w:rsidR="0014588B" w:rsidRPr="00A31903" w:rsidRDefault="001B4A43" w:rsidP="0014588B">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083262" w:rsidRPr="00A31903">
        <w:rPr>
          <w:rFonts w:ascii="Times New Roman" w:hAnsi="Times New Roman" w:cs="Times New Roman"/>
        </w:rPr>
        <w:t xml:space="preserve">This </w:t>
      </w:r>
      <w:r w:rsidRPr="00A31903">
        <w:rPr>
          <w:rFonts w:ascii="Times New Roman" w:hAnsi="Times New Roman" w:cs="Times New Roman"/>
        </w:rPr>
        <w:t>study contributes to literature</w:t>
      </w:r>
      <w:r w:rsidR="00083262" w:rsidRPr="00A31903">
        <w:rPr>
          <w:rFonts w:ascii="Times New Roman" w:hAnsi="Times New Roman" w:cs="Times New Roman"/>
        </w:rPr>
        <w:t xml:space="preserve"> </w:t>
      </w:r>
      <w:r w:rsidRPr="00A31903">
        <w:rPr>
          <w:rFonts w:ascii="Times New Roman" w:hAnsi="Times New Roman" w:cs="Times New Roman"/>
        </w:rPr>
        <w:t>by</w:t>
      </w:r>
      <w:r w:rsidR="00BA55E5" w:rsidRPr="00A31903">
        <w:rPr>
          <w:rFonts w:ascii="Times New Roman" w:hAnsi="Times New Roman" w:cs="Times New Roman"/>
          <w:lang w:val="en-GB"/>
        </w:rPr>
        <w:t xml:space="preserve"> computing </w:t>
      </w:r>
      <w:r w:rsidR="00BA55E5" w:rsidRPr="00A31903">
        <w:rPr>
          <w:rFonts w:ascii="Times New Roman" w:hAnsi="Times New Roman" w:cs="Times New Roman"/>
        </w:rPr>
        <w:t>taxable capacity, tax effort and tax burden</w:t>
      </w:r>
      <w:r w:rsidR="0014588B" w:rsidRPr="00A31903">
        <w:rPr>
          <w:rFonts w:ascii="Times New Roman" w:hAnsi="Times New Roman" w:cs="Times New Roman"/>
        </w:rPr>
        <w:t xml:space="preserve"> with a view to assessing </w:t>
      </w:r>
      <w:r w:rsidR="000406D1" w:rsidRPr="00A31903">
        <w:rPr>
          <w:rFonts w:ascii="Times New Roman" w:hAnsi="Times New Roman" w:cs="Times New Roman"/>
        </w:rPr>
        <w:t>tax unfairness perceptions</w:t>
      </w:r>
      <w:r w:rsidR="0014588B" w:rsidRPr="00A31903">
        <w:rPr>
          <w:rFonts w:ascii="Times New Roman" w:hAnsi="Times New Roman" w:cs="Times New Roman"/>
        </w:rPr>
        <w:t>.</w:t>
      </w:r>
      <w:r w:rsidRPr="00A31903">
        <w:rPr>
          <w:rFonts w:ascii="Times New Roman" w:hAnsi="Times New Roman" w:cs="Times New Roman"/>
        </w:rPr>
        <w:t xml:space="preserve"> </w:t>
      </w:r>
      <w:r w:rsidR="0069684C" w:rsidRPr="00A31903">
        <w:rPr>
          <w:rFonts w:ascii="Times New Roman" w:hAnsi="Times New Roman" w:cs="Times New Roman"/>
        </w:rPr>
        <w:t xml:space="preserve">From the </w:t>
      </w:r>
      <w:r w:rsidR="005C2FDD" w:rsidRPr="00A31903">
        <w:rPr>
          <w:rFonts w:ascii="Times New Roman" w:hAnsi="Times New Roman" w:cs="Times New Roman"/>
        </w:rPr>
        <w:t>foregoing</w:t>
      </w:r>
      <w:r w:rsidR="0069684C" w:rsidRPr="00A31903">
        <w:rPr>
          <w:rFonts w:ascii="Times New Roman" w:hAnsi="Times New Roman" w:cs="Times New Roman"/>
        </w:rPr>
        <w:t xml:space="preserve"> discussions, we </w:t>
      </w:r>
      <w:r w:rsidR="00020866" w:rsidRPr="00A31903">
        <w:rPr>
          <w:rFonts w:ascii="Times New Roman" w:hAnsi="Times New Roman" w:cs="Times New Roman"/>
        </w:rPr>
        <w:t>argue</w:t>
      </w:r>
      <w:r w:rsidR="0069684C" w:rsidRPr="00A31903">
        <w:rPr>
          <w:rFonts w:ascii="Times New Roman" w:hAnsi="Times New Roman" w:cs="Times New Roman"/>
        </w:rPr>
        <w:t xml:space="preserve"> that </w:t>
      </w:r>
      <w:r w:rsidR="005C2FDD" w:rsidRPr="00A31903">
        <w:rPr>
          <w:rFonts w:ascii="Times New Roman" w:hAnsi="Times New Roman" w:cs="Times New Roman"/>
        </w:rPr>
        <w:t>since</w:t>
      </w:r>
      <w:r w:rsidR="0069684C" w:rsidRPr="00A31903">
        <w:rPr>
          <w:rFonts w:ascii="Times New Roman" w:hAnsi="Times New Roman" w:cs="Times New Roman"/>
        </w:rPr>
        <w:t xml:space="preserve"> tax burden </w:t>
      </w:r>
      <w:r w:rsidR="005C2FDD" w:rsidRPr="00A31903">
        <w:rPr>
          <w:rFonts w:ascii="Times New Roman" w:hAnsi="Times New Roman" w:cs="Times New Roman"/>
        </w:rPr>
        <w:t>index gauges</w:t>
      </w:r>
      <w:r w:rsidR="0069684C" w:rsidRPr="00A31903">
        <w:rPr>
          <w:rFonts w:ascii="Times New Roman" w:hAnsi="Times New Roman" w:cs="Times New Roman"/>
        </w:rPr>
        <w:t xml:space="preserve"> the entire tax burden borne by </w:t>
      </w:r>
      <w:r w:rsidR="00BA55E5" w:rsidRPr="00A31903">
        <w:rPr>
          <w:rFonts w:ascii="Times New Roman" w:hAnsi="Times New Roman" w:cs="Times New Roman"/>
        </w:rPr>
        <w:t>taxpayers</w:t>
      </w:r>
      <w:r w:rsidR="0069684C" w:rsidRPr="00A31903">
        <w:rPr>
          <w:rFonts w:ascii="Times New Roman" w:hAnsi="Times New Roman" w:cs="Times New Roman"/>
        </w:rPr>
        <w:t xml:space="preserve">, a high tax burden </w:t>
      </w:r>
      <w:r w:rsidR="005C2FDD" w:rsidRPr="00A31903">
        <w:rPr>
          <w:rFonts w:ascii="Times New Roman" w:hAnsi="Times New Roman" w:cs="Times New Roman"/>
        </w:rPr>
        <w:t xml:space="preserve">index </w:t>
      </w:r>
      <w:proofErr w:type="gramStart"/>
      <w:r w:rsidR="0069684C" w:rsidRPr="00A31903">
        <w:rPr>
          <w:rFonts w:ascii="Times New Roman" w:hAnsi="Times New Roman" w:cs="Times New Roman"/>
        </w:rPr>
        <w:t>would</w:t>
      </w:r>
      <w:r w:rsidR="00BA55E5" w:rsidRPr="00A31903">
        <w:rPr>
          <w:rFonts w:ascii="Times New Roman" w:hAnsi="Times New Roman" w:cs="Times New Roman"/>
        </w:rPr>
        <w:t xml:space="preserve"> be</w:t>
      </w:r>
      <w:r w:rsidR="005C2FDD" w:rsidRPr="00A31903">
        <w:rPr>
          <w:rFonts w:ascii="Times New Roman" w:hAnsi="Times New Roman" w:cs="Times New Roman"/>
        </w:rPr>
        <w:t xml:space="preserve"> </w:t>
      </w:r>
      <w:r w:rsidR="00BA55E5" w:rsidRPr="00A31903">
        <w:rPr>
          <w:rFonts w:ascii="Times New Roman" w:hAnsi="Times New Roman" w:cs="Times New Roman"/>
        </w:rPr>
        <w:t>perceived</w:t>
      </w:r>
      <w:proofErr w:type="gramEnd"/>
      <w:r w:rsidR="00BA55E5" w:rsidRPr="00A31903">
        <w:rPr>
          <w:rFonts w:ascii="Times New Roman" w:hAnsi="Times New Roman" w:cs="Times New Roman"/>
        </w:rPr>
        <w:t xml:space="preserve"> as</w:t>
      </w:r>
      <w:r w:rsidR="0069684C" w:rsidRPr="00A31903">
        <w:rPr>
          <w:rFonts w:ascii="Times New Roman" w:hAnsi="Times New Roman" w:cs="Times New Roman"/>
        </w:rPr>
        <w:t xml:space="preserve"> tax unfairness </w:t>
      </w:r>
      <w:r w:rsidR="00BA55E5" w:rsidRPr="00A31903">
        <w:rPr>
          <w:rFonts w:ascii="Times New Roman" w:hAnsi="Times New Roman" w:cs="Times New Roman"/>
        </w:rPr>
        <w:t>whilst moderate</w:t>
      </w:r>
      <w:r w:rsidR="0069684C" w:rsidRPr="00A31903">
        <w:rPr>
          <w:rFonts w:ascii="Times New Roman" w:hAnsi="Times New Roman" w:cs="Times New Roman"/>
        </w:rPr>
        <w:t xml:space="preserve"> and low </w:t>
      </w:r>
      <w:r w:rsidR="005C2FDD" w:rsidRPr="00A31903">
        <w:rPr>
          <w:rFonts w:ascii="Times New Roman" w:hAnsi="Times New Roman" w:cs="Times New Roman"/>
        </w:rPr>
        <w:t>indices</w:t>
      </w:r>
      <w:r w:rsidR="0069684C" w:rsidRPr="00A31903">
        <w:rPr>
          <w:rFonts w:ascii="Times New Roman" w:hAnsi="Times New Roman" w:cs="Times New Roman"/>
        </w:rPr>
        <w:t xml:space="preserve"> w</w:t>
      </w:r>
      <w:r w:rsidR="005C2FDD" w:rsidRPr="00A31903">
        <w:rPr>
          <w:rFonts w:ascii="Times New Roman" w:hAnsi="Times New Roman" w:cs="Times New Roman"/>
        </w:rPr>
        <w:t>ould evoke</w:t>
      </w:r>
      <w:r w:rsidR="0069684C" w:rsidRPr="00A31903">
        <w:rPr>
          <w:rFonts w:ascii="Times New Roman" w:hAnsi="Times New Roman" w:cs="Times New Roman"/>
        </w:rPr>
        <w:t xml:space="preserve"> tax fairness perceptions.</w:t>
      </w:r>
    </w:p>
    <w:p w:rsidR="00E55F06" w:rsidRPr="00A31903" w:rsidRDefault="00CF169E" w:rsidP="005E3906">
      <w:pPr>
        <w:pStyle w:val="ListParagraph"/>
        <w:numPr>
          <w:ilvl w:val="1"/>
          <w:numId w:val="14"/>
        </w:numPr>
        <w:autoSpaceDE w:val="0"/>
        <w:autoSpaceDN w:val="0"/>
        <w:adjustRightInd w:val="0"/>
        <w:spacing w:after="0" w:line="240" w:lineRule="auto"/>
        <w:jc w:val="both"/>
        <w:rPr>
          <w:rFonts w:ascii="Times New Roman" w:hAnsi="Times New Roman" w:cs="Times New Roman"/>
          <w:b/>
          <w:i/>
        </w:rPr>
      </w:pPr>
      <w:r w:rsidRPr="00A31903">
        <w:rPr>
          <w:rFonts w:ascii="Times New Roman" w:hAnsi="Times New Roman" w:cs="Times New Roman"/>
          <w:b/>
          <w:bCs/>
          <w:i/>
        </w:rPr>
        <w:t xml:space="preserve">Factors affecting tax </w:t>
      </w:r>
      <w:r w:rsidR="00054B09" w:rsidRPr="00A31903">
        <w:rPr>
          <w:rFonts w:ascii="Times New Roman" w:hAnsi="Times New Roman" w:cs="Times New Roman"/>
          <w:b/>
          <w:bCs/>
          <w:i/>
        </w:rPr>
        <w:t>capacity and tax effort</w:t>
      </w:r>
    </w:p>
    <w:p w:rsidR="006777E7" w:rsidRPr="00A31903" w:rsidRDefault="00E55F06" w:rsidP="00CF39F6">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EE373D" w:rsidRPr="00A31903">
        <w:rPr>
          <w:rFonts w:ascii="Times New Roman" w:hAnsi="Times New Roman" w:cs="Times New Roman"/>
        </w:rPr>
        <w:t>Extant l</w:t>
      </w:r>
      <w:r w:rsidR="00E22640" w:rsidRPr="00A31903">
        <w:rPr>
          <w:rFonts w:ascii="Times New Roman" w:hAnsi="Times New Roman" w:cs="Times New Roman"/>
        </w:rPr>
        <w:t>iterature</w:t>
      </w:r>
      <w:r w:rsidR="006B5BE6" w:rsidRPr="00A31903">
        <w:rPr>
          <w:rFonts w:ascii="Times New Roman" w:hAnsi="Times New Roman" w:cs="Times New Roman"/>
        </w:rPr>
        <w:t xml:space="preserve"> (</w:t>
      </w:r>
      <w:proofErr w:type="spellStart"/>
      <w:r w:rsidR="006B5BE6" w:rsidRPr="00A31903">
        <w:rPr>
          <w:rFonts w:ascii="Times New Roman" w:hAnsi="Times New Roman" w:cs="Times New Roman"/>
        </w:rPr>
        <w:t>Zaki</w:t>
      </w:r>
      <w:proofErr w:type="spellEnd"/>
      <w:r w:rsidR="00EE373D" w:rsidRPr="00A31903">
        <w:rPr>
          <w:rFonts w:ascii="Times New Roman" w:hAnsi="Times New Roman" w:cs="Times New Roman"/>
        </w:rPr>
        <w:t>,</w:t>
      </w:r>
      <w:r w:rsidR="006B5BE6" w:rsidRPr="00A31903">
        <w:rPr>
          <w:rFonts w:ascii="Times New Roman" w:hAnsi="Times New Roman" w:cs="Times New Roman"/>
        </w:rPr>
        <w:t xml:space="preserve"> </w:t>
      </w:r>
      <w:r w:rsidR="00EE373D" w:rsidRPr="00A31903">
        <w:rPr>
          <w:rFonts w:ascii="Times New Roman" w:hAnsi="Times New Roman" w:cs="Times New Roman"/>
        </w:rPr>
        <w:t xml:space="preserve">1992; Musgrave, 1987; </w:t>
      </w:r>
      <w:r w:rsidR="00EE373D" w:rsidRPr="00A31903">
        <w:rPr>
          <w:rFonts w:ascii="Times New Roman" w:hAnsi="Times New Roman" w:cs="Times New Roman"/>
          <w:lang w:val="en-GB"/>
        </w:rPr>
        <w:t xml:space="preserve">Bird, Martinez-Vazquez </w:t>
      </w:r>
      <w:r w:rsidR="00C12F43" w:rsidRPr="00A31903">
        <w:rPr>
          <w:rFonts w:ascii="Times New Roman" w:hAnsi="Times New Roman" w:cs="Times New Roman"/>
        </w:rPr>
        <w:t>and</w:t>
      </w:r>
      <w:r w:rsidR="00EE373D" w:rsidRPr="00A31903">
        <w:rPr>
          <w:rFonts w:ascii="Times New Roman" w:hAnsi="Times New Roman" w:cs="Times New Roman"/>
          <w:lang w:val="en-GB"/>
        </w:rPr>
        <w:t xml:space="preserve"> </w:t>
      </w:r>
      <w:proofErr w:type="spellStart"/>
      <w:r w:rsidR="00EE373D" w:rsidRPr="00A31903">
        <w:rPr>
          <w:rFonts w:ascii="Times New Roman" w:hAnsi="Times New Roman" w:cs="Times New Roman"/>
          <w:lang w:val="en-GB"/>
        </w:rPr>
        <w:t>Torg</w:t>
      </w:r>
      <w:r w:rsidR="006B5BE6" w:rsidRPr="00A31903">
        <w:rPr>
          <w:rFonts w:ascii="Times New Roman" w:hAnsi="Times New Roman" w:cs="Times New Roman"/>
          <w:lang w:val="en-GB"/>
        </w:rPr>
        <w:t>ler</w:t>
      </w:r>
      <w:proofErr w:type="spellEnd"/>
      <w:r w:rsidR="0047070C" w:rsidRPr="00A31903">
        <w:rPr>
          <w:rFonts w:ascii="Times New Roman" w:hAnsi="Times New Roman" w:cs="Times New Roman"/>
          <w:lang w:val="en-GB"/>
        </w:rPr>
        <w:t>,</w:t>
      </w:r>
      <w:r w:rsidR="006B5BE6" w:rsidRPr="00A31903">
        <w:rPr>
          <w:rFonts w:ascii="Times New Roman" w:hAnsi="Times New Roman" w:cs="Times New Roman"/>
          <w:lang w:val="en-GB"/>
        </w:rPr>
        <w:t xml:space="preserve"> </w:t>
      </w:r>
      <w:r w:rsidR="00EE373D" w:rsidRPr="00A31903">
        <w:rPr>
          <w:rFonts w:ascii="Times New Roman" w:hAnsi="Times New Roman" w:cs="Times New Roman"/>
          <w:lang w:val="en-GB"/>
        </w:rPr>
        <w:t>2008</w:t>
      </w:r>
      <w:r w:rsidR="00EE373D" w:rsidRPr="00A31903">
        <w:rPr>
          <w:rFonts w:ascii="Times New Roman" w:hAnsi="Times New Roman" w:cs="Times New Roman"/>
        </w:rPr>
        <w:t xml:space="preserve">; </w:t>
      </w:r>
      <w:proofErr w:type="spellStart"/>
      <w:r w:rsidR="00EE373D" w:rsidRPr="00A31903">
        <w:rPr>
          <w:rFonts w:ascii="Times New Roman" w:hAnsi="Times New Roman" w:cs="Times New Roman"/>
          <w:lang w:val="en-GB"/>
        </w:rPr>
        <w:t>Botlhole</w:t>
      </w:r>
      <w:proofErr w:type="spellEnd"/>
      <w:r w:rsidR="0047070C" w:rsidRPr="00A31903">
        <w:rPr>
          <w:rFonts w:ascii="Times New Roman" w:hAnsi="Times New Roman" w:cs="Times New Roman"/>
          <w:lang w:val="en-GB"/>
        </w:rPr>
        <w:t>,</w:t>
      </w:r>
      <w:r w:rsidR="00EE373D" w:rsidRPr="00A31903">
        <w:rPr>
          <w:rFonts w:ascii="Times New Roman" w:hAnsi="Times New Roman" w:cs="Times New Roman"/>
          <w:lang w:val="en-GB"/>
        </w:rPr>
        <w:t xml:space="preserve"> 2010; </w:t>
      </w:r>
      <w:proofErr w:type="spellStart"/>
      <w:r w:rsidR="00C12F43" w:rsidRPr="00A31903">
        <w:rPr>
          <w:rFonts w:ascii="Times New Roman" w:hAnsi="Times New Roman" w:cs="Times New Roman"/>
        </w:rPr>
        <w:t>Pessino</w:t>
      </w:r>
      <w:proofErr w:type="spellEnd"/>
      <w:r w:rsidR="00C12F43" w:rsidRPr="00A31903">
        <w:rPr>
          <w:rFonts w:ascii="Times New Roman" w:hAnsi="Times New Roman" w:cs="Times New Roman"/>
        </w:rPr>
        <w:t xml:space="preserve"> and</w:t>
      </w:r>
      <w:r w:rsidR="00EE373D" w:rsidRPr="00A31903">
        <w:rPr>
          <w:rFonts w:ascii="Times New Roman" w:hAnsi="Times New Roman" w:cs="Times New Roman"/>
        </w:rPr>
        <w:t xml:space="preserve"> </w:t>
      </w:r>
      <w:proofErr w:type="spellStart"/>
      <w:r w:rsidR="00EE373D" w:rsidRPr="00A31903">
        <w:rPr>
          <w:rFonts w:ascii="Times New Roman" w:hAnsi="Times New Roman" w:cs="Times New Roman"/>
        </w:rPr>
        <w:t>Fenochietto</w:t>
      </w:r>
      <w:proofErr w:type="spellEnd"/>
      <w:r w:rsidR="00EE373D" w:rsidRPr="00A31903">
        <w:rPr>
          <w:rFonts w:ascii="Times New Roman" w:hAnsi="Times New Roman" w:cs="Times New Roman"/>
        </w:rPr>
        <w:t xml:space="preserve">, 2013) </w:t>
      </w:r>
      <w:r w:rsidR="009A746F" w:rsidRPr="00A31903">
        <w:rPr>
          <w:rFonts w:ascii="Times New Roman" w:hAnsi="Times New Roman" w:cs="Times New Roman"/>
        </w:rPr>
        <w:t>has</w:t>
      </w:r>
      <w:r w:rsidR="00E22640" w:rsidRPr="00A31903">
        <w:rPr>
          <w:rFonts w:ascii="Times New Roman" w:hAnsi="Times New Roman" w:cs="Times New Roman"/>
        </w:rPr>
        <w:t xml:space="preserve"> attempted to estimate</w:t>
      </w:r>
      <w:r w:rsidR="009A746F" w:rsidRPr="00A31903">
        <w:rPr>
          <w:rFonts w:ascii="Times New Roman" w:hAnsi="Times New Roman" w:cs="Times New Roman"/>
        </w:rPr>
        <w:t xml:space="preserve"> </w:t>
      </w:r>
      <w:r w:rsidR="00E22640" w:rsidRPr="00A31903">
        <w:rPr>
          <w:rFonts w:ascii="Times New Roman" w:hAnsi="Times New Roman" w:cs="Times New Roman"/>
        </w:rPr>
        <w:t>tax effort and taxable capacity</w:t>
      </w:r>
      <w:r w:rsidR="00014562" w:rsidRPr="00A31903">
        <w:rPr>
          <w:rFonts w:ascii="Times New Roman" w:hAnsi="Times New Roman" w:cs="Times New Roman"/>
        </w:rPr>
        <w:t xml:space="preserve"> using</w:t>
      </w:r>
      <w:r w:rsidR="00EE373D" w:rsidRPr="00A31903">
        <w:rPr>
          <w:rFonts w:ascii="Times New Roman" w:hAnsi="Times New Roman" w:cs="Times New Roman"/>
        </w:rPr>
        <w:t xml:space="preserve"> different socio-</w:t>
      </w:r>
      <w:r w:rsidR="00E22640" w:rsidRPr="00A31903">
        <w:rPr>
          <w:rFonts w:ascii="Times New Roman" w:hAnsi="Times New Roman" w:cs="Times New Roman"/>
        </w:rPr>
        <w:t xml:space="preserve">economic </w:t>
      </w:r>
      <w:r w:rsidR="0001406B" w:rsidRPr="00A31903">
        <w:rPr>
          <w:rFonts w:ascii="Times New Roman" w:hAnsi="Times New Roman" w:cs="Times New Roman"/>
        </w:rPr>
        <w:t>factors</w:t>
      </w:r>
      <w:r w:rsidR="00E22640" w:rsidRPr="00A31903">
        <w:rPr>
          <w:rFonts w:ascii="Times New Roman" w:hAnsi="Times New Roman" w:cs="Times New Roman"/>
        </w:rPr>
        <w:t xml:space="preserve">. </w:t>
      </w:r>
    </w:p>
    <w:p w:rsidR="00EE373D" w:rsidRPr="00A31903" w:rsidRDefault="00EE373D" w:rsidP="00CF39F6">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Musgrave (1987) assert</w:t>
      </w:r>
      <w:r w:rsidR="00F854F1" w:rsidRPr="00A31903">
        <w:rPr>
          <w:rFonts w:ascii="Times New Roman" w:hAnsi="Times New Roman" w:cs="Times New Roman"/>
        </w:rPr>
        <w:t>s</w:t>
      </w:r>
      <w:r w:rsidRPr="00A31903">
        <w:rPr>
          <w:rFonts w:ascii="Times New Roman" w:hAnsi="Times New Roman" w:cs="Times New Roman"/>
        </w:rPr>
        <w:t xml:space="preserve"> that the factors that determine a country’s taxable capacity include the stage of development, often measured by per capita income, the existence a</w:t>
      </w:r>
      <w:r w:rsidR="007A36F2" w:rsidRPr="00A31903">
        <w:rPr>
          <w:rFonts w:ascii="Times New Roman" w:hAnsi="Times New Roman" w:cs="Times New Roman"/>
        </w:rPr>
        <w:t xml:space="preserve">nd extent of </w:t>
      </w:r>
      <w:r w:rsidRPr="00A31903">
        <w:rPr>
          <w:rFonts w:ascii="Times New Roman" w:hAnsi="Times New Roman" w:cs="Times New Roman"/>
        </w:rPr>
        <w:t>tax h</w:t>
      </w:r>
      <w:r w:rsidR="007A36F2" w:rsidRPr="00A31903">
        <w:rPr>
          <w:rFonts w:ascii="Times New Roman" w:hAnsi="Times New Roman" w:cs="Times New Roman"/>
        </w:rPr>
        <w:t>andles</w:t>
      </w:r>
      <w:r w:rsidRPr="00A31903">
        <w:rPr>
          <w:rFonts w:ascii="Times New Roman" w:hAnsi="Times New Roman" w:cs="Times New Roman"/>
        </w:rPr>
        <w:t>, and the efficacy of its tax administration.</w:t>
      </w:r>
      <w:r w:rsidR="00667805" w:rsidRPr="00A31903">
        <w:rPr>
          <w:rFonts w:ascii="Times New Roman" w:hAnsi="Times New Roman" w:cs="Times New Roman"/>
        </w:rPr>
        <w:t xml:space="preserve">   </w:t>
      </w:r>
    </w:p>
    <w:p w:rsidR="00E22640" w:rsidRPr="00A31903" w:rsidRDefault="00EE373D" w:rsidP="00CF39F6">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667805" w:rsidRPr="00A31903">
        <w:rPr>
          <w:rFonts w:ascii="Times New Roman" w:hAnsi="Times New Roman" w:cs="Times New Roman"/>
        </w:rPr>
        <w:t xml:space="preserve"> </w:t>
      </w:r>
      <w:proofErr w:type="spellStart"/>
      <w:r w:rsidR="00D76F9B" w:rsidRPr="00A31903">
        <w:rPr>
          <w:rFonts w:ascii="Times New Roman" w:hAnsi="Times New Roman" w:cs="Times New Roman"/>
        </w:rPr>
        <w:t>Zaki</w:t>
      </w:r>
      <w:proofErr w:type="spellEnd"/>
      <w:r w:rsidR="00D76F9B" w:rsidRPr="00A31903">
        <w:rPr>
          <w:rFonts w:ascii="Times New Roman" w:hAnsi="Times New Roman" w:cs="Times New Roman"/>
        </w:rPr>
        <w:t xml:space="preserve"> (</w:t>
      </w:r>
      <w:r w:rsidR="00CA3FCF" w:rsidRPr="00A31903">
        <w:rPr>
          <w:rFonts w:ascii="Times New Roman" w:hAnsi="Times New Roman" w:cs="Times New Roman"/>
        </w:rPr>
        <w:t>1992</w:t>
      </w:r>
      <w:r w:rsidRPr="00A31903">
        <w:rPr>
          <w:rFonts w:ascii="Times New Roman" w:hAnsi="Times New Roman" w:cs="Times New Roman"/>
        </w:rPr>
        <w:t xml:space="preserve">) </w:t>
      </w:r>
      <w:r w:rsidR="00D76F9B" w:rsidRPr="00A31903">
        <w:rPr>
          <w:rFonts w:ascii="Times New Roman" w:hAnsi="Times New Roman" w:cs="Times New Roman"/>
        </w:rPr>
        <w:t xml:space="preserve">posited that </w:t>
      </w:r>
      <w:r w:rsidR="00CF169E" w:rsidRPr="00A31903">
        <w:rPr>
          <w:rFonts w:ascii="Times New Roman" w:hAnsi="Times New Roman" w:cs="Times New Roman"/>
        </w:rPr>
        <w:t>the ability of the</w:t>
      </w:r>
      <w:r w:rsidR="000055BC" w:rsidRPr="00A31903">
        <w:rPr>
          <w:rFonts w:ascii="Times New Roman" w:hAnsi="Times New Roman" w:cs="Times New Roman"/>
        </w:rPr>
        <w:t xml:space="preserve"> </w:t>
      </w:r>
      <w:r w:rsidR="00CF169E" w:rsidRPr="00A31903">
        <w:rPr>
          <w:rFonts w:ascii="Times New Roman" w:hAnsi="Times New Roman" w:cs="Times New Roman"/>
        </w:rPr>
        <w:t>national income to bear the tax burden changes according to changes in</w:t>
      </w:r>
      <w:r w:rsidR="000055BC" w:rsidRPr="00A31903">
        <w:rPr>
          <w:rFonts w:ascii="Times New Roman" w:hAnsi="Times New Roman" w:cs="Times New Roman"/>
        </w:rPr>
        <w:t xml:space="preserve"> </w:t>
      </w:r>
      <w:r w:rsidR="00CF169E" w:rsidRPr="00A31903">
        <w:rPr>
          <w:rFonts w:ascii="Times New Roman" w:hAnsi="Times New Roman" w:cs="Times New Roman"/>
        </w:rPr>
        <w:t>political, social and ec</w:t>
      </w:r>
      <w:r w:rsidR="00D76F9B" w:rsidRPr="00A31903">
        <w:rPr>
          <w:rFonts w:ascii="Times New Roman" w:hAnsi="Times New Roman" w:cs="Times New Roman"/>
        </w:rPr>
        <w:t>onomic conditions. Therefore,</w:t>
      </w:r>
      <w:r w:rsidR="00CF169E" w:rsidRPr="00A31903">
        <w:rPr>
          <w:rFonts w:ascii="Times New Roman" w:hAnsi="Times New Roman" w:cs="Times New Roman"/>
        </w:rPr>
        <w:t xml:space="preserve"> any research into tax effort and</w:t>
      </w:r>
      <w:r w:rsidR="000055BC" w:rsidRPr="00A31903">
        <w:rPr>
          <w:rFonts w:ascii="Times New Roman" w:hAnsi="Times New Roman" w:cs="Times New Roman"/>
        </w:rPr>
        <w:t xml:space="preserve"> </w:t>
      </w:r>
      <w:r w:rsidR="00CF169E" w:rsidRPr="00A31903">
        <w:rPr>
          <w:rFonts w:ascii="Times New Roman" w:hAnsi="Times New Roman" w:cs="Times New Roman"/>
        </w:rPr>
        <w:t>potential taxable capaci</w:t>
      </w:r>
      <w:r w:rsidR="00D76F9B" w:rsidRPr="00A31903">
        <w:rPr>
          <w:rFonts w:ascii="Times New Roman" w:hAnsi="Times New Roman" w:cs="Times New Roman"/>
        </w:rPr>
        <w:t>ty in any economy should</w:t>
      </w:r>
      <w:r w:rsidR="00CF169E" w:rsidRPr="00A31903">
        <w:rPr>
          <w:rFonts w:ascii="Times New Roman" w:hAnsi="Times New Roman" w:cs="Times New Roman"/>
        </w:rPr>
        <w:t xml:space="preserve"> take into account</w:t>
      </w:r>
      <w:r w:rsidR="000055BC" w:rsidRPr="00A31903">
        <w:rPr>
          <w:rFonts w:ascii="Times New Roman" w:hAnsi="Times New Roman" w:cs="Times New Roman"/>
        </w:rPr>
        <w:t xml:space="preserve"> </w:t>
      </w:r>
      <w:r w:rsidR="00CF169E" w:rsidRPr="00A31903">
        <w:rPr>
          <w:rFonts w:ascii="Times New Roman" w:hAnsi="Times New Roman" w:cs="Times New Roman"/>
        </w:rPr>
        <w:t>s</w:t>
      </w:r>
      <w:r w:rsidR="00E22640" w:rsidRPr="00A31903">
        <w:rPr>
          <w:rFonts w:ascii="Times New Roman" w:hAnsi="Times New Roman" w:cs="Times New Roman"/>
        </w:rPr>
        <w:t>everal considerations</w:t>
      </w:r>
      <w:r w:rsidR="00AE13A9" w:rsidRPr="00A31903">
        <w:rPr>
          <w:rFonts w:ascii="Times New Roman" w:hAnsi="Times New Roman" w:cs="Times New Roman"/>
        </w:rPr>
        <w:t>.</w:t>
      </w:r>
      <w:r w:rsidR="00E22640" w:rsidRPr="00A31903">
        <w:rPr>
          <w:rFonts w:ascii="Times New Roman" w:hAnsi="Times New Roman" w:cs="Times New Roman"/>
        </w:rPr>
        <w:t xml:space="preserve"> </w:t>
      </w:r>
    </w:p>
    <w:p w:rsidR="00765CB6" w:rsidRPr="00A31903" w:rsidRDefault="0002444D" w:rsidP="00CF39F6">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0406D1" w:rsidRPr="00A31903">
        <w:rPr>
          <w:rFonts w:ascii="Times New Roman" w:hAnsi="Times New Roman" w:cs="Times New Roman"/>
          <w:lang w:val="en-GB"/>
        </w:rPr>
        <w:t xml:space="preserve">Bird, Martinez-Vazquez </w:t>
      </w:r>
      <w:r w:rsidR="00C12F43" w:rsidRPr="00A31903">
        <w:rPr>
          <w:rFonts w:ascii="Times New Roman" w:hAnsi="Times New Roman" w:cs="Times New Roman"/>
        </w:rPr>
        <w:t>and</w:t>
      </w:r>
      <w:r w:rsidR="000406D1" w:rsidRPr="00A31903">
        <w:rPr>
          <w:rFonts w:ascii="Times New Roman" w:hAnsi="Times New Roman" w:cs="Times New Roman"/>
          <w:lang w:val="en-GB"/>
        </w:rPr>
        <w:t xml:space="preserve"> </w:t>
      </w:r>
      <w:proofErr w:type="spellStart"/>
      <w:r w:rsidR="000406D1" w:rsidRPr="00A31903">
        <w:rPr>
          <w:rFonts w:ascii="Times New Roman" w:hAnsi="Times New Roman" w:cs="Times New Roman"/>
          <w:lang w:val="en-GB"/>
        </w:rPr>
        <w:t>Torgler</w:t>
      </w:r>
      <w:proofErr w:type="spellEnd"/>
      <w:r w:rsidR="000406D1" w:rsidRPr="00A31903">
        <w:rPr>
          <w:rFonts w:ascii="Times New Roman" w:hAnsi="Times New Roman" w:cs="Times New Roman"/>
          <w:lang w:val="en-GB"/>
        </w:rPr>
        <w:t xml:space="preserve"> (2008) and </w:t>
      </w:r>
      <w:proofErr w:type="spellStart"/>
      <w:r w:rsidR="000406D1" w:rsidRPr="00A31903">
        <w:rPr>
          <w:rFonts w:ascii="Times New Roman" w:hAnsi="Times New Roman" w:cs="Times New Roman"/>
          <w:lang w:val="en-GB"/>
        </w:rPr>
        <w:t>Botlhole</w:t>
      </w:r>
      <w:proofErr w:type="spellEnd"/>
      <w:r w:rsidR="000406D1" w:rsidRPr="00A31903">
        <w:rPr>
          <w:rFonts w:ascii="Times New Roman" w:hAnsi="Times New Roman" w:cs="Times New Roman"/>
          <w:lang w:val="en-GB"/>
        </w:rPr>
        <w:t xml:space="preserve"> (2010) showed that a country’s tax effort </w:t>
      </w:r>
      <w:proofErr w:type="gramStart"/>
      <w:r w:rsidR="000406D1" w:rsidRPr="00A31903">
        <w:rPr>
          <w:rFonts w:ascii="Times New Roman" w:hAnsi="Times New Roman" w:cs="Times New Roman"/>
          <w:lang w:val="en-GB"/>
        </w:rPr>
        <w:t>may</w:t>
      </w:r>
      <w:proofErr w:type="gramEnd"/>
      <w:r w:rsidR="000406D1" w:rsidRPr="00A31903">
        <w:rPr>
          <w:rFonts w:ascii="Times New Roman" w:hAnsi="Times New Roman" w:cs="Times New Roman"/>
          <w:lang w:val="en-GB"/>
        </w:rPr>
        <w:t xml:space="preserve"> be influenced by its institutional factors such as corruption, voice and accountability. </w:t>
      </w:r>
    </w:p>
    <w:p w:rsidR="007A36F2" w:rsidRPr="00A31903" w:rsidRDefault="006D496D" w:rsidP="007A36F2">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7A36F2" w:rsidRPr="00A31903">
        <w:rPr>
          <w:rFonts w:ascii="Times New Roman" w:hAnsi="Times New Roman" w:cs="Times New Roman"/>
        </w:rPr>
        <w:t xml:space="preserve">Finally, </w:t>
      </w:r>
      <w:proofErr w:type="spellStart"/>
      <w:r w:rsidR="00C12F43" w:rsidRPr="00A31903">
        <w:rPr>
          <w:rFonts w:ascii="Times New Roman" w:hAnsi="Times New Roman" w:cs="Times New Roman"/>
        </w:rPr>
        <w:t>Pessino</w:t>
      </w:r>
      <w:proofErr w:type="spellEnd"/>
      <w:r w:rsidR="00C12F43" w:rsidRPr="00A31903">
        <w:rPr>
          <w:rFonts w:ascii="Times New Roman" w:hAnsi="Times New Roman" w:cs="Times New Roman"/>
        </w:rPr>
        <w:t xml:space="preserve"> and</w:t>
      </w:r>
      <w:r w:rsidR="007A36F2" w:rsidRPr="00A31903">
        <w:rPr>
          <w:rFonts w:ascii="Times New Roman" w:hAnsi="Times New Roman" w:cs="Times New Roman"/>
        </w:rPr>
        <w:t xml:space="preserve"> </w:t>
      </w:r>
      <w:proofErr w:type="spellStart"/>
      <w:r w:rsidR="007A36F2" w:rsidRPr="00A31903">
        <w:rPr>
          <w:rFonts w:ascii="Times New Roman" w:hAnsi="Times New Roman" w:cs="Times New Roman"/>
        </w:rPr>
        <w:t>Fenochietto</w:t>
      </w:r>
      <w:proofErr w:type="spellEnd"/>
      <w:r w:rsidR="007A36F2" w:rsidRPr="00A31903">
        <w:rPr>
          <w:rFonts w:ascii="Times New Roman" w:hAnsi="Times New Roman" w:cs="Times New Roman"/>
        </w:rPr>
        <w:t xml:space="preserve"> (2013) identified per capita GDP, the composition of the economy, the degree of openness of an economy, the ratio of public debt to GDP, the level of education of a country, and institutional factors such as corruption and governance.</w:t>
      </w:r>
    </w:p>
    <w:p w:rsidR="00B611A1" w:rsidRPr="00A31903" w:rsidRDefault="0014588B" w:rsidP="006777E7">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color w:val="FF0000"/>
        </w:rPr>
        <w:t xml:space="preserve">     </w:t>
      </w:r>
    </w:p>
    <w:p w:rsidR="009E7680" w:rsidRPr="00A31903" w:rsidRDefault="005551F9" w:rsidP="00ED18EF">
      <w:pPr>
        <w:autoSpaceDE w:val="0"/>
        <w:autoSpaceDN w:val="0"/>
        <w:adjustRightInd w:val="0"/>
        <w:spacing w:after="0" w:line="240" w:lineRule="auto"/>
        <w:jc w:val="both"/>
        <w:rPr>
          <w:rFonts w:ascii="Times New Roman" w:hAnsi="Times New Roman" w:cs="Times New Roman"/>
          <w:b/>
          <w:bCs/>
        </w:rPr>
      </w:pPr>
      <w:r w:rsidRPr="00A31903">
        <w:rPr>
          <w:rFonts w:ascii="Times New Roman" w:hAnsi="Times New Roman" w:cs="Times New Roman"/>
          <w:b/>
          <w:bCs/>
        </w:rPr>
        <w:t>3</w:t>
      </w:r>
      <w:r w:rsidR="00B12919" w:rsidRPr="00A31903">
        <w:rPr>
          <w:rFonts w:ascii="Times New Roman" w:hAnsi="Times New Roman" w:cs="Times New Roman"/>
          <w:b/>
          <w:bCs/>
        </w:rPr>
        <w:t>.</w:t>
      </w:r>
      <w:r w:rsidR="00AF0D86" w:rsidRPr="00A31903">
        <w:rPr>
          <w:rFonts w:ascii="Times New Roman" w:hAnsi="Times New Roman" w:cs="Times New Roman"/>
          <w:b/>
          <w:bCs/>
        </w:rPr>
        <w:t xml:space="preserve"> </w:t>
      </w:r>
      <w:r w:rsidR="001B4FA2" w:rsidRPr="00A31903">
        <w:rPr>
          <w:rFonts w:ascii="Times New Roman" w:hAnsi="Times New Roman" w:cs="Times New Roman"/>
          <w:b/>
          <w:bCs/>
        </w:rPr>
        <w:t>METHODOLOGY: DATA SOURCES AND EMPIRICAL SPECIFICATION</w:t>
      </w:r>
    </w:p>
    <w:p w:rsidR="004952AD" w:rsidRPr="00A31903" w:rsidRDefault="00973829" w:rsidP="005B1738">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The study employed OLS regression</w:t>
      </w:r>
      <w:r w:rsidR="00E43343" w:rsidRPr="00A31903">
        <w:rPr>
          <w:rFonts w:ascii="Times New Roman" w:hAnsi="Times New Roman" w:cs="Times New Roman"/>
        </w:rPr>
        <w:t xml:space="preserve"> and VAR</w:t>
      </w:r>
      <w:r w:rsidRPr="00A31903">
        <w:rPr>
          <w:rFonts w:ascii="Times New Roman" w:hAnsi="Times New Roman" w:cs="Times New Roman"/>
        </w:rPr>
        <w:t xml:space="preserve"> model</w:t>
      </w:r>
      <w:r w:rsidR="00E43343" w:rsidRPr="00A31903">
        <w:rPr>
          <w:rFonts w:ascii="Times New Roman" w:hAnsi="Times New Roman" w:cs="Times New Roman"/>
        </w:rPr>
        <w:t>s</w:t>
      </w:r>
      <w:r w:rsidRPr="00A31903">
        <w:rPr>
          <w:rFonts w:ascii="Times New Roman" w:hAnsi="Times New Roman" w:cs="Times New Roman"/>
        </w:rPr>
        <w:t xml:space="preserve"> for historical time series data from 1970 to 2015 i</w:t>
      </w:r>
      <w:r w:rsidR="00C131C0" w:rsidRPr="00A31903">
        <w:rPr>
          <w:rFonts w:ascii="Times New Roman" w:hAnsi="Times New Roman" w:cs="Times New Roman"/>
        </w:rPr>
        <w:t xml:space="preserve">n estimating the </w:t>
      </w:r>
      <w:r w:rsidR="00363730" w:rsidRPr="00A31903">
        <w:rPr>
          <w:rFonts w:ascii="Times New Roman" w:hAnsi="Times New Roman" w:cs="Times New Roman"/>
        </w:rPr>
        <w:t>taxable capacity</w:t>
      </w:r>
      <w:r w:rsidR="00393383" w:rsidRPr="00A31903">
        <w:rPr>
          <w:rFonts w:ascii="Times New Roman" w:hAnsi="Times New Roman" w:cs="Times New Roman"/>
        </w:rPr>
        <w:t>, tax burden</w:t>
      </w:r>
      <w:r w:rsidR="009235D3" w:rsidRPr="00A31903">
        <w:rPr>
          <w:rFonts w:ascii="Times New Roman" w:hAnsi="Times New Roman" w:cs="Times New Roman"/>
        </w:rPr>
        <w:t xml:space="preserve"> and tax effort</w:t>
      </w:r>
      <w:r w:rsidR="00363730" w:rsidRPr="00A31903">
        <w:rPr>
          <w:rFonts w:ascii="Times New Roman" w:hAnsi="Times New Roman" w:cs="Times New Roman"/>
        </w:rPr>
        <w:t xml:space="preserve"> in Ghana</w:t>
      </w:r>
      <w:r w:rsidRPr="00A31903">
        <w:rPr>
          <w:rFonts w:ascii="Times New Roman" w:hAnsi="Times New Roman" w:cs="Times New Roman"/>
        </w:rPr>
        <w:t>.</w:t>
      </w:r>
      <w:r w:rsidR="00393383" w:rsidRPr="00A31903">
        <w:rPr>
          <w:rFonts w:ascii="Times New Roman" w:hAnsi="Times New Roman" w:cs="Times New Roman"/>
        </w:rPr>
        <w:t xml:space="preserve"> </w:t>
      </w:r>
      <w:r w:rsidR="00C42FF4" w:rsidRPr="00A31903">
        <w:rPr>
          <w:rFonts w:ascii="Times New Roman" w:hAnsi="Times New Roman" w:cs="Times New Roman"/>
        </w:rPr>
        <w:t xml:space="preserve">This follows </w:t>
      </w:r>
      <w:proofErr w:type="spellStart"/>
      <w:r w:rsidR="00CA3FCF" w:rsidRPr="00A31903">
        <w:rPr>
          <w:rFonts w:ascii="Times New Roman" w:hAnsi="Times New Roman" w:cs="Times New Roman"/>
        </w:rPr>
        <w:t>Adanu</w:t>
      </w:r>
      <w:proofErr w:type="spellEnd"/>
      <w:r w:rsidR="00CA3FCF" w:rsidRPr="00A31903">
        <w:rPr>
          <w:rFonts w:ascii="Times New Roman" w:hAnsi="Times New Roman" w:cs="Times New Roman"/>
        </w:rPr>
        <w:t xml:space="preserve"> </w:t>
      </w:r>
      <w:r w:rsidR="00C12F43" w:rsidRPr="00A31903">
        <w:rPr>
          <w:rFonts w:ascii="Times New Roman" w:hAnsi="Times New Roman" w:cs="Times New Roman"/>
        </w:rPr>
        <w:t>and</w:t>
      </w:r>
      <w:r w:rsidR="00C42FF4" w:rsidRPr="00A31903">
        <w:rPr>
          <w:rFonts w:ascii="Times New Roman" w:hAnsi="Times New Roman" w:cs="Times New Roman"/>
        </w:rPr>
        <w:t xml:space="preserve"> Sun, (2002) who used time series analysis to measure tax</w:t>
      </w:r>
      <w:r w:rsidR="009A2521" w:rsidRPr="00A31903">
        <w:rPr>
          <w:rFonts w:ascii="Times New Roman" w:hAnsi="Times New Roman" w:cs="Times New Roman"/>
        </w:rPr>
        <w:t xml:space="preserve"> burden</w:t>
      </w:r>
      <w:r w:rsidR="00C42FF4" w:rsidRPr="00A31903">
        <w:rPr>
          <w:rFonts w:ascii="Times New Roman" w:hAnsi="Times New Roman" w:cs="Times New Roman"/>
        </w:rPr>
        <w:t xml:space="preserve"> in each </w:t>
      </w:r>
      <w:r w:rsidR="009A2521" w:rsidRPr="00A31903">
        <w:rPr>
          <w:rFonts w:ascii="Times New Roman" w:hAnsi="Times New Roman" w:cs="Times New Roman"/>
        </w:rPr>
        <w:t xml:space="preserve">selected </w:t>
      </w:r>
      <w:r w:rsidR="00C42FF4" w:rsidRPr="00A31903">
        <w:rPr>
          <w:rFonts w:ascii="Times New Roman" w:hAnsi="Times New Roman" w:cs="Times New Roman"/>
        </w:rPr>
        <w:t xml:space="preserve">country separately. </w:t>
      </w:r>
      <w:r w:rsidR="009E120F" w:rsidRPr="00A31903">
        <w:rPr>
          <w:rFonts w:ascii="Times New Roman" w:hAnsi="Times New Roman" w:cs="Times New Roman"/>
        </w:rPr>
        <w:t xml:space="preserve">Data </w:t>
      </w:r>
      <w:proofErr w:type="gramStart"/>
      <w:r w:rsidR="009E120F" w:rsidRPr="00A31903">
        <w:rPr>
          <w:rFonts w:ascii="Times New Roman" w:hAnsi="Times New Roman" w:cs="Times New Roman"/>
        </w:rPr>
        <w:t>was sourced</w:t>
      </w:r>
      <w:proofErr w:type="gramEnd"/>
      <w:r w:rsidR="009E120F" w:rsidRPr="00A31903">
        <w:rPr>
          <w:rFonts w:ascii="Times New Roman" w:hAnsi="Times New Roman" w:cs="Times New Roman"/>
        </w:rPr>
        <w:t xml:space="preserve"> from </w:t>
      </w:r>
      <w:proofErr w:type="spellStart"/>
      <w:r w:rsidR="009E120F" w:rsidRPr="00A31903">
        <w:rPr>
          <w:rFonts w:ascii="Times New Roman" w:hAnsi="Times New Roman" w:cs="Times New Roman"/>
        </w:rPr>
        <w:t>Bo</w:t>
      </w:r>
      <w:r w:rsidR="00393383" w:rsidRPr="00A31903">
        <w:rPr>
          <w:rFonts w:ascii="Times New Roman" w:hAnsi="Times New Roman" w:cs="Times New Roman"/>
        </w:rPr>
        <w:t>G</w:t>
      </w:r>
      <w:proofErr w:type="spellEnd"/>
      <w:r w:rsidR="00393383" w:rsidRPr="00A31903">
        <w:rPr>
          <w:rFonts w:ascii="Times New Roman" w:hAnsi="Times New Roman" w:cs="Times New Roman"/>
        </w:rPr>
        <w:t xml:space="preserve"> and WDI for dependent and explanatory variables respectively.</w:t>
      </w:r>
      <w:r w:rsidR="00DF2428" w:rsidRPr="00A31903">
        <w:rPr>
          <w:rFonts w:ascii="Times New Roman" w:hAnsi="Times New Roman" w:cs="Times New Roman"/>
        </w:rPr>
        <w:t xml:space="preserve"> </w:t>
      </w:r>
    </w:p>
    <w:p w:rsidR="005551F9" w:rsidRPr="00A31903" w:rsidRDefault="00667805" w:rsidP="00B12919">
      <w:pPr>
        <w:tabs>
          <w:tab w:val="left" w:pos="1395"/>
        </w:tabs>
        <w:autoSpaceDE w:val="0"/>
        <w:autoSpaceDN w:val="0"/>
        <w:adjustRightInd w:val="0"/>
        <w:spacing w:after="0" w:line="240" w:lineRule="auto"/>
        <w:jc w:val="both"/>
        <w:rPr>
          <w:rFonts w:ascii="Times New Roman" w:hAnsi="Times New Roman" w:cs="Times New Roman"/>
          <w:b/>
        </w:rPr>
      </w:pPr>
      <w:r w:rsidRPr="00A31903">
        <w:rPr>
          <w:rFonts w:ascii="Times New Roman" w:hAnsi="Times New Roman" w:cs="Times New Roman"/>
        </w:rPr>
        <w:t xml:space="preserve">    </w:t>
      </w:r>
      <w:r w:rsidR="00B12919" w:rsidRPr="00A31903">
        <w:rPr>
          <w:rFonts w:ascii="Times New Roman" w:hAnsi="Times New Roman" w:cs="Times New Roman"/>
        </w:rPr>
        <w:tab/>
      </w:r>
    </w:p>
    <w:p w:rsidR="00D16FCE" w:rsidRPr="00A31903" w:rsidRDefault="00455300" w:rsidP="00455300">
      <w:pPr>
        <w:pStyle w:val="ListParagraph"/>
        <w:widowControl w:val="0"/>
        <w:numPr>
          <w:ilvl w:val="1"/>
          <w:numId w:val="15"/>
        </w:numPr>
        <w:autoSpaceDE w:val="0"/>
        <w:autoSpaceDN w:val="0"/>
        <w:adjustRightInd w:val="0"/>
        <w:spacing w:after="0" w:line="240" w:lineRule="auto"/>
        <w:rPr>
          <w:rFonts w:ascii="Times New Roman" w:hAnsi="Times New Roman" w:cs="Times New Roman"/>
          <w:b/>
          <w:i/>
        </w:rPr>
      </w:pPr>
      <w:r w:rsidRPr="00A31903">
        <w:rPr>
          <w:rFonts w:ascii="Times New Roman" w:hAnsi="Times New Roman" w:cs="Times New Roman"/>
          <w:b/>
          <w:bCs/>
          <w:i/>
        </w:rPr>
        <w:t>The variables and m</w:t>
      </w:r>
      <w:r w:rsidR="005551F9" w:rsidRPr="00A31903">
        <w:rPr>
          <w:rFonts w:ascii="Times New Roman" w:hAnsi="Times New Roman" w:cs="Times New Roman"/>
          <w:b/>
          <w:bCs/>
          <w:i/>
        </w:rPr>
        <w:t>odel</w:t>
      </w:r>
      <w:r w:rsidR="00E43343" w:rsidRPr="00A31903">
        <w:rPr>
          <w:rFonts w:ascii="Times New Roman" w:hAnsi="Times New Roman" w:cs="Times New Roman"/>
          <w:b/>
          <w:bCs/>
          <w:i/>
        </w:rPr>
        <w:t xml:space="preserve"> specification</w:t>
      </w:r>
    </w:p>
    <w:p w:rsidR="006225B6" w:rsidRPr="00A31903" w:rsidRDefault="00163388" w:rsidP="006225B6">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Depending on the availability of data and </w:t>
      </w:r>
      <w:r w:rsidR="00180BF0" w:rsidRPr="00A31903">
        <w:rPr>
          <w:rFonts w:ascii="Times New Roman" w:hAnsi="Times New Roman" w:cs="Times New Roman"/>
        </w:rPr>
        <w:t>its</w:t>
      </w:r>
      <w:r w:rsidRPr="00A31903">
        <w:rPr>
          <w:rFonts w:ascii="Times New Roman" w:hAnsi="Times New Roman" w:cs="Times New Roman"/>
        </w:rPr>
        <w:t xml:space="preserve"> relevance </w:t>
      </w:r>
      <w:r w:rsidR="00180BF0" w:rsidRPr="00A31903">
        <w:rPr>
          <w:rFonts w:ascii="Times New Roman" w:hAnsi="Times New Roman" w:cs="Times New Roman"/>
        </w:rPr>
        <w:t xml:space="preserve">to our discussion, </w:t>
      </w:r>
      <w:r w:rsidR="00DD6008" w:rsidRPr="00A31903">
        <w:rPr>
          <w:rFonts w:ascii="Times New Roman" w:hAnsi="Times New Roman" w:cs="Times New Roman"/>
        </w:rPr>
        <w:t>this study</w:t>
      </w:r>
      <w:r w:rsidR="00180BF0" w:rsidRPr="00A31903">
        <w:rPr>
          <w:rFonts w:ascii="Times New Roman" w:hAnsi="Times New Roman" w:cs="Times New Roman"/>
        </w:rPr>
        <w:t xml:space="preserve"> employ</w:t>
      </w:r>
      <w:r w:rsidR="006D33E8" w:rsidRPr="00A31903">
        <w:rPr>
          <w:rFonts w:ascii="Times New Roman" w:hAnsi="Times New Roman" w:cs="Times New Roman"/>
        </w:rPr>
        <w:t>ed</w:t>
      </w:r>
      <w:r w:rsidR="005551F9" w:rsidRPr="00A31903">
        <w:rPr>
          <w:rFonts w:ascii="Times New Roman" w:hAnsi="Times New Roman" w:cs="Times New Roman"/>
        </w:rPr>
        <w:t xml:space="preserve"> the followi</w:t>
      </w:r>
      <w:r w:rsidR="00180BF0" w:rsidRPr="00A31903">
        <w:rPr>
          <w:rFonts w:ascii="Times New Roman" w:hAnsi="Times New Roman" w:cs="Times New Roman"/>
        </w:rPr>
        <w:t>ng variables</w:t>
      </w:r>
      <w:r w:rsidR="0002304B" w:rsidRPr="00A31903">
        <w:rPr>
          <w:rFonts w:ascii="Times New Roman" w:hAnsi="Times New Roman" w:cs="Times New Roman"/>
        </w:rPr>
        <w:t>; t</w:t>
      </w:r>
      <w:r w:rsidR="006225B6" w:rsidRPr="00A31903">
        <w:rPr>
          <w:rFonts w:ascii="Times New Roman" w:hAnsi="Times New Roman" w:cs="Times New Roman"/>
        </w:rPr>
        <w:t xml:space="preserve">otal </w:t>
      </w:r>
      <w:r w:rsidR="00D872D4" w:rsidRPr="00A31903">
        <w:rPr>
          <w:rFonts w:ascii="Times New Roman" w:hAnsi="Times New Roman" w:cs="Times New Roman"/>
        </w:rPr>
        <w:t xml:space="preserve">tax </w:t>
      </w:r>
      <w:r w:rsidR="006225B6" w:rsidRPr="00A31903">
        <w:rPr>
          <w:rFonts w:ascii="Times New Roman" w:hAnsi="Times New Roman" w:cs="Times New Roman"/>
        </w:rPr>
        <w:t>rev</w:t>
      </w:r>
      <w:r w:rsidR="0002304B" w:rsidRPr="00A31903">
        <w:rPr>
          <w:rFonts w:ascii="Times New Roman" w:hAnsi="Times New Roman" w:cs="Times New Roman"/>
        </w:rPr>
        <w:t>enue as a percentage of GDP, i</w:t>
      </w:r>
      <w:r w:rsidR="00B00C56" w:rsidRPr="00A31903">
        <w:rPr>
          <w:rFonts w:ascii="Times New Roman" w:hAnsi="Times New Roman" w:cs="Times New Roman"/>
        </w:rPr>
        <w:t>nflation, GDP deflator (annual %)</w:t>
      </w:r>
      <w:r w:rsidR="0002304B" w:rsidRPr="00A31903">
        <w:rPr>
          <w:rFonts w:ascii="Times New Roman" w:hAnsi="Times New Roman" w:cs="Times New Roman"/>
        </w:rPr>
        <w:t>, p</w:t>
      </w:r>
      <w:r w:rsidR="00B00C56" w:rsidRPr="00A31903">
        <w:rPr>
          <w:rFonts w:ascii="Times New Roman" w:hAnsi="Times New Roman" w:cs="Times New Roman"/>
        </w:rPr>
        <w:t>opulation growth rate (annual %)</w:t>
      </w:r>
      <w:r w:rsidR="0002304B" w:rsidRPr="00A31903">
        <w:rPr>
          <w:rFonts w:ascii="Times New Roman" w:hAnsi="Times New Roman" w:cs="Times New Roman"/>
        </w:rPr>
        <w:t xml:space="preserve">, </w:t>
      </w:r>
      <w:r w:rsidR="006225B6" w:rsidRPr="00A31903">
        <w:rPr>
          <w:rFonts w:ascii="Times New Roman" w:hAnsi="Times New Roman" w:cs="Times New Roman"/>
        </w:rPr>
        <w:t xml:space="preserve">GDP per capita </w:t>
      </w:r>
      <w:r w:rsidR="00270142" w:rsidRPr="00A31903">
        <w:rPr>
          <w:rFonts w:ascii="Times New Roman" w:hAnsi="Times New Roman" w:cs="Times New Roman"/>
        </w:rPr>
        <w:t xml:space="preserve">growth </w:t>
      </w:r>
      <w:r w:rsidR="006225B6" w:rsidRPr="00A31903">
        <w:rPr>
          <w:rFonts w:ascii="Times New Roman" w:hAnsi="Times New Roman" w:cs="Times New Roman"/>
        </w:rPr>
        <w:t>(</w:t>
      </w:r>
      <w:r w:rsidR="00270142" w:rsidRPr="00A31903">
        <w:rPr>
          <w:rFonts w:ascii="Times New Roman" w:hAnsi="Times New Roman" w:cs="Times New Roman"/>
        </w:rPr>
        <w:t>annual %</w:t>
      </w:r>
      <w:r w:rsidR="0002304B" w:rsidRPr="00A31903">
        <w:rPr>
          <w:rFonts w:ascii="Times New Roman" w:hAnsi="Times New Roman" w:cs="Times New Roman"/>
        </w:rPr>
        <w:t>), a</w:t>
      </w:r>
      <w:r w:rsidR="006225B6" w:rsidRPr="00A31903">
        <w:rPr>
          <w:rFonts w:ascii="Times New Roman" w:hAnsi="Times New Roman" w:cs="Times New Roman"/>
        </w:rPr>
        <w:t>gricu</w:t>
      </w:r>
      <w:r w:rsidR="0002304B" w:rsidRPr="00A31903">
        <w:rPr>
          <w:rFonts w:ascii="Times New Roman" w:hAnsi="Times New Roman" w:cs="Times New Roman"/>
        </w:rPr>
        <w:t>l</w:t>
      </w:r>
      <w:r w:rsidRPr="00A31903">
        <w:rPr>
          <w:rFonts w:ascii="Times New Roman" w:hAnsi="Times New Roman" w:cs="Times New Roman"/>
        </w:rPr>
        <w:t>ture value added (</w:t>
      </w:r>
      <w:proofErr w:type="gramStart"/>
      <w:r w:rsidRPr="00A31903">
        <w:rPr>
          <w:rFonts w:ascii="Times New Roman" w:hAnsi="Times New Roman" w:cs="Times New Roman"/>
        </w:rPr>
        <w:t>%</w:t>
      </w:r>
      <w:proofErr w:type="gramEnd"/>
      <w:r w:rsidRPr="00A31903">
        <w:rPr>
          <w:rFonts w:ascii="Times New Roman" w:hAnsi="Times New Roman" w:cs="Times New Roman"/>
        </w:rPr>
        <w:t xml:space="preserve"> of GDP),</w:t>
      </w:r>
      <w:r w:rsidR="0002304B" w:rsidRPr="00A31903">
        <w:rPr>
          <w:rFonts w:ascii="Times New Roman" w:hAnsi="Times New Roman" w:cs="Times New Roman"/>
        </w:rPr>
        <w:t xml:space="preserve"> e</w:t>
      </w:r>
      <w:r w:rsidR="00270142" w:rsidRPr="00A31903">
        <w:rPr>
          <w:rFonts w:ascii="Times New Roman" w:hAnsi="Times New Roman" w:cs="Times New Roman"/>
        </w:rPr>
        <w:t>xternal debt stocks (% of GNI)</w:t>
      </w:r>
      <w:r w:rsidRPr="00A31903">
        <w:rPr>
          <w:rFonts w:ascii="Times New Roman" w:hAnsi="Times New Roman" w:cs="Times New Roman"/>
        </w:rPr>
        <w:t xml:space="preserve"> and services value added (as a % of GDP)</w:t>
      </w:r>
      <w:r w:rsidR="0002304B" w:rsidRPr="00A31903">
        <w:rPr>
          <w:rFonts w:ascii="Times New Roman" w:hAnsi="Times New Roman" w:cs="Times New Roman"/>
        </w:rPr>
        <w:t xml:space="preserve">. </w:t>
      </w:r>
      <w:r w:rsidR="00E43343" w:rsidRPr="00A31903">
        <w:rPr>
          <w:rFonts w:ascii="Times New Roman" w:hAnsi="Times New Roman" w:cs="Times New Roman"/>
        </w:rPr>
        <w:t xml:space="preserve">The choice of the variables </w:t>
      </w:r>
      <w:proofErr w:type="gramStart"/>
      <w:r w:rsidR="00E43343" w:rsidRPr="00A31903">
        <w:rPr>
          <w:rFonts w:ascii="Times New Roman" w:hAnsi="Times New Roman" w:cs="Times New Roman"/>
        </w:rPr>
        <w:t>was triggered</w:t>
      </w:r>
      <w:proofErr w:type="gramEnd"/>
      <w:r w:rsidR="00E43343" w:rsidRPr="00A31903">
        <w:rPr>
          <w:rFonts w:ascii="Times New Roman" w:hAnsi="Times New Roman" w:cs="Times New Roman"/>
        </w:rPr>
        <w:t xml:space="preserve"> by prior studies and the availability of data. </w:t>
      </w:r>
      <w:r w:rsidR="009B588C" w:rsidRPr="00A31903">
        <w:rPr>
          <w:rFonts w:ascii="Times New Roman" w:hAnsi="Times New Roman" w:cs="Times New Roman"/>
        </w:rPr>
        <w:t xml:space="preserve">Based on </w:t>
      </w:r>
      <w:r w:rsidR="00E43343" w:rsidRPr="00A31903">
        <w:rPr>
          <w:rFonts w:ascii="Times New Roman" w:hAnsi="Times New Roman" w:cs="Times New Roman"/>
        </w:rPr>
        <w:t>these</w:t>
      </w:r>
      <w:r w:rsidR="009B588C" w:rsidRPr="00A31903">
        <w:rPr>
          <w:rFonts w:ascii="Times New Roman" w:hAnsi="Times New Roman" w:cs="Times New Roman"/>
        </w:rPr>
        <w:t xml:space="preserve"> the ec</w:t>
      </w:r>
      <w:r w:rsidR="00D872D4" w:rsidRPr="00A31903">
        <w:rPr>
          <w:rFonts w:ascii="Times New Roman" w:hAnsi="Times New Roman" w:cs="Times New Roman"/>
        </w:rPr>
        <w:t xml:space="preserve">onometric model </w:t>
      </w:r>
      <w:proofErr w:type="gramStart"/>
      <w:r w:rsidR="00D872D4" w:rsidRPr="00A31903">
        <w:rPr>
          <w:rFonts w:ascii="Times New Roman" w:hAnsi="Times New Roman" w:cs="Times New Roman"/>
        </w:rPr>
        <w:t xml:space="preserve">is </w:t>
      </w:r>
      <w:r w:rsidR="00E43343" w:rsidRPr="00A31903">
        <w:rPr>
          <w:rFonts w:ascii="Times New Roman" w:hAnsi="Times New Roman" w:cs="Times New Roman"/>
        </w:rPr>
        <w:t>specified</w:t>
      </w:r>
      <w:proofErr w:type="gramEnd"/>
      <w:r w:rsidR="00D872D4" w:rsidRPr="00A31903">
        <w:rPr>
          <w:rFonts w:ascii="Times New Roman" w:hAnsi="Times New Roman" w:cs="Times New Roman"/>
        </w:rPr>
        <w:t xml:space="preserve"> </w:t>
      </w:r>
      <w:r w:rsidR="009B588C" w:rsidRPr="00A31903">
        <w:rPr>
          <w:rFonts w:ascii="Times New Roman" w:hAnsi="Times New Roman" w:cs="Times New Roman"/>
        </w:rPr>
        <w:t>as follows:</w:t>
      </w:r>
    </w:p>
    <w:p w:rsidR="006D33E8" w:rsidRPr="00A31903" w:rsidRDefault="006D33E8" w:rsidP="006225B6">
      <w:pPr>
        <w:autoSpaceDE w:val="0"/>
        <w:autoSpaceDN w:val="0"/>
        <w:adjustRightInd w:val="0"/>
        <w:spacing w:after="0" w:line="240" w:lineRule="auto"/>
        <w:jc w:val="both"/>
        <w:rPr>
          <w:rFonts w:ascii="Times New Roman" w:hAnsi="Times New Roman" w:cs="Times New Roman"/>
        </w:rPr>
      </w:pPr>
    </w:p>
    <w:p w:rsidR="00ED65D9" w:rsidRPr="00A31903" w:rsidRDefault="00270142" w:rsidP="000C582E">
      <w:pPr>
        <w:spacing w:after="0" w:line="240" w:lineRule="auto"/>
        <w:rPr>
          <w:rFonts w:ascii="Times New Roman" w:eastAsia="Times New Roman" w:hAnsi="Times New Roman" w:cs="Times New Roman"/>
          <w:iCs/>
          <w:color w:val="000000"/>
        </w:rPr>
      </w:pPr>
      <w:r w:rsidRPr="00A31903">
        <w:rPr>
          <w:rFonts w:ascii="Times New Roman" w:eastAsia="Times New Roman" w:hAnsi="Times New Roman" w:cs="Times New Roman"/>
          <w:iCs/>
          <w:color w:val="000000"/>
        </w:rPr>
        <w:t xml:space="preserve">TGDP </w:t>
      </w:r>
      <w:r w:rsidRPr="00A31903">
        <w:rPr>
          <w:rFonts w:ascii="Times New Roman" w:eastAsia="Times New Roman" w:hAnsi="Times New Roman" w:cs="Times New Roman"/>
          <w:color w:val="000000"/>
        </w:rPr>
        <w:t>=</w:t>
      </w:r>
      <w:r w:rsidRPr="00A31903">
        <w:rPr>
          <w:rFonts w:ascii="Times New Roman" w:eastAsia="Times New Roman" w:hAnsi="Times New Roman" w:cs="Times New Roman"/>
          <w:iCs/>
          <w:color w:val="000000"/>
        </w:rPr>
        <w:t xml:space="preserve"> </w:t>
      </w:r>
      <w:r w:rsidRPr="00A31903">
        <w:rPr>
          <w:rFonts w:ascii="Times New Roman" w:eastAsia="Times New Roman" w:hAnsi="Times New Roman" w:cs="Times New Roman"/>
          <w:color w:val="000000"/>
        </w:rPr>
        <w:t>β</w:t>
      </w:r>
      <w:r w:rsidRPr="00A31903">
        <w:rPr>
          <w:rFonts w:ascii="Times New Roman" w:eastAsia="Times New Roman" w:hAnsi="Times New Roman" w:cs="Times New Roman"/>
          <w:color w:val="000000"/>
          <w:vertAlign w:val="subscript"/>
        </w:rPr>
        <w:t>0</w:t>
      </w:r>
      <w:r w:rsidRPr="00A31903">
        <w:rPr>
          <w:rFonts w:ascii="Times New Roman" w:eastAsia="Times New Roman" w:hAnsi="Times New Roman" w:cs="Times New Roman"/>
          <w:iCs/>
          <w:color w:val="000000"/>
        </w:rPr>
        <w:t xml:space="preserve"> </w:t>
      </w:r>
      <w:r w:rsidRPr="00A31903">
        <w:rPr>
          <w:rFonts w:ascii="Times New Roman" w:eastAsia="Times New Roman" w:hAnsi="Times New Roman" w:cs="Times New Roman"/>
          <w:color w:val="000000"/>
        </w:rPr>
        <w:t>+ β</w:t>
      </w:r>
      <w:r w:rsidRPr="00A31903">
        <w:rPr>
          <w:rFonts w:ascii="Times New Roman" w:eastAsia="Times New Roman" w:hAnsi="Times New Roman" w:cs="Times New Roman"/>
          <w:color w:val="000000"/>
          <w:vertAlign w:val="subscript"/>
        </w:rPr>
        <w:t>1</w:t>
      </w:r>
      <w:r w:rsidRPr="00A31903">
        <w:rPr>
          <w:rFonts w:ascii="Times New Roman" w:eastAsia="Times New Roman" w:hAnsi="Times New Roman" w:cs="Times New Roman"/>
          <w:iCs/>
          <w:color w:val="000000"/>
        </w:rPr>
        <w:t>INFL</w:t>
      </w:r>
      <w:r w:rsidRPr="00A31903">
        <w:rPr>
          <w:rFonts w:ascii="Times New Roman" w:eastAsia="Times New Roman" w:hAnsi="Times New Roman" w:cs="Times New Roman"/>
          <w:iCs/>
          <w:color w:val="000000"/>
          <w:vertAlign w:val="subscript"/>
        </w:rPr>
        <w:t>t</w:t>
      </w:r>
      <w:r w:rsidRPr="00A31903">
        <w:rPr>
          <w:rFonts w:ascii="Times New Roman" w:eastAsia="Times New Roman" w:hAnsi="Times New Roman" w:cs="Times New Roman"/>
          <w:iCs/>
          <w:color w:val="000000"/>
        </w:rPr>
        <w:t xml:space="preserve"> </w:t>
      </w:r>
      <w:r w:rsidRPr="00A31903">
        <w:rPr>
          <w:rFonts w:ascii="Times New Roman" w:eastAsia="Times New Roman" w:hAnsi="Times New Roman" w:cs="Times New Roman"/>
          <w:color w:val="000000"/>
        </w:rPr>
        <w:t>+ β</w:t>
      </w:r>
      <w:r w:rsidRPr="00A31903">
        <w:rPr>
          <w:rFonts w:ascii="Times New Roman" w:eastAsia="Times New Roman" w:hAnsi="Times New Roman" w:cs="Times New Roman"/>
          <w:color w:val="000000"/>
          <w:vertAlign w:val="subscript"/>
        </w:rPr>
        <w:t>2</w:t>
      </w:r>
      <w:r w:rsidRPr="00A31903">
        <w:rPr>
          <w:rFonts w:ascii="Times New Roman" w:eastAsia="Times New Roman" w:hAnsi="Times New Roman" w:cs="Times New Roman"/>
          <w:iCs/>
          <w:color w:val="000000"/>
        </w:rPr>
        <w:t>POPG</w:t>
      </w:r>
      <w:r w:rsidRPr="00A31903">
        <w:rPr>
          <w:rFonts w:ascii="Times New Roman" w:eastAsia="Times New Roman" w:hAnsi="Times New Roman" w:cs="Times New Roman"/>
          <w:iCs/>
          <w:color w:val="000000"/>
          <w:vertAlign w:val="subscript"/>
        </w:rPr>
        <w:t>t</w:t>
      </w:r>
      <w:r w:rsidRPr="00A31903">
        <w:rPr>
          <w:rFonts w:ascii="Times New Roman" w:eastAsia="Times New Roman" w:hAnsi="Times New Roman" w:cs="Times New Roman"/>
          <w:iCs/>
          <w:color w:val="000000"/>
        </w:rPr>
        <w:t xml:space="preserve"> </w:t>
      </w:r>
      <w:r w:rsidRPr="00A31903">
        <w:rPr>
          <w:rFonts w:ascii="Times New Roman" w:eastAsia="Times New Roman" w:hAnsi="Times New Roman" w:cs="Times New Roman"/>
          <w:color w:val="000000"/>
        </w:rPr>
        <w:t>+ β</w:t>
      </w:r>
      <w:r w:rsidRPr="00A31903">
        <w:rPr>
          <w:rFonts w:ascii="Times New Roman" w:eastAsia="Times New Roman" w:hAnsi="Times New Roman" w:cs="Times New Roman"/>
          <w:color w:val="000000"/>
          <w:vertAlign w:val="subscript"/>
        </w:rPr>
        <w:t>3</w:t>
      </w:r>
      <w:r w:rsidRPr="00A31903">
        <w:rPr>
          <w:rFonts w:ascii="Times New Roman" w:eastAsia="Times New Roman" w:hAnsi="Times New Roman" w:cs="Times New Roman"/>
          <w:iCs/>
          <w:color w:val="000000"/>
        </w:rPr>
        <w:t>GDPG</w:t>
      </w:r>
      <w:r w:rsidRPr="00A31903">
        <w:rPr>
          <w:rFonts w:ascii="Times New Roman" w:eastAsia="Times New Roman" w:hAnsi="Times New Roman" w:cs="Times New Roman"/>
          <w:iCs/>
          <w:color w:val="000000"/>
          <w:vertAlign w:val="subscript"/>
        </w:rPr>
        <w:t>t</w:t>
      </w:r>
      <w:r w:rsidRPr="00A31903">
        <w:rPr>
          <w:rFonts w:ascii="Times New Roman" w:eastAsia="Times New Roman" w:hAnsi="Times New Roman" w:cs="Times New Roman"/>
          <w:iCs/>
          <w:color w:val="000000"/>
        </w:rPr>
        <w:t xml:space="preserve"> </w:t>
      </w:r>
      <w:r w:rsidRPr="00A31903">
        <w:rPr>
          <w:rFonts w:ascii="Times New Roman" w:eastAsia="Times New Roman" w:hAnsi="Times New Roman" w:cs="Times New Roman"/>
          <w:color w:val="000000"/>
        </w:rPr>
        <w:t>+ β</w:t>
      </w:r>
      <w:r w:rsidRPr="00A31903">
        <w:rPr>
          <w:rFonts w:ascii="Times New Roman" w:eastAsia="Times New Roman" w:hAnsi="Times New Roman" w:cs="Times New Roman"/>
          <w:color w:val="000000"/>
          <w:vertAlign w:val="subscript"/>
        </w:rPr>
        <w:t>4</w:t>
      </w:r>
      <w:r w:rsidRPr="00A31903">
        <w:rPr>
          <w:rFonts w:ascii="Times New Roman" w:eastAsia="Times New Roman" w:hAnsi="Times New Roman" w:cs="Times New Roman"/>
          <w:iCs/>
          <w:color w:val="000000"/>
        </w:rPr>
        <w:t>AGRV</w:t>
      </w:r>
      <w:r w:rsidRPr="00A31903">
        <w:rPr>
          <w:rFonts w:ascii="Times New Roman" w:eastAsia="Times New Roman" w:hAnsi="Times New Roman" w:cs="Times New Roman"/>
          <w:iCs/>
          <w:color w:val="000000"/>
          <w:vertAlign w:val="subscript"/>
        </w:rPr>
        <w:t>t</w:t>
      </w:r>
      <w:r w:rsidRPr="00A31903">
        <w:rPr>
          <w:rFonts w:ascii="Times New Roman" w:eastAsia="Times New Roman" w:hAnsi="Times New Roman" w:cs="Times New Roman"/>
          <w:iCs/>
          <w:color w:val="000000"/>
        </w:rPr>
        <w:t xml:space="preserve"> </w:t>
      </w:r>
      <w:r w:rsidRPr="00A31903">
        <w:rPr>
          <w:rFonts w:ascii="Times New Roman" w:eastAsia="Times New Roman" w:hAnsi="Times New Roman" w:cs="Times New Roman"/>
          <w:color w:val="000000"/>
        </w:rPr>
        <w:t>+ β</w:t>
      </w:r>
      <w:r w:rsidRPr="00A31903">
        <w:rPr>
          <w:rFonts w:ascii="Times New Roman" w:eastAsia="Times New Roman" w:hAnsi="Times New Roman" w:cs="Times New Roman"/>
          <w:color w:val="000000"/>
          <w:vertAlign w:val="subscript"/>
        </w:rPr>
        <w:t>5</w:t>
      </w:r>
      <w:r w:rsidRPr="00A31903">
        <w:rPr>
          <w:rFonts w:ascii="Times New Roman" w:eastAsia="Times New Roman" w:hAnsi="Times New Roman" w:cs="Times New Roman"/>
          <w:iCs/>
          <w:color w:val="000000"/>
        </w:rPr>
        <w:t>DEBT</w:t>
      </w:r>
      <w:r w:rsidRPr="00A31903">
        <w:rPr>
          <w:rFonts w:ascii="Times New Roman" w:eastAsia="Times New Roman" w:hAnsi="Times New Roman" w:cs="Times New Roman"/>
          <w:iCs/>
          <w:color w:val="000000"/>
          <w:vertAlign w:val="subscript"/>
        </w:rPr>
        <w:t>t</w:t>
      </w:r>
      <w:r w:rsidRPr="00A31903">
        <w:rPr>
          <w:rFonts w:ascii="Times New Roman" w:eastAsia="Times New Roman" w:hAnsi="Times New Roman" w:cs="Times New Roman"/>
          <w:iCs/>
          <w:color w:val="000000"/>
        </w:rPr>
        <w:t xml:space="preserve"> </w:t>
      </w:r>
      <w:r w:rsidRPr="00A31903">
        <w:rPr>
          <w:rFonts w:ascii="Times New Roman" w:eastAsia="Times New Roman" w:hAnsi="Times New Roman" w:cs="Times New Roman"/>
          <w:color w:val="000000"/>
        </w:rPr>
        <w:t>+</w:t>
      </w:r>
      <w:r w:rsidR="00EE5EE9" w:rsidRPr="00A31903">
        <w:rPr>
          <w:rFonts w:ascii="Times New Roman" w:eastAsia="Times New Roman" w:hAnsi="Times New Roman" w:cs="Times New Roman"/>
          <w:color w:val="000000"/>
        </w:rPr>
        <w:t xml:space="preserve"> β</w:t>
      </w:r>
      <w:r w:rsidR="00662CE7" w:rsidRPr="00A31903">
        <w:rPr>
          <w:rFonts w:ascii="Times New Roman" w:eastAsia="Times New Roman" w:hAnsi="Times New Roman" w:cs="Times New Roman"/>
          <w:color w:val="000000"/>
          <w:vertAlign w:val="subscript"/>
        </w:rPr>
        <w:t>6</w:t>
      </w:r>
      <w:r w:rsidR="00662CE7" w:rsidRPr="00A31903">
        <w:rPr>
          <w:rFonts w:ascii="Times New Roman" w:eastAsia="Times New Roman" w:hAnsi="Times New Roman" w:cs="Times New Roman"/>
          <w:iCs/>
          <w:color w:val="000000"/>
        </w:rPr>
        <w:t>SERV</w:t>
      </w:r>
      <w:r w:rsidR="00EE5EE9" w:rsidRPr="00A31903">
        <w:rPr>
          <w:rFonts w:ascii="Times New Roman" w:eastAsia="Times New Roman" w:hAnsi="Times New Roman" w:cs="Times New Roman"/>
          <w:iCs/>
          <w:color w:val="000000"/>
          <w:vertAlign w:val="subscript"/>
        </w:rPr>
        <w:t>t+</w:t>
      </w:r>
      <w:r w:rsidRPr="00A31903">
        <w:rPr>
          <w:rFonts w:ascii="Times New Roman" w:eastAsia="Times New Roman" w:hAnsi="Times New Roman" w:cs="Times New Roman"/>
          <w:iCs/>
          <w:color w:val="000000"/>
        </w:rPr>
        <w:t xml:space="preserve"> </w:t>
      </w:r>
      <w:proofErr w:type="spellStart"/>
      <w:proofErr w:type="gramStart"/>
      <w:r w:rsidRPr="00A31903">
        <w:rPr>
          <w:rFonts w:ascii="Times New Roman" w:eastAsia="Times New Roman" w:hAnsi="Times New Roman" w:cs="Times New Roman"/>
          <w:iCs/>
          <w:color w:val="000000"/>
        </w:rPr>
        <w:t>ε</w:t>
      </w:r>
      <w:r w:rsidRPr="00A31903">
        <w:rPr>
          <w:rFonts w:ascii="Times New Roman" w:eastAsia="Times New Roman" w:hAnsi="Times New Roman" w:cs="Times New Roman"/>
          <w:iCs/>
          <w:color w:val="000000"/>
          <w:vertAlign w:val="subscript"/>
        </w:rPr>
        <w:t>t</w:t>
      </w:r>
      <w:proofErr w:type="spellEnd"/>
      <w:proofErr w:type="gramEnd"/>
      <w:r w:rsidR="00EE5EE9" w:rsidRPr="00A31903">
        <w:rPr>
          <w:rFonts w:ascii="Times New Roman" w:eastAsia="Times New Roman" w:hAnsi="Times New Roman" w:cs="Times New Roman"/>
          <w:iCs/>
          <w:color w:val="000000"/>
          <w:vertAlign w:val="subscript"/>
        </w:rPr>
        <w:t xml:space="preserve">                       (1)</w:t>
      </w:r>
    </w:p>
    <w:p w:rsidR="00270142" w:rsidRPr="00A31903" w:rsidRDefault="00270142" w:rsidP="00270142">
      <w:pPr>
        <w:widowControl w:val="0"/>
        <w:autoSpaceDE w:val="0"/>
        <w:autoSpaceDN w:val="0"/>
        <w:adjustRightInd w:val="0"/>
        <w:spacing w:after="0" w:line="239" w:lineRule="auto"/>
        <w:rPr>
          <w:rFonts w:ascii="Times New Roman" w:hAnsi="Times New Roman" w:cs="Times New Roman"/>
        </w:rPr>
      </w:pPr>
      <w:proofErr w:type="gramStart"/>
      <w:r w:rsidRPr="00A31903">
        <w:rPr>
          <w:rFonts w:ascii="Times New Roman" w:hAnsi="Times New Roman" w:cs="Times New Roman"/>
        </w:rPr>
        <w:t>where</w:t>
      </w:r>
      <w:proofErr w:type="gramEnd"/>
      <w:r w:rsidRPr="00A31903">
        <w:rPr>
          <w:rFonts w:ascii="Times New Roman" w:hAnsi="Times New Roman" w:cs="Times New Roman"/>
        </w:rPr>
        <w:t>,</w:t>
      </w:r>
    </w:p>
    <w:p w:rsidR="00270142" w:rsidRPr="00A31903" w:rsidRDefault="00270142" w:rsidP="0002304B">
      <w:pPr>
        <w:widowControl w:val="0"/>
        <w:autoSpaceDE w:val="0"/>
        <w:autoSpaceDN w:val="0"/>
        <w:adjustRightInd w:val="0"/>
        <w:spacing w:after="0" w:line="240" w:lineRule="auto"/>
        <w:rPr>
          <w:rFonts w:ascii="Times New Roman" w:hAnsi="Times New Roman" w:cs="Times New Roman"/>
        </w:rPr>
      </w:pPr>
      <w:proofErr w:type="gramStart"/>
      <w:r w:rsidRPr="00A31903">
        <w:rPr>
          <w:rFonts w:ascii="Times New Roman" w:eastAsia="Times New Roman" w:hAnsi="Times New Roman" w:cs="Times New Roman"/>
          <w:color w:val="000000"/>
        </w:rPr>
        <w:t>β</w:t>
      </w:r>
      <w:r w:rsidRPr="00A31903">
        <w:rPr>
          <w:rFonts w:ascii="Times New Roman" w:eastAsia="Times New Roman" w:hAnsi="Times New Roman" w:cs="Times New Roman"/>
          <w:color w:val="000000"/>
          <w:vertAlign w:val="subscript"/>
        </w:rPr>
        <w:t>0</w:t>
      </w:r>
      <w:proofErr w:type="gramEnd"/>
      <w:r w:rsidRPr="00A31903">
        <w:rPr>
          <w:rFonts w:ascii="Times New Roman" w:eastAsia="Times New Roman" w:hAnsi="Times New Roman" w:cs="Times New Roman"/>
          <w:color w:val="000000"/>
          <w:vertAlign w:val="subscript"/>
        </w:rPr>
        <w:t xml:space="preserve"> </w:t>
      </w:r>
      <w:r w:rsidRPr="00A31903">
        <w:rPr>
          <w:rFonts w:ascii="Times New Roman" w:hAnsi="Times New Roman" w:cs="Times New Roman"/>
        </w:rPr>
        <w:t xml:space="preserve">is </w:t>
      </w:r>
      <w:r w:rsidR="0002304B" w:rsidRPr="00A31903">
        <w:rPr>
          <w:rFonts w:ascii="Times New Roman" w:hAnsi="Times New Roman" w:cs="Times New Roman"/>
        </w:rPr>
        <w:t>the</w:t>
      </w:r>
      <w:r w:rsidR="00B50CA7" w:rsidRPr="00A31903">
        <w:rPr>
          <w:rFonts w:ascii="Times New Roman" w:hAnsi="Times New Roman" w:cs="Times New Roman"/>
        </w:rPr>
        <w:t xml:space="preserve"> constant of</w:t>
      </w:r>
      <w:r w:rsidRPr="00A31903">
        <w:rPr>
          <w:rFonts w:ascii="Times New Roman" w:hAnsi="Times New Roman" w:cs="Times New Roman"/>
        </w:rPr>
        <w:t xml:space="preserve"> the </w:t>
      </w:r>
      <w:r w:rsidR="0002304B" w:rsidRPr="00A31903">
        <w:rPr>
          <w:rFonts w:ascii="Times New Roman" w:hAnsi="Times New Roman" w:cs="Times New Roman"/>
        </w:rPr>
        <w:t xml:space="preserve">regression </w:t>
      </w:r>
      <w:r w:rsidRPr="00A31903">
        <w:rPr>
          <w:rFonts w:ascii="Times New Roman" w:hAnsi="Times New Roman" w:cs="Times New Roman"/>
        </w:rPr>
        <w:t>model</w:t>
      </w:r>
      <w:r w:rsidR="0002304B" w:rsidRPr="00A31903">
        <w:rPr>
          <w:rFonts w:ascii="Times New Roman" w:hAnsi="Times New Roman" w:cs="Times New Roman"/>
        </w:rPr>
        <w:t>,</w:t>
      </w:r>
    </w:p>
    <w:p w:rsidR="00270142" w:rsidRPr="00A31903" w:rsidRDefault="00270142" w:rsidP="0002304B">
      <w:pPr>
        <w:widowControl w:val="0"/>
        <w:autoSpaceDE w:val="0"/>
        <w:autoSpaceDN w:val="0"/>
        <w:adjustRightInd w:val="0"/>
        <w:spacing w:after="0" w:line="240" w:lineRule="auto"/>
        <w:rPr>
          <w:rFonts w:ascii="Times New Roman" w:hAnsi="Times New Roman" w:cs="Times New Roman"/>
        </w:rPr>
      </w:pPr>
      <w:r w:rsidRPr="00A31903">
        <w:rPr>
          <w:rFonts w:ascii="Times New Roman" w:hAnsi="Times New Roman" w:cs="Times New Roman"/>
          <w:iCs/>
        </w:rPr>
        <w:t>TGDP</w:t>
      </w:r>
      <w:r w:rsidRPr="00A31903">
        <w:rPr>
          <w:rFonts w:ascii="Times New Roman" w:hAnsi="Times New Roman" w:cs="Times New Roman"/>
          <w:i/>
          <w:iCs/>
        </w:rPr>
        <w:t xml:space="preserve"> </w:t>
      </w:r>
      <w:r w:rsidRPr="00A31903">
        <w:rPr>
          <w:rFonts w:ascii="Times New Roman" w:hAnsi="Times New Roman" w:cs="Times New Roman"/>
        </w:rPr>
        <w:t>is the ratio of tax revenue to GDP, measure of taxable capacity</w:t>
      </w:r>
      <w:r w:rsidR="00792FBD" w:rsidRPr="00A31903">
        <w:rPr>
          <w:rFonts w:ascii="Times New Roman" w:hAnsi="Times New Roman" w:cs="Times New Roman"/>
        </w:rPr>
        <w:t xml:space="preserve"> or tax potential</w:t>
      </w:r>
      <w:r w:rsidR="0002304B" w:rsidRPr="00A31903">
        <w:rPr>
          <w:rFonts w:ascii="Times New Roman" w:hAnsi="Times New Roman" w:cs="Times New Roman"/>
        </w:rPr>
        <w:t>,</w:t>
      </w:r>
    </w:p>
    <w:p w:rsidR="0002304B" w:rsidRPr="00A31903" w:rsidRDefault="0002304B" w:rsidP="0002304B">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INFL is the inflation, GDP deflator (annual %),</w:t>
      </w:r>
    </w:p>
    <w:p w:rsidR="0002304B" w:rsidRPr="00A31903" w:rsidRDefault="0002304B" w:rsidP="0002304B">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POPG is the population growth rate (annual %), </w:t>
      </w:r>
    </w:p>
    <w:p w:rsidR="0002304B" w:rsidRPr="00A31903" w:rsidRDefault="0002304B" w:rsidP="0002304B">
      <w:pPr>
        <w:autoSpaceDE w:val="0"/>
        <w:autoSpaceDN w:val="0"/>
        <w:adjustRightInd w:val="0"/>
        <w:spacing w:after="0" w:line="240" w:lineRule="auto"/>
        <w:jc w:val="both"/>
        <w:rPr>
          <w:rFonts w:ascii="Times New Roman" w:hAnsi="Times New Roman" w:cs="Times New Roman"/>
        </w:rPr>
      </w:pPr>
      <w:proofErr w:type="gramStart"/>
      <w:r w:rsidRPr="00A31903">
        <w:rPr>
          <w:rFonts w:ascii="Times New Roman" w:hAnsi="Times New Roman" w:cs="Times New Roman"/>
        </w:rPr>
        <w:t>GDPG  is</w:t>
      </w:r>
      <w:proofErr w:type="gramEnd"/>
      <w:r w:rsidRPr="00A31903">
        <w:rPr>
          <w:rFonts w:ascii="Times New Roman" w:hAnsi="Times New Roman" w:cs="Times New Roman"/>
        </w:rPr>
        <w:t xml:space="preserve"> the GDP per capita growth (annual %),</w:t>
      </w:r>
    </w:p>
    <w:p w:rsidR="0002304B" w:rsidRPr="00A31903" w:rsidRDefault="0002304B" w:rsidP="009F1703">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AGRV is the agriculture value added (% of GDP),</w:t>
      </w:r>
    </w:p>
    <w:p w:rsidR="00270142" w:rsidRPr="00A31903" w:rsidRDefault="0002304B" w:rsidP="009F1703">
      <w:pPr>
        <w:autoSpaceDE w:val="0"/>
        <w:autoSpaceDN w:val="0"/>
        <w:adjustRightInd w:val="0"/>
        <w:spacing w:after="0" w:line="240" w:lineRule="auto"/>
        <w:jc w:val="both"/>
        <w:rPr>
          <w:rFonts w:ascii="Times New Roman" w:hAnsi="Times New Roman" w:cs="Times New Roman"/>
        </w:rPr>
      </w:pPr>
      <w:proofErr w:type="gramStart"/>
      <w:r w:rsidRPr="00A31903">
        <w:rPr>
          <w:rFonts w:ascii="Times New Roman" w:hAnsi="Times New Roman" w:cs="Times New Roman"/>
        </w:rPr>
        <w:t>DEBT  is</w:t>
      </w:r>
      <w:proofErr w:type="gramEnd"/>
      <w:r w:rsidRPr="00A31903">
        <w:rPr>
          <w:rFonts w:ascii="Times New Roman" w:hAnsi="Times New Roman" w:cs="Times New Roman"/>
        </w:rPr>
        <w:t xml:space="preserve"> the external debt stocks (% of GNI)</w:t>
      </w:r>
      <w:r w:rsidR="00CB7CC6" w:rsidRPr="00A31903">
        <w:rPr>
          <w:rFonts w:ascii="Times New Roman" w:hAnsi="Times New Roman" w:cs="Times New Roman"/>
        </w:rPr>
        <w:t>,</w:t>
      </w:r>
    </w:p>
    <w:p w:rsidR="00174553" w:rsidRPr="00A31903" w:rsidRDefault="00174553" w:rsidP="009F1703">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SERV is the services value added (% of GDP),</w:t>
      </w:r>
    </w:p>
    <w:p w:rsidR="00270142" w:rsidRPr="00A31903" w:rsidRDefault="00270142" w:rsidP="009F1703">
      <w:pPr>
        <w:widowControl w:val="0"/>
        <w:autoSpaceDE w:val="0"/>
        <w:autoSpaceDN w:val="0"/>
        <w:adjustRightInd w:val="0"/>
        <w:spacing w:after="0" w:line="240" w:lineRule="auto"/>
        <w:rPr>
          <w:rFonts w:ascii="Times New Roman" w:hAnsi="Times New Roman" w:cs="Times New Roman"/>
        </w:rPr>
      </w:pPr>
      <w:proofErr w:type="gramStart"/>
      <w:r w:rsidRPr="00A31903">
        <w:rPr>
          <w:rFonts w:ascii="Times New Roman" w:hAnsi="Times New Roman" w:cs="Times New Roman"/>
          <w:i/>
          <w:iCs/>
        </w:rPr>
        <w:lastRenderedPageBreak/>
        <w:t>ε</w:t>
      </w:r>
      <w:proofErr w:type="gramEnd"/>
      <w:r w:rsidRPr="00A31903">
        <w:rPr>
          <w:rFonts w:ascii="Times New Roman" w:hAnsi="Times New Roman" w:cs="Times New Roman"/>
          <w:i/>
          <w:iCs/>
        </w:rPr>
        <w:t xml:space="preserve"> </w:t>
      </w:r>
      <w:r w:rsidR="00F66585" w:rsidRPr="00A31903">
        <w:rPr>
          <w:rFonts w:ascii="Times New Roman" w:hAnsi="Times New Roman" w:cs="Times New Roman"/>
        </w:rPr>
        <w:t>is</w:t>
      </w:r>
      <w:r w:rsidR="0002304B" w:rsidRPr="00A31903">
        <w:rPr>
          <w:rFonts w:ascii="Times New Roman" w:hAnsi="Times New Roman" w:cs="Times New Roman"/>
        </w:rPr>
        <w:t xml:space="preserve"> the </w:t>
      </w:r>
      <w:r w:rsidRPr="00A31903">
        <w:rPr>
          <w:rFonts w:ascii="Times New Roman" w:hAnsi="Times New Roman" w:cs="Times New Roman"/>
        </w:rPr>
        <w:t>error term</w:t>
      </w:r>
      <w:r w:rsidR="00F66585" w:rsidRPr="00A31903">
        <w:rPr>
          <w:rFonts w:ascii="Times New Roman" w:hAnsi="Times New Roman" w:cs="Times New Roman"/>
        </w:rPr>
        <w:t xml:space="preserve">, </w:t>
      </w:r>
      <w:r w:rsidRPr="00A31903">
        <w:rPr>
          <w:rFonts w:ascii="Times New Roman" w:hAnsi="Times New Roman" w:cs="Times New Roman"/>
          <w:i/>
          <w:iCs/>
        </w:rPr>
        <w:t xml:space="preserve"> </w:t>
      </w:r>
      <w:proofErr w:type="spellStart"/>
      <w:r w:rsidRPr="00A31903">
        <w:rPr>
          <w:rFonts w:ascii="Times New Roman" w:hAnsi="Times New Roman" w:cs="Times New Roman"/>
          <w:i/>
          <w:iCs/>
        </w:rPr>
        <w:t>ε</w:t>
      </w:r>
      <w:r w:rsidRPr="00A31903">
        <w:rPr>
          <w:rFonts w:ascii="Times New Roman" w:hAnsi="Times New Roman" w:cs="Times New Roman"/>
          <w:vertAlign w:val="subscript"/>
        </w:rPr>
        <w:t>t</w:t>
      </w:r>
      <w:proofErr w:type="spellEnd"/>
      <w:r w:rsidRPr="00A31903">
        <w:rPr>
          <w:rFonts w:ascii="Times New Roman" w:hAnsi="Times New Roman" w:cs="Times New Roman"/>
          <w:i/>
          <w:iCs/>
        </w:rPr>
        <w:t xml:space="preserve"> </w:t>
      </w:r>
      <w:r w:rsidRPr="00A31903">
        <w:rPr>
          <w:rFonts w:ascii="Times New Roman" w:hAnsi="Times New Roman" w:cs="Times New Roman"/>
        </w:rPr>
        <w:t>~ (0, σ</w:t>
      </w:r>
      <w:r w:rsidRPr="00A31903">
        <w:rPr>
          <w:rFonts w:ascii="Times New Roman" w:hAnsi="Times New Roman" w:cs="Times New Roman"/>
          <w:vertAlign w:val="superscript"/>
        </w:rPr>
        <w:t>2</w:t>
      </w:r>
      <w:r w:rsidRPr="00A31903">
        <w:rPr>
          <w:rFonts w:ascii="Times New Roman" w:hAnsi="Times New Roman" w:cs="Times New Roman"/>
        </w:rPr>
        <w:t>)</w:t>
      </w:r>
      <w:r w:rsidR="00CB7CC6" w:rsidRPr="00A31903">
        <w:rPr>
          <w:rFonts w:ascii="Times New Roman" w:hAnsi="Times New Roman" w:cs="Times New Roman"/>
        </w:rPr>
        <w:t>, and</w:t>
      </w:r>
    </w:p>
    <w:p w:rsidR="0002304B" w:rsidRPr="00A31903" w:rsidRDefault="00CB7CC6" w:rsidP="009F1703">
      <w:pPr>
        <w:spacing w:after="0" w:line="480" w:lineRule="auto"/>
        <w:jc w:val="both"/>
        <w:rPr>
          <w:rFonts w:ascii="Times New Roman" w:hAnsi="Times New Roman" w:cs="Times New Roman"/>
        </w:rPr>
      </w:pPr>
      <w:proofErr w:type="gramStart"/>
      <w:r w:rsidRPr="00A31903">
        <w:rPr>
          <w:rFonts w:ascii="Times New Roman" w:hAnsi="Times New Roman" w:cs="Times New Roman"/>
        </w:rPr>
        <w:t>t</w:t>
      </w:r>
      <w:proofErr w:type="gramEnd"/>
      <w:r w:rsidRPr="00A31903">
        <w:rPr>
          <w:rFonts w:ascii="Times New Roman" w:hAnsi="Times New Roman" w:cs="Times New Roman"/>
        </w:rPr>
        <w:t xml:space="preserve"> is time period ranging from </w:t>
      </w:r>
      <w:r w:rsidR="000852E0" w:rsidRPr="00A31903">
        <w:rPr>
          <w:rFonts w:ascii="Times New Roman" w:hAnsi="Times New Roman" w:cs="Times New Roman"/>
        </w:rPr>
        <w:t>1970 to 2015</w:t>
      </w:r>
      <w:r w:rsidRPr="00A31903">
        <w:rPr>
          <w:rFonts w:ascii="Times New Roman" w:hAnsi="Times New Roman" w:cs="Times New Roman"/>
        </w:rPr>
        <w:t>.</w:t>
      </w:r>
    </w:p>
    <w:p w:rsidR="00FF3C34" w:rsidRPr="00A31903" w:rsidRDefault="004A028A" w:rsidP="009F1703">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i/>
          <w:iCs/>
        </w:rPr>
        <w:t xml:space="preserve">    </w:t>
      </w:r>
      <w:proofErr w:type="gramStart"/>
      <w:r w:rsidR="00FF3C34" w:rsidRPr="00A31903">
        <w:rPr>
          <w:rFonts w:ascii="Times New Roman" w:hAnsi="Times New Roman" w:cs="Times New Roman"/>
          <w:i/>
          <w:iCs/>
        </w:rPr>
        <w:t>GDP per capita growth rate</w:t>
      </w:r>
      <w:r w:rsidR="00FF3C34" w:rsidRPr="00A31903">
        <w:rPr>
          <w:rFonts w:ascii="Times New Roman" w:hAnsi="Times New Roman" w:cs="Times New Roman"/>
          <w:iCs/>
        </w:rPr>
        <w:t>.</w:t>
      </w:r>
      <w:proofErr w:type="gramEnd"/>
      <w:r w:rsidR="00FF3C34" w:rsidRPr="00A31903">
        <w:rPr>
          <w:rFonts w:ascii="Times New Roman" w:hAnsi="Times New Roman" w:cs="Times New Roman"/>
          <w:i/>
          <w:iCs/>
        </w:rPr>
        <w:t xml:space="preserve"> </w:t>
      </w:r>
      <w:r w:rsidR="00FF3C34" w:rsidRPr="00A31903">
        <w:rPr>
          <w:rFonts w:ascii="Times New Roman" w:hAnsi="Times New Roman" w:cs="Times New Roman"/>
          <w:iCs/>
        </w:rPr>
        <w:t xml:space="preserve">This </w:t>
      </w:r>
      <w:r w:rsidR="00DD6008" w:rsidRPr="00A31903">
        <w:rPr>
          <w:rFonts w:ascii="Times New Roman" w:hAnsi="Times New Roman" w:cs="Times New Roman"/>
          <w:iCs/>
        </w:rPr>
        <w:t xml:space="preserve">variable </w:t>
      </w:r>
      <w:r w:rsidR="00FF3C34" w:rsidRPr="00A31903">
        <w:rPr>
          <w:rFonts w:ascii="Times New Roman" w:hAnsi="Times New Roman" w:cs="Times New Roman"/>
        </w:rPr>
        <w:t xml:space="preserve">is included in the regression as a proxy for the level </w:t>
      </w:r>
      <w:r w:rsidR="00DD6008" w:rsidRPr="00A31903">
        <w:rPr>
          <w:rFonts w:ascii="Times New Roman" w:hAnsi="Times New Roman" w:cs="Times New Roman"/>
        </w:rPr>
        <w:t>of development of Ghana</w:t>
      </w:r>
      <w:r w:rsidR="00E43343" w:rsidRPr="00A31903">
        <w:rPr>
          <w:rFonts w:ascii="Times New Roman" w:hAnsi="Times New Roman" w:cs="Times New Roman"/>
        </w:rPr>
        <w:t>. A</w:t>
      </w:r>
      <w:r w:rsidR="00FF3C34" w:rsidRPr="00A31903">
        <w:rPr>
          <w:rFonts w:ascii="Times New Roman" w:hAnsi="Times New Roman" w:cs="Times New Roman"/>
        </w:rPr>
        <w:t xml:space="preserve"> higher level of income typically </w:t>
      </w:r>
      <w:r w:rsidR="00E43343" w:rsidRPr="00A31903">
        <w:rPr>
          <w:rFonts w:ascii="Times New Roman" w:hAnsi="Times New Roman" w:cs="Times New Roman"/>
        </w:rPr>
        <w:t>triggers</w:t>
      </w:r>
      <w:r w:rsidR="00FF3C34" w:rsidRPr="00A31903">
        <w:rPr>
          <w:rFonts w:ascii="Times New Roman" w:hAnsi="Times New Roman" w:cs="Times New Roman"/>
        </w:rPr>
        <w:t xml:space="preserve"> a greater demand for public goods and services, </w:t>
      </w:r>
      <w:r w:rsidR="00E43343" w:rsidRPr="00A31903">
        <w:rPr>
          <w:rFonts w:ascii="Times New Roman" w:hAnsi="Times New Roman" w:cs="Times New Roman"/>
        </w:rPr>
        <w:t>and</w:t>
      </w:r>
      <w:r w:rsidR="00FF3C34" w:rsidRPr="00A31903">
        <w:rPr>
          <w:rFonts w:ascii="Times New Roman" w:hAnsi="Times New Roman" w:cs="Times New Roman"/>
        </w:rPr>
        <w:t xml:space="preserve"> increases the overall </w:t>
      </w:r>
      <w:r w:rsidR="000A6CA9" w:rsidRPr="00A31903">
        <w:rPr>
          <w:rFonts w:ascii="Times New Roman" w:hAnsi="Times New Roman" w:cs="Times New Roman"/>
        </w:rPr>
        <w:t xml:space="preserve">ability to pay </w:t>
      </w:r>
      <w:r w:rsidR="00DF2428" w:rsidRPr="00A31903">
        <w:rPr>
          <w:rFonts w:ascii="Times New Roman" w:hAnsi="Times New Roman" w:cs="Times New Roman"/>
        </w:rPr>
        <w:t>and therefore</w:t>
      </w:r>
      <w:r w:rsidR="000A6CA9" w:rsidRPr="00A31903">
        <w:rPr>
          <w:rFonts w:ascii="Times New Roman" w:hAnsi="Times New Roman" w:cs="Times New Roman"/>
        </w:rPr>
        <w:t xml:space="preserve"> a</w:t>
      </w:r>
      <w:r w:rsidR="00FF3C34" w:rsidRPr="00A31903">
        <w:rPr>
          <w:rFonts w:ascii="Times New Roman" w:hAnsi="Times New Roman" w:cs="Times New Roman"/>
        </w:rPr>
        <w:t xml:space="preserve"> higher tax payment and collec</w:t>
      </w:r>
      <w:r w:rsidR="00D872D4" w:rsidRPr="00A31903">
        <w:rPr>
          <w:rFonts w:ascii="Times New Roman" w:hAnsi="Times New Roman" w:cs="Times New Roman"/>
        </w:rPr>
        <w:t xml:space="preserve">tion </w:t>
      </w:r>
      <w:r w:rsidR="00FA660C" w:rsidRPr="00A31903">
        <w:rPr>
          <w:rFonts w:ascii="Times New Roman" w:hAnsi="Times New Roman" w:cs="Times New Roman"/>
          <w:noProof/>
        </w:rPr>
        <w:t>are</w:t>
      </w:r>
      <w:r w:rsidR="000A6CA9" w:rsidRPr="00A31903">
        <w:rPr>
          <w:rFonts w:ascii="Times New Roman" w:hAnsi="Times New Roman" w:cs="Times New Roman"/>
        </w:rPr>
        <w:t xml:space="preserve"> expected </w:t>
      </w:r>
      <w:r w:rsidR="00D872D4" w:rsidRPr="00A31903">
        <w:rPr>
          <w:rFonts w:ascii="Times New Roman" w:hAnsi="Times New Roman" w:cs="Times New Roman"/>
        </w:rPr>
        <w:t>(</w:t>
      </w:r>
      <w:proofErr w:type="spellStart"/>
      <w:r w:rsidR="00D872D4" w:rsidRPr="00A31903">
        <w:rPr>
          <w:rFonts w:ascii="Times New Roman" w:hAnsi="Times New Roman" w:cs="Times New Roman"/>
        </w:rPr>
        <w:t>Bahl</w:t>
      </w:r>
      <w:proofErr w:type="spellEnd"/>
      <w:r w:rsidR="008B64DD" w:rsidRPr="00A31903">
        <w:rPr>
          <w:rFonts w:ascii="Times New Roman" w:hAnsi="Times New Roman" w:cs="Times New Roman"/>
        </w:rPr>
        <w:t>,</w:t>
      </w:r>
      <w:r w:rsidR="00D872D4" w:rsidRPr="00A31903">
        <w:rPr>
          <w:rFonts w:ascii="Times New Roman" w:hAnsi="Times New Roman" w:cs="Times New Roman"/>
        </w:rPr>
        <w:t xml:space="preserve"> 1971</w:t>
      </w:r>
      <w:r w:rsidR="00FF3C34" w:rsidRPr="00A31903">
        <w:rPr>
          <w:rFonts w:ascii="Times New Roman" w:hAnsi="Times New Roman" w:cs="Times New Roman"/>
        </w:rPr>
        <w:t xml:space="preserve">). One would expect the sign of the coefficient on GDP per capita growth rate in the regression </w:t>
      </w:r>
      <w:r w:rsidR="00E43343" w:rsidRPr="00A31903">
        <w:rPr>
          <w:rFonts w:ascii="Times New Roman" w:hAnsi="Times New Roman" w:cs="Times New Roman"/>
        </w:rPr>
        <w:t xml:space="preserve">model </w:t>
      </w:r>
      <w:r w:rsidR="00FF3C34" w:rsidRPr="00A31903">
        <w:rPr>
          <w:rFonts w:ascii="Times New Roman" w:hAnsi="Times New Roman" w:cs="Times New Roman"/>
        </w:rPr>
        <w:t>to be positive</w:t>
      </w:r>
      <w:r w:rsidR="007E56D0" w:rsidRPr="00A31903">
        <w:rPr>
          <w:rFonts w:ascii="Times New Roman" w:hAnsi="Times New Roman" w:cs="Times New Roman"/>
        </w:rPr>
        <w:t xml:space="preserve"> </w:t>
      </w:r>
      <w:r w:rsidR="00E35443" w:rsidRPr="00A31903">
        <w:rPr>
          <w:rFonts w:ascii="Times New Roman" w:hAnsi="Times New Roman" w:cs="Times New Roman"/>
        </w:rPr>
        <w:t>(</w:t>
      </w:r>
      <w:proofErr w:type="spellStart"/>
      <w:r w:rsidR="00E35443" w:rsidRPr="00A31903">
        <w:rPr>
          <w:rFonts w:ascii="Times New Roman" w:hAnsi="Times New Roman" w:cs="Times New Roman"/>
          <w:lang w:val="en-GB"/>
        </w:rPr>
        <w:t>Piancastelli</w:t>
      </w:r>
      <w:proofErr w:type="spellEnd"/>
      <w:r w:rsidR="00E35443" w:rsidRPr="00A31903">
        <w:rPr>
          <w:rFonts w:ascii="Times New Roman" w:hAnsi="Times New Roman" w:cs="Times New Roman"/>
          <w:lang w:val="en-GB"/>
        </w:rPr>
        <w:t>, 2001)</w:t>
      </w:r>
      <w:r w:rsidRPr="00A31903">
        <w:rPr>
          <w:rFonts w:ascii="Times New Roman" w:hAnsi="Times New Roman" w:cs="Times New Roman"/>
        </w:rPr>
        <w:t xml:space="preserve">. </w:t>
      </w:r>
    </w:p>
    <w:p w:rsidR="00921DF3" w:rsidRPr="00A31903" w:rsidRDefault="004A028A" w:rsidP="00FF3C3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i/>
          <w:iCs/>
        </w:rPr>
        <w:t xml:space="preserve">    </w:t>
      </w:r>
      <w:proofErr w:type="gramStart"/>
      <w:r w:rsidR="00FF3C34" w:rsidRPr="00A31903">
        <w:rPr>
          <w:rFonts w:ascii="Times New Roman" w:hAnsi="Times New Roman" w:cs="Times New Roman"/>
          <w:i/>
          <w:iCs/>
        </w:rPr>
        <w:t>Population growth rate.</w:t>
      </w:r>
      <w:proofErr w:type="gramEnd"/>
      <w:r w:rsidR="00FF3C34" w:rsidRPr="00A31903">
        <w:rPr>
          <w:rFonts w:ascii="Times New Roman" w:hAnsi="Times New Roman" w:cs="Times New Roman"/>
          <w:i/>
          <w:iCs/>
        </w:rPr>
        <w:t xml:space="preserve"> </w:t>
      </w:r>
      <w:r w:rsidR="00FF3C34" w:rsidRPr="00A31903">
        <w:rPr>
          <w:rFonts w:ascii="Times New Roman" w:hAnsi="Times New Roman" w:cs="Times New Roman"/>
        </w:rPr>
        <w:t>To test the impact of demographic characte</w:t>
      </w:r>
      <w:r w:rsidR="00DD6008" w:rsidRPr="00A31903">
        <w:rPr>
          <w:rFonts w:ascii="Times New Roman" w:hAnsi="Times New Roman" w:cs="Times New Roman"/>
        </w:rPr>
        <w:t>ristics on Ghana</w:t>
      </w:r>
      <w:r w:rsidR="00046082" w:rsidRPr="00A31903">
        <w:rPr>
          <w:rFonts w:ascii="Times New Roman" w:hAnsi="Times New Roman" w:cs="Times New Roman"/>
        </w:rPr>
        <w:t>’s taxable income, the study</w:t>
      </w:r>
      <w:r w:rsidR="00FF3C34" w:rsidRPr="00A31903">
        <w:rPr>
          <w:rFonts w:ascii="Times New Roman" w:hAnsi="Times New Roman" w:cs="Times New Roman"/>
        </w:rPr>
        <w:t xml:space="preserve"> use</w:t>
      </w:r>
      <w:r w:rsidR="00046082" w:rsidRPr="00A31903">
        <w:rPr>
          <w:rFonts w:ascii="Times New Roman" w:hAnsi="Times New Roman" w:cs="Times New Roman"/>
        </w:rPr>
        <w:t>d</w:t>
      </w:r>
      <w:r w:rsidR="00FF3C34" w:rsidRPr="00A31903">
        <w:rPr>
          <w:rFonts w:ascii="Times New Roman" w:hAnsi="Times New Roman" w:cs="Times New Roman"/>
        </w:rPr>
        <w:t xml:space="preserve"> specifically population growth rate. </w:t>
      </w:r>
      <w:r w:rsidR="00B870B3" w:rsidRPr="00A31903">
        <w:rPr>
          <w:rFonts w:ascii="Times New Roman" w:hAnsi="Times New Roman" w:cs="Times New Roman"/>
        </w:rPr>
        <w:t xml:space="preserve">From </w:t>
      </w:r>
      <w:r w:rsidR="00B870B3" w:rsidRPr="00A31903">
        <w:rPr>
          <w:rFonts w:ascii="Times New Roman" w:hAnsi="Times New Roman" w:cs="Times New Roman"/>
          <w:noProof/>
        </w:rPr>
        <w:t>literature</w:t>
      </w:r>
      <w:r w:rsidR="00B34FD0" w:rsidRPr="00A31903">
        <w:rPr>
          <w:rFonts w:ascii="Times New Roman" w:hAnsi="Times New Roman" w:cs="Times New Roman"/>
          <w:noProof/>
        </w:rPr>
        <w:t>,</w:t>
      </w:r>
      <w:r w:rsidR="00B870B3" w:rsidRPr="00A31903">
        <w:rPr>
          <w:rFonts w:ascii="Times New Roman" w:hAnsi="Times New Roman" w:cs="Times New Roman"/>
        </w:rPr>
        <w:t xml:space="preserve"> the regression coefficient for this variable </w:t>
      </w:r>
      <w:proofErr w:type="gramStart"/>
      <w:r w:rsidR="00B870B3" w:rsidRPr="00A31903">
        <w:rPr>
          <w:rFonts w:ascii="Times New Roman" w:hAnsi="Times New Roman" w:cs="Times New Roman"/>
        </w:rPr>
        <w:t>is expected</w:t>
      </w:r>
      <w:proofErr w:type="gramEnd"/>
      <w:r w:rsidR="00B870B3" w:rsidRPr="00A31903">
        <w:rPr>
          <w:rFonts w:ascii="Times New Roman" w:hAnsi="Times New Roman" w:cs="Times New Roman"/>
        </w:rPr>
        <w:t xml:space="preserve"> to </w:t>
      </w:r>
      <w:r w:rsidR="002C6715" w:rsidRPr="00A31903">
        <w:rPr>
          <w:rFonts w:ascii="Times New Roman" w:hAnsi="Times New Roman" w:cs="Times New Roman"/>
        </w:rPr>
        <w:t>be positive</w:t>
      </w:r>
      <w:r w:rsidR="00921DF3" w:rsidRPr="00A31903">
        <w:rPr>
          <w:rFonts w:ascii="Times New Roman" w:hAnsi="Times New Roman" w:cs="Times New Roman"/>
        </w:rPr>
        <w:t>.</w:t>
      </w:r>
    </w:p>
    <w:p w:rsidR="00030824" w:rsidRPr="00A31903" w:rsidRDefault="004A028A" w:rsidP="00CF39F6">
      <w:pPr>
        <w:spacing w:after="0" w:line="240" w:lineRule="auto"/>
        <w:jc w:val="both"/>
        <w:rPr>
          <w:rFonts w:ascii="Times New Roman" w:hAnsi="Times New Roman" w:cs="Times New Roman"/>
          <w:color w:val="000000"/>
        </w:rPr>
      </w:pPr>
      <w:r w:rsidRPr="00A31903">
        <w:rPr>
          <w:rFonts w:ascii="Times New Roman" w:hAnsi="Times New Roman" w:cs="Times New Roman"/>
          <w:i/>
          <w:iCs/>
        </w:rPr>
        <w:t xml:space="preserve">    </w:t>
      </w:r>
      <w:r w:rsidR="00FF3C34" w:rsidRPr="00A31903">
        <w:rPr>
          <w:rFonts w:ascii="Times New Roman" w:hAnsi="Times New Roman" w:cs="Times New Roman"/>
          <w:i/>
          <w:iCs/>
        </w:rPr>
        <w:t>Agricultural value added</w:t>
      </w:r>
      <w:r w:rsidR="00FF3C34" w:rsidRPr="00A31903">
        <w:rPr>
          <w:rFonts w:ascii="Times New Roman" w:hAnsi="Times New Roman" w:cs="Times New Roman"/>
        </w:rPr>
        <w:t xml:space="preserve">. Agricultural value added </w:t>
      </w:r>
      <w:proofErr w:type="gramStart"/>
      <w:r w:rsidR="00FF3C34" w:rsidRPr="00A31903">
        <w:rPr>
          <w:rFonts w:ascii="Times New Roman" w:hAnsi="Times New Roman" w:cs="Times New Roman"/>
        </w:rPr>
        <w:t>is measured</w:t>
      </w:r>
      <w:proofErr w:type="gramEnd"/>
      <w:r w:rsidR="00FF3C34" w:rsidRPr="00A31903">
        <w:rPr>
          <w:rFonts w:ascii="Times New Roman" w:hAnsi="Times New Roman" w:cs="Times New Roman"/>
        </w:rPr>
        <w:t xml:space="preserve"> as a fraction of GDP. Value added is the net output of the agricultural sector after adding up all outputs and subtracting intermediate inputs. </w:t>
      </w:r>
      <w:r w:rsidR="00B870B3" w:rsidRPr="00A31903">
        <w:rPr>
          <w:rFonts w:ascii="Times New Roman" w:hAnsi="Times New Roman" w:cs="Times New Roman"/>
          <w:lang w:val="en-GB"/>
        </w:rPr>
        <w:t xml:space="preserve">The agricultural sector </w:t>
      </w:r>
      <w:proofErr w:type="gramStart"/>
      <w:r w:rsidR="00B870B3" w:rsidRPr="00A31903">
        <w:rPr>
          <w:rFonts w:ascii="Times New Roman" w:hAnsi="Times New Roman" w:cs="Times New Roman"/>
          <w:lang w:val="en-GB"/>
        </w:rPr>
        <w:t>is mostly considered</w:t>
      </w:r>
      <w:proofErr w:type="gramEnd"/>
      <w:r w:rsidR="00B870B3" w:rsidRPr="00A31903">
        <w:rPr>
          <w:rFonts w:ascii="Times New Roman" w:hAnsi="Times New Roman" w:cs="Times New Roman"/>
          <w:lang w:val="en-GB"/>
        </w:rPr>
        <w:t xml:space="preserve"> as a </w:t>
      </w:r>
      <w:r w:rsidR="003C6802" w:rsidRPr="00A31903">
        <w:rPr>
          <w:rFonts w:ascii="Times New Roman" w:hAnsi="Times New Roman" w:cs="Times New Roman"/>
          <w:lang w:val="en-GB"/>
        </w:rPr>
        <w:t>subsistence</w:t>
      </w:r>
      <w:r w:rsidR="00B870B3" w:rsidRPr="00A31903">
        <w:rPr>
          <w:rFonts w:ascii="Times New Roman" w:hAnsi="Times New Roman" w:cs="Times New Roman"/>
          <w:lang w:val="en-GB"/>
        </w:rPr>
        <w:t xml:space="preserve"> sector because</w:t>
      </w:r>
      <w:r w:rsidR="004E3A23" w:rsidRPr="00A31903">
        <w:rPr>
          <w:rFonts w:ascii="Times New Roman" w:hAnsi="Times New Roman" w:cs="Times New Roman"/>
          <w:lang w:val="en-GB"/>
        </w:rPr>
        <w:t xml:space="preserve"> </w:t>
      </w:r>
      <w:r w:rsidR="00B870B3" w:rsidRPr="00A31903">
        <w:rPr>
          <w:rFonts w:ascii="Times New Roman" w:hAnsi="Times New Roman" w:cs="Times New Roman"/>
          <w:lang w:val="en-GB"/>
        </w:rPr>
        <w:t xml:space="preserve">of its relevance to a lower </w:t>
      </w:r>
      <w:r w:rsidR="00B870B3" w:rsidRPr="00A31903">
        <w:rPr>
          <w:rFonts w:ascii="Times New Roman" w:hAnsi="Times New Roman" w:cs="Times New Roman"/>
          <w:noProof/>
          <w:lang w:val="en-GB"/>
        </w:rPr>
        <w:t>commercialisation</w:t>
      </w:r>
      <w:r w:rsidR="00B870B3" w:rsidRPr="00A31903">
        <w:rPr>
          <w:rFonts w:ascii="Times New Roman" w:hAnsi="Times New Roman" w:cs="Times New Roman"/>
          <w:lang w:val="en-GB"/>
        </w:rPr>
        <w:t xml:space="preserve"> and industrialisation level. That means a lower potential for taxable capacity (</w:t>
      </w:r>
      <w:proofErr w:type="spellStart"/>
      <w:r w:rsidR="00B870B3" w:rsidRPr="00A31903">
        <w:rPr>
          <w:rFonts w:ascii="Times New Roman" w:hAnsi="Times New Roman" w:cs="Times New Roman"/>
          <w:lang w:val="en-GB"/>
        </w:rPr>
        <w:t>Bahl</w:t>
      </w:r>
      <w:proofErr w:type="spellEnd"/>
      <w:r w:rsidR="00B870B3" w:rsidRPr="00A31903">
        <w:rPr>
          <w:rFonts w:ascii="Times New Roman" w:hAnsi="Times New Roman" w:cs="Times New Roman"/>
          <w:lang w:val="en-GB"/>
        </w:rPr>
        <w:t xml:space="preserve">, 1971). </w:t>
      </w:r>
      <w:r w:rsidR="00B870B3" w:rsidRPr="00A31903">
        <w:rPr>
          <w:rFonts w:ascii="Times New Roman" w:hAnsi="Times New Roman" w:cs="Times New Roman"/>
        </w:rPr>
        <w:t>Therefore, agricultural valued added is an important factor in determining the taxable capacity and tax effort.</w:t>
      </w:r>
      <w:r w:rsidR="00973829" w:rsidRPr="00A31903">
        <w:rPr>
          <w:rFonts w:ascii="Times New Roman" w:hAnsi="Times New Roman" w:cs="Times New Roman"/>
        </w:rPr>
        <w:t xml:space="preserve"> T</w:t>
      </w:r>
      <w:r w:rsidR="00B870B3" w:rsidRPr="00A31903">
        <w:rPr>
          <w:rFonts w:ascii="Times New Roman" w:hAnsi="Times New Roman" w:cs="Times New Roman"/>
        </w:rPr>
        <w:t>he expected regression coefficient sign</w:t>
      </w:r>
      <w:r w:rsidR="006F3902" w:rsidRPr="00A31903">
        <w:rPr>
          <w:rFonts w:ascii="Times New Roman" w:hAnsi="Times New Roman" w:cs="Times New Roman"/>
        </w:rPr>
        <w:t xml:space="preserve"> </w:t>
      </w:r>
      <w:r w:rsidR="00B870B3" w:rsidRPr="00A31903">
        <w:rPr>
          <w:rFonts w:ascii="Times New Roman" w:hAnsi="Times New Roman" w:cs="Times New Roman"/>
        </w:rPr>
        <w:t>is negative (</w:t>
      </w:r>
      <w:proofErr w:type="spellStart"/>
      <w:r w:rsidR="00E43343" w:rsidRPr="00A31903">
        <w:rPr>
          <w:rFonts w:ascii="Times New Roman" w:hAnsi="Times New Roman" w:cs="Times New Roman"/>
          <w:lang w:val="en-GB"/>
        </w:rPr>
        <w:t>Piancastell</w:t>
      </w:r>
      <w:proofErr w:type="spellEnd"/>
      <w:r w:rsidR="00E43343" w:rsidRPr="00A31903">
        <w:rPr>
          <w:rFonts w:ascii="Times New Roman" w:hAnsi="Times New Roman" w:cs="Times New Roman"/>
          <w:lang w:val="en-GB"/>
        </w:rPr>
        <w:t xml:space="preserve">, 2001; </w:t>
      </w:r>
      <w:proofErr w:type="spellStart"/>
      <w:r w:rsidR="00E43343" w:rsidRPr="00A31903">
        <w:rPr>
          <w:rFonts w:ascii="Times New Roman" w:hAnsi="Times New Roman" w:cs="Times New Roman"/>
          <w:lang w:val="en-GB"/>
        </w:rPr>
        <w:t>Ghura</w:t>
      </w:r>
      <w:proofErr w:type="spellEnd"/>
      <w:r w:rsidR="00E43343" w:rsidRPr="00A31903">
        <w:rPr>
          <w:rFonts w:ascii="Times New Roman" w:hAnsi="Times New Roman" w:cs="Times New Roman"/>
          <w:lang w:val="en-GB"/>
        </w:rPr>
        <w:t xml:space="preserve">, 1998; </w:t>
      </w:r>
      <w:proofErr w:type="spellStart"/>
      <w:r w:rsidR="00B870B3" w:rsidRPr="00A31903">
        <w:rPr>
          <w:rFonts w:ascii="Times New Roman" w:hAnsi="Times New Roman" w:cs="Times New Roman"/>
          <w:lang w:val="en-GB"/>
        </w:rPr>
        <w:t>Eltony</w:t>
      </w:r>
      <w:proofErr w:type="spellEnd"/>
      <w:r w:rsidR="00B870B3" w:rsidRPr="00A31903">
        <w:rPr>
          <w:rFonts w:ascii="Times New Roman" w:hAnsi="Times New Roman" w:cs="Times New Roman"/>
          <w:lang w:val="en-GB"/>
        </w:rPr>
        <w:t>, 2002</w:t>
      </w:r>
      <w:r w:rsidR="00245B81" w:rsidRPr="00A31903">
        <w:rPr>
          <w:rFonts w:ascii="Times New Roman" w:hAnsi="Times New Roman" w:cs="Times New Roman"/>
          <w:lang w:val="en-GB"/>
        </w:rPr>
        <w:t xml:space="preserve">; </w:t>
      </w:r>
      <w:r w:rsidR="00E43343" w:rsidRPr="00A31903">
        <w:rPr>
          <w:rFonts w:ascii="Times New Roman" w:hAnsi="Times New Roman" w:cs="Times New Roman"/>
          <w:color w:val="000000"/>
        </w:rPr>
        <w:t xml:space="preserve">Bird </w:t>
      </w:r>
      <w:r w:rsidR="00C12F43" w:rsidRPr="00A31903">
        <w:rPr>
          <w:rFonts w:ascii="Times New Roman" w:hAnsi="Times New Roman" w:cs="Times New Roman"/>
          <w:color w:val="000000"/>
        </w:rPr>
        <w:t>and</w:t>
      </w:r>
      <w:r w:rsidR="00E43343" w:rsidRPr="00A31903">
        <w:rPr>
          <w:rFonts w:ascii="Times New Roman" w:hAnsi="Times New Roman" w:cs="Times New Roman"/>
          <w:color w:val="000000"/>
        </w:rPr>
        <w:t xml:space="preserve"> Martinez-Vazquez, 2008</w:t>
      </w:r>
      <w:r w:rsidR="00B870B3" w:rsidRPr="00A31903">
        <w:rPr>
          <w:rFonts w:ascii="Times New Roman" w:hAnsi="Times New Roman" w:cs="Times New Roman"/>
          <w:lang w:val="en-GB"/>
        </w:rPr>
        <w:t>).</w:t>
      </w:r>
      <w:r w:rsidR="00304A5A" w:rsidRPr="00A31903">
        <w:rPr>
          <w:rFonts w:ascii="Times New Roman" w:hAnsi="Times New Roman" w:cs="Times New Roman"/>
          <w:lang w:val="en-GB"/>
        </w:rPr>
        <w:t xml:space="preserve"> </w:t>
      </w:r>
      <w:r w:rsidR="00EC6716" w:rsidRPr="00A31903">
        <w:rPr>
          <w:rFonts w:ascii="Times New Roman" w:hAnsi="Times New Roman" w:cs="Times New Roman"/>
        </w:rPr>
        <w:t>In Ghana,</w:t>
      </w:r>
      <w:r w:rsidR="00304A5A" w:rsidRPr="00A31903">
        <w:rPr>
          <w:rFonts w:ascii="Times New Roman" w:hAnsi="Times New Roman" w:cs="Times New Roman"/>
        </w:rPr>
        <w:t xml:space="preserve"> </w:t>
      </w:r>
      <w:r w:rsidR="00EC6716" w:rsidRPr="00A31903">
        <w:rPr>
          <w:rFonts w:ascii="Times New Roman" w:hAnsi="Times New Roman" w:cs="Times New Roman"/>
        </w:rPr>
        <w:t>m</w:t>
      </w:r>
      <w:r w:rsidR="00304A5A" w:rsidRPr="00A31903">
        <w:rPr>
          <w:rFonts w:ascii="Times New Roman" w:hAnsi="Times New Roman" w:cs="Times New Roman"/>
        </w:rPr>
        <w:t xml:space="preserve">ost areas </w:t>
      </w:r>
      <w:r w:rsidR="006F3902" w:rsidRPr="00A31903">
        <w:rPr>
          <w:rFonts w:ascii="Times New Roman" w:hAnsi="Times New Roman" w:cs="Times New Roman"/>
        </w:rPr>
        <w:t>of the agricultural sector</w:t>
      </w:r>
      <w:r w:rsidR="004E3A23" w:rsidRPr="00A31903">
        <w:rPr>
          <w:rFonts w:ascii="Times New Roman" w:hAnsi="Times New Roman" w:cs="Times New Roman"/>
        </w:rPr>
        <w:t xml:space="preserve"> are</w:t>
      </w:r>
      <w:r w:rsidR="004C2945" w:rsidRPr="00A31903">
        <w:rPr>
          <w:rFonts w:ascii="Times New Roman" w:hAnsi="Times New Roman" w:cs="Times New Roman"/>
        </w:rPr>
        <w:t xml:space="preserve"> </w:t>
      </w:r>
      <w:r w:rsidR="006F3902" w:rsidRPr="00A31903">
        <w:rPr>
          <w:rFonts w:ascii="Times New Roman" w:hAnsi="Times New Roman" w:cs="Times New Roman"/>
        </w:rPr>
        <w:t>exempt</w:t>
      </w:r>
      <w:r w:rsidR="00304A5A" w:rsidRPr="00A31903">
        <w:rPr>
          <w:rFonts w:ascii="Times New Roman" w:hAnsi="Times New Roman" w:cs="Times New Roman"/>
        </w:rPr>
        <w:t xml:space="preserve"> from taxation.</w:t>
      </w:r>
      <w:r w:rsidR="00030824" w:rsidRPr="00A31903">
        <w:rPr>
          <w:rFonts w:ascii="Times New Roman" w:hAnsi="Times New Roman" w:cs="Times New Roman"/>
        </w:rPr>
        <w:t xml:space="preserve"> </w:t>
      </w:r>
      <w:r w:rsidR="00E43343" w:rsidRPr="00A31903">
        <w:rPr>
          <w:rFonts w:ascii="Times New Roman" w:hAnsi="Times New Roman" w:cs="Times New Roman"/>
        </w:rPr>
        <w:t>M</w:t>
      </w:r>
      <w:r w:rsidR="00030824" w:rsidRPr="00A31903">
        <w:rPr>
          <w:rFonts w:ascii="Times New Roman" w:hAnsi="Times New Roman" w:cs="Times New Roman"/>
          <w:color w:val="000000"/>
        </w:rPr>
        <w:t>any studies find a negative relationship between agriculture share in GDP and tax revenue performance (</w:t>
      </w:r>
      <w:proofErr w:type="spellStart"/>
      <w:r w:rsidR="00030824" w:rsidRPr="00A31903">
        <w:rPr>
          <w:rFonts w:ascii="Times New Roman" w:hAnsi="Times New Roman" w:cs="Times New Roman"/>
          <w:color w:val="000000"/>
        </w:rPr>
        <w:t>Pession</w:t>
      </w:r>
      <w:proofErr w:type="spellEnd"/>
      <w:r w:rsidR="00030824" w:rsidRPr="00A31903">
        <w:rPr>
          <w:rFonts w:ascii="Times New Roman" w:hAnsi="Times New Roman" w:cs="Times New Roman"/>
          <w:color w:val="000000"/>
        </w:rPr>
        <w:t xml:space="preserve"> </w:t>
      </w:r>
      <w:r w:rsidR="00C12F43" w:rsidRPr="00A31903">
        <w:rPr>
          <w:rFonts w:ascii="Times New Roman" w:hAnsi="Times New Roman" w:cs="Times New Roman"/>
        </w:rPr>
        <w:t>and</w:t>
      </w:r>
      <w:r w:rsidR="0047070C" w:rsidRPr="00A31903">
        <w:rPr>
          <w:rFonts w:ascii="Times New Roman" w:hAnsi="Times New Roman" w:cs="Times New Roman"/>
          <w:color w:val="000000"/>
        </w:rPr>
        <w:t xml:space="preserve"> </w:t>
      </w:r>
      <w:proofErr w:type="spellStart"/>
      <w:r w:rsidR="0047070C" w:rsidRPr="00A31903">
        <w:rPr>
          <w:rFonts w:ascii="Times New Roman" w:hAnsi="Times New Roman" w:cs="Times New Roman"/>
          <w:color w:val="000000"/>
        </w:rPr>
        <w:t>Fenochietto</w:t>
      </w:r>
      <w:proofErr w:type="spellEnd"/>
      <w:r w:rsidR="00245B81" w:rsidRPr="00A31903">
        <w:rPr>
          <w:rFonts w:ascii="Times New Roman" w:hAnsi="Times New Roman" w:cs="Times New Roman"/>
          <w:color w:val="000000"/>
        </w:rPr>
        <w:t>,</w:t>
      </w:r>
      <w:r w:rsidR="0047070C" w:rsidRPr="00A31903">
        <w:rPr>
          <w:rFonts w:ascii="Times New Roman" w:hAnsi="Times New Roman" w:cs="Times New Roman"/>
          <w:color w:val="000000"/>
        </w:rPr>
        <w:t xml:space="preserve"> </w:t>
      </w:r>
      <w:proofErr w:type="gramStart"/>
      <w:r w:rsidR="0047070C" w:rsidRPr="00A31903">
        <w:rPr>
          <w:rFonts w:ascii="Times New Roman" w:hAnsi="Times New Roman" w:cs="Times New Roman"/>
          <w:color w:val="000000"/>
        </w:rPr>
        <w:t>2010</w:t>
      </w:r>
      <w:r w:rsidR="00245B81" w:rsidRPr="00A31903">
        <w:rPr>
          <w:rFonts w:ascii="Times New Roman" w:hAnsi="Times New Roman" w:cs="Times New Roman"/>
          <w:color w:val="000000"/>
        </w:rPr>
        <w:t xml:space="preserve"> ;</w:t>
      </w:r>
      <w:proofErr w:type="gramEnd"/>
      <w:r w:rsidR="00030824" w:rsidRPr="00A31903">
        <w:rPr>
          <w:rFonts w:ascii="Times New Roman" w:hAnsi="Times New Roman" w:cs="Times New Roman"/>
          <w:color w:val="000000"/>
        </w:rPr>
        <w:t xml:space="preserve"> Gupta</w:t>
      </w:r>
      <w:r w:rsidR="00245B81" w:rsidRPr="00A31903">
        <w:rPr>
          <w:rFonts w:ascii="Times New Roman" w:hAnsi="Times New Roman" w:cs="Times New Roman"/>
          <w:color w:val="000000"/>
        </w:rPr>
        <w:t>,</w:t>
      </w:r>
      <w:r w:rsidR="00030824" w:rsidRPr="00A31903">
        <w:rPr>
          <w:rFonts w:ascii="Times New Roman" w:hAnsi="Times New Roman" w:cs="Times New Roman"/>
          <w:color w:val="000000"/>
        </w:rPr>
        <w:t xml:space="preserve"> 2007). </w:t>
      </w:r>
    </w:p>
    <w:p w:rsidR="00761C4D" w:rsidRPr="00A31903" w:rsidRDefault="004A028A" w:rsidP="008D4A06">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i/>
          <w:iCs/>
        </w:rPr>
        <w:t xml:space="preserve">    </w:t>
      </w:r>
      <w:proofErr w:type="gramStart"/>
      <w:r w:rsidR="00FF3C34" w:rsidRPr="00A31903">
        <w:rPr>
          <w:rFonts w:ascii="Times New Roman" w:hAnsi="Times New Roman" w:cs="Times New Roman"/>
          <w:i/>
          <w:iCs/>
        </w:rPr>
        <w:t>Inflation.</w:t>
      </w:r>
      <w:proofErr w:type="gramEnd"/>
      <w:r w:rsidR="001D3273" w:rsidRPr="00A31903">
        <w:rPr>
          <w:rFonts w:ascii="Times New Roman" w:hAnsi="Times New Roman" w:cs="Times New Roman"/>
          <w:i/>
          <w:iCs/>
        </w:rPr>
        <w:t xml:space="preserve"> </w:t>
      </w:r>
      <w:r w:rsidR="001D3273" w:rsidRPr="00A31903">
        <w:rPr>
          <w:rFonts w:ascii="Times New Roman" w:hAnsi="Times New Roman" w:cs="Times New Roman"/>
          <w:lang w:val="en-GB"/>
        </w:rPr>
        <w:t xml:space="preserve">Many countries including Ghana do not adjust their tax systems for </w:t>
      </w:r>
      <w:r w:rsidR="00B34FD0" w:rsidRPr="00A31903">
        <w:rPr>
          <w:rFonts w:ascii="Times New Roman" w:hAnsi="Times New Roman" w:cs="Times New Roman"/>
          <w:noProof/>
          <w:lang w:val="en-GB"/>
        </w:rPr>
        <w:t>inflation</w:t>
      </w:r>
      <w:r w:rsidR="001D3273" w:rsidRPr="00A31903">
        <w:rPr>
          <w:rFonts w:ascii="Times New Roman" w:hAnsi="Times New Roman" w:cs="Times New Roman"/>
          <w:lang w:val="en-GB"/>
        </w:rPr>
        <w:t xml:space="preserve"> or do so only partially. However, when inflation reaches significant levels, its impact on the tax system </w:t>
      </w:r>
      <w:proofErr w:type="gramStart"/>
      <w:r w:rsidR="00DF2428" w:rsidRPr="00A31903">
        <w:rPr>
          <w:rFonts w:ascii="Times New Roman" w:hAnsi="Times New Roman" w:cs="Times New Roman"/>
          <w:lang w:val="en-GB"/>
        </w:rPr>
        <w:t>cannot be discounted</w:t>
      </w:r>
      <w:proofErr w:type="gramEnd"/>
      <w:r w:rsidR="00DF2428" w:rsidRPr="00A31903">
        <w:rPr>
          <w:rFonts w:ascii="Times New Roman" w:hAnsi="Times New Roman" w:cs="Times New Roman"/>
          <w:lang w:val="en-GB"/>
        </w:rPr>
        <w:t xml:space="preserve"> resulting i</w:t>
      </w:r>
      <w:r w:rsidR="0035782D" w:rsidRPr="00A31903">
        <w:rPr>
          <w:rFonts w:ascii="Times New Roman" w:hAnsi="Times New Roman" w:cs="Times New Roman"/>
          <w:lang w:val="en-GB"/>
        </w:rPr>
        <w:t xml:space="preserve">n </w:t>
      </w:r>
      <w:r w:rsidR="00471A9B" w:rsidRPr="00A31903">
        <w:rPr>
          <w:rFonts w:ascii="Times New Roman" w:hAnsi="Times New Roman" w:cs="Times New Roman"/>
          <w:lang w:val="en-GB"/>
        </w:rPr>
        <w:t>an increase in public expenditure</w:t>
      </w:r>
      <w:r w:rsidR="00DD1A82" w:rsidRPr="00A31903">
        <w:rPr>
          <w:rFonts w:ascii="Times New Roman" w:hAnsi="Times New Roman" w:cs="Times New Roman"/>
          <w:lang w:val="en-GB"/>
        </w:rPr>
        <w:t>. In estimating</w:t>
      </w:r>
      <w:r w:rsidR="001D3273" w:rsidRPr="00A31903">
        <w:rPr>
          <w:rFonts w:ascii="Times New Roman" w:hAnsi="Times New Roman" w:cs="Times New Roman"/>
          <w:lang w:val="en-GB"/>
        </w:rPr>
        <w:t xml:space="preserve"> the tax burden,</w:t>
      </w:r>
      <w:r w:rsidR="00A27D70" w:rsidRPr="00A31903">
        <w:rPr>
          <w:rFonts w:ascii="Times New Roman" w:hAnsi="Times New Roman" w:cs="Times New Roman"/>
          <w:lang w:val="en-GB"/>
        </w:rPr>
        <w:t xml:space="preserve"> inflation</w:t>
      </w:r>
      <w:r w:rsidR="001D3273" w:rsidRPr="00A31903">
        <w:rPr>
          <w:rFonts w:ascii="Times New Roman" w:hAnsi="Times New Roman" w:cs="Times New Roman"/>
          <w:lang w:val="en-GB"/>
        </w:rPr>
        <w:t xml:space="preserve"> becomes very </w:t>
      </w:r>
      <w:r w:rsidR="0035782D" w:rsidRPr="00A31903">
        <w:rPr>
          <w:rFonts w:ascii="Times New Roman" w:hAnsi="Times New Roman" w:cs="Times New Roman"/>
          <w:lang w:val="en-GB"/>
        </w:rPr>
        <w:t>essential</w:t>
      </w:r>
      <w:r w:rsidR="001D3273" w:rsidRPr="00A31903">
        <w:rPr>
          <w:rFonts w:ascii="Times New Roman" w:hAnsi="Times New Roman" w:cs="Times New Roman"/>
          <w:lang w:val="en-GB"/>
        </w:rPr>
        <w:t xml:space="preserve"> because it affects the financial situat</w:t>
      </w:r>
      <w:r w:rsidR="00D06652" w:rsidRPr="00A31903">
        <w:rPr>
          <w:rFonts w:ascii="Times New Roman" w:hAnsi="Times New Roman" w:cs="Times New Roman"/>
          <w:lang w:val="en-GB"/>
        </w:rPr>
        <w:t>ion</w:t>
      </w:r>
      <w:r w:rsidR="001D3273" w:rsidRPr="00A31903">
        <w:rPr>
          <w:rFonts w:ascii="Times New Roman" w:hAnsi="Times New Roman" w:cs="Times New Roman"/>
          <w:lang w:val="en-GB"/>
        </w:rPr>
        <w:t xml:space="preserve"> of the taxpayer through the elements of tax rate and tax base. </w:t>
      </w:r>
      <w:r w:rsidR="00DF2428" w:rsidRPr="00A31903">
        <w:rPr>
          <w:rFonts w:ascii="Times New Roman" w:hAnsi="Times New Roman" w:cs="Times New Roman"/>
          <w:lang w:val="en-GB"/>
        </w:rPr>
        <w:t>Extant literature projects a negative</w:t>
      </w:r>
      <w:r w:rsidR="00B870B3" w:rsidRPr="00A31903">
        <w:rPr>
          <w:rFonts w:ascii="Times New Roman" w:hAnsi="Times New Roman" w:cs="Times New Roman"/>
          <w:iCs/>
        </w:rPr>
        <w:t xml:space="preserve"> coefficient si</w:t>
      </w:r>
      <w:r w:rsidR="00D872D4" w:rsidRPr="00A31903">
        <w:rPr>
          <w:rFonts w:ascii="Times New Roman" w:hAnsi="Times New Roman" w:cs="Times New Roman"/>
          <w:iCs/>
        </w:rPr>
        <w:t>gn</w:t>
      </w:r>
      <w:r w:rsidR="00DF2428" w:rsidRPr="00A31903">
        <w:rPr>
          <w:rFonts w:ascii="Times New Roman" w:hAnsi="Times New Roman" w:cs="Times New Roman"/>
          <w:iCs/>
        </w:rPr>
        <w:t xml:space="preserve"> </w:t>
      </w:r>
      <w:r w:rsidR="00D872D4" w:rsidRPr="00A31903">
        <w:rPr>
          <w:rFonts w:ascii="Times New Roman" w:hAnsi="Times New Roman" w:cs="Times New Roman"/>
          <w:iCs/>
        </w:rPr>
        <w:t>(</w:t>
      </w:r>
      <w:proofErr w:type="spellStart"/>
      <w:r w:rsidR="00B870B3" w:rsidRPr="00A31903">
        <w:rPr>
          <w:rFonts w:ascii="Times New Roman" w:hAnsi="Times New Roman" w:cs="Times New Roman"/>
          <w:iCs/>
        </w:rPr>
        <w:t>Ghura</w:t>
      </w:r>
      <w:proofErr w:type="spellEnd"/>
      <w:r w:rsidR="00B870B3" w:rsidRPr="00A31903">
        <w:rPr>
          <w:rFonts w:ascii="Times New Roman" w:hAnsi="Times New Roman" w:cs="Times New Roman"/>
          <w:iCs/>
        </w:rPr>
        <w:t>, 1998</w:t>
      </w:r>
      <w:r w:rsidR="00245B81" w:rsidRPr="00A31903">
        <w:rPr>
          <w:rFonts w:ascii="Times New Roman" w:hAnsi="Times New Roman" w:cs="Times New Roman"/>
          <w:iCs/>
        </w:rPr>
        <w:t xml:space="preserve">; </w:t>
      </w:r>
      <w:proofErr w:type="spellStart"/>
      <w:r w:rsidR="000A170C" w:rsidRPr="00A31903">
        <w:rPr>
          <w:rFonts w:ascii="Times New Roman" w:eastAsia="MinionPro-Regular" w:hAnsi="Times New Roman" w:cs="Times New Roman"/>
          <w:lang w:val="en-GB"/>
        </w:rPr>
        <w:t>Vylkova</w:t>
      </w:r>
      <w:proofErr w:type="spellEnd"/>
      <w:r w:rsidR="000A170C" w:rsidRPr="00A31903">
        <w:rPr>
          <w:rFonts w:ascii="Times New Roman" w:eastAsia="MinionPro-Regular" w:hAnsi="Times New Roman" w:cs="Times New Roman"/>
          <w:lang w:val="en-GB"/>
        </w:rPr>
        <w:t xml:space="preserve"> </w:t>
      </w:r>
      <w:r w:rsidR="00C12F43" w:rsidRPr="00A31903">
        <w:rPr>
          <w:rFonts w:ascii="Times New Roman" w:hAnsi="Times New Roman" w:cs="Times New Roman"/>
        </w:rPr>
        <w:t>and</w:t>
      </w:r>
      <w:r w:rsidR="000A170C" w:rsidRPr="00A31903">
        <w:rPr>
          <w:rFonts w:ascii="Times New Roman" w:eastAsia="MinionPro-Regular" w:hAnsi="Times New Roman" w:cs="Times New Roman"/>
          <w:lang w:val="en-GB"/>
        </w:rPr>
        <w:t xml:space="preserve"> </w:t>
      </w:r>
      <w:proofErr w:type="spellStart"/>
      <w:r w:rsidR="000A170C" w:rsidRPr="00A31903">
        <w:rPr>
          <w:rFonts w:ascii="Times New Roman" w:eastAsia="MinionPro-Regular" w:hAnsi="Times New Roman" w:cs="Times New Roman"/>
          <w:lang w:val="en-GB"/>
        </w:rPr>
        <w:t>Pozov</w:t>
      </w:r>
      <w:proofErr w:type="spellEnd"/>
      <w:r w:rsidR="000406D1" w:rsidRPr="00A31903">
        <w:rPr>
          <w:rFonts w:ascii="Times New Roman" w:eastAsia="MinionPro-Regular" w:hAnsi="Times New Roman" w:cs="Times New Roman"/>
          <w:lang w:val="en-GB"/>
        </w:rPr>
        <w:t>,</w:t>
      </w:r>
      <w:r w:rsidR="000A170C" w:rsidRPr="00A31903">
        <w:rPr>
          <w:rFonts w:ascii="Times New Roman" w:eastAsia="MinionPro-Regular" w:hAnsi="Times New Roman" w:cs="Times New Roman"/>
          <w:lang w:val="en-GB"/>
        </w:rPr>
        <w:t xml:space="preserve"> 2013</w:t>
      </w:r>
      <w:r w:rsidR="00B870B3" w:rsidRPr="00A31903">
        <w:rPr>
          <w:rFonts w:ascii="Times New Roman" w:hAnsi="Times New Roman" w:cs="Times New Roman"/>
          <w:lang w:val="en-GB"/>
        </w:rPr>
        <w:t>).</w:t>
      </w:r>
    </w:p>
    <w:p w:rsidR="00761C4D" w:rsidRPr="00A31903" w:rsidRDefault="009F1703" w:rsidP="00761C4D">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i/>
          <w:iCs/>
        </w:rPr>
        <w:t xml:space="preserve">   </w:t>
      </w:r>
      <w:proofErr w:type="gramStart"/>
      <w:r w:rsidR="0004031A" w:rsidRPr="00A31903">
        <w:rPr>
          <w:rFonts w:ascii="Times New Roman" w:hAnsi="Times New Roman" w:cs="Times New Roman"/>
          <w:i/>
          <w:iCs/>
        </w:rPr>
        <w:t>The external debt stock.</w:t>
      </w:r>
      <w:proofErr w:type="gramEnd"/>
      <w:r w:rsidR="0004031A" w:rsidRPr="00A31903">
        <w:rPr>
          <w:rFonts w:ascii="Times New Roman" w:hAnsi="Times New Roman" w:cs="Times New Roman"/>
          <w:i/>
          <w:iCs/>
        </w:rPr>
        <w:t xml:space="preserve"> </w:t>
      </w:r>
      <w:r w:rsidR="004E3A23" w:rsidRPr="00A31903">
        <w:rPr>
          <w:rFonts w:ascii="Times New Roman" w:hAnsi="Times New Roman" w:cs="Times New Roman"/>
          <w:iCs/>
          <w:lang w:val="en-GB"/>
        </w:rPr>
        <w:t>In acquiring resources to govern a nation or address budget de</w:t>
      </w:r>
      <w:r w:rsidR="00DF2428" w:rsidRPr="00A31903">
        <w:rPr>
          <w:rFonts w:ascii="Times New Roman" w:hAnsi="Times New Roman" w:cs="Times New Roman"/>
          <w:iCs/>
          <w:lang w:val="en-GB"/>
        </w:rPr>
        <w:t>ficits in many emerging economies</w:t>
      </w:r>
      <w:r w:rsidR="004E3A23" w:rsidRPr="00A31903">
        <w:rPr>
          <w:rFonts w:ascii="Times New Roman" w:hAnsi="Times New Roman" w:cs="Times New Roman"/>
          <w:iCs/>
          <w:lang w:val="en-GB"/>
        </w:rPr>
        <w:t xml:space="preserve">, such governments ask for donor support, rely on borrowing (internal and external) or tax revenue. </w:t>
      </w:r>
      <w:r w:rsidR="004E3A23" w:rsidRPr="00A31903">
        <w:rPr>
          <w:rFonts w:ascii="Times New Roman" w:hAnsi="Times New Roman" w:cs="Times New Roman"/>
          <w:iCs/>
        </w:rPr>
        <w:t xml:space="preserve">A </w:t>
      </w:r>
      <w:r w:rsidR="00C52CBA" w:rsidRPr="00A31903">
        <w:rPr>
          <w:rFonts w:ascii="Times New Roman" w:hAnsi="Times New Roman" w:cs="Times New Roman"/>
          <w:iCs/>
        </w:rPr>
        <w:t>heavy</w:t>
      </w:r>
      <w:r w:rsidR="0004031A" w:rsidRPr="00A31903">
        <w:rPr>
          <w:rFonts w:ascii="Times New Roman" w:hAnsi="Times New Roman" w:cs="Times New Roman"/>
          <w:iCs/>
        </w:rPr>
        <w:t xml:space="preserve"> </w:t>
      </w:r>
      <w:r w:rsidR="004E3A23" w:rsidRPr="00A31903">
        <w:rPr>
          <w:rFonts w:ascii="Times New Roman" w:hAnsi="Times New Roman" w:cs="Times New Roman"/>
          <w:iCs/>
        </w:rPr>
        <w:t xml:space="preserve">reliance on </w:t>
      </w:r>
      <w:r w:rsidR="0004031A" w:rsidRPr="00A31903">
        <w:rPr>
          <w:rFonts w:ascii="Times New Roman" w:hAnsi="Times New Roman" w:cs="Times New Roman"/>
          <w:iCs/>
        </w:rPr>
        <w:t>public debts</w:t>
      </w:r>
      <w:r w:rsidR="00A80332" w:rsidRPr="00A31903">
        <w:rPr>
          <w:rFonts w:ascii="Times New Roman" w:hAnsi="Times New Roman" w:cs="Times New Roman"/>
          <w:iCs/>
        </w:rPr>
        <w:t xml:space="preserve"> by emerging economies</w:t>
      </w:r>
      <w:r w:rsidR="002866A8" w:rsidRPr="00A31903">
        <w:rPr>
          <w:rFonts w:ascii="Times New Roman" w:hAnsi="Times New Roman" w:cs="Times New Roman"/>
          <w:iCs/>
        </w:rPr>
        <w:t xml:space="preserve"> will have a significant</w:t>
      </w:r>
      <w:r w:rsidR="00C52CBA" w:rsidRPr="00A31903">
        <w:rPr>
          <w:rFonts w:ascii="Times New Roman" w:hAnsi="Times New Roman" w:cs="Times New Roman"/>
          <w:iCs/>
        </w:rPr>
        <w:t xml:space="preserve"> impact on tax revenues</w:t>
      </w:r>
      <w:r w:rsidR="0004031A" w:rsidRPr="00A31903">
        <w:rPr>
          <w:rFonts w:ascii="Times New Roman" w:hAnsi="Times New Roman" w:cs="Times New Roman"/>
          <w:i/>
          <w:iCs/>
        </w:rPr>
        <w:t xml:space="preserve">. </w:t>
      </w:r>
      <w:proofErr w:type="spellStart"/>
      <w:r w:rsidR="002A70B9" w:rsidRPr="00A31903">
        <w:rPr>
          <w:rFonts w:ascii="Times New Roman" w:hAnsi="Times New Roman" w:cs="Times New Roman"/>
          <w:lang w:val="en-GB"/>
        </w:rPr>
        <w:t>Ghura</w:t>
      </w:r>
      <w:proofErr w:type="spellEnd"/>
      <w:r w:rsidR="002A70B9" w:rsidRPr="00A31903">
        <w:rPr>
          <w:rFonts w:ascii="Times New Roman" w:hAnsi="Times New Roman" w:cs="Times New Roman"/>
          <w:lang w:val="en-GB"/>
        </w:rPr>
        <w:t xml:space="preserve"> (1998) </w:t>
      </w:r>
      <w:r w:rsidR="002A70B9" w:rsidRPr="00A31903">
        <w:rPr>
          <w:rFonts w:ascii="Times New Roman" w:hAnsi="Times New Roman" w:cs="Times New Roman"/>
          <w:noProof/>
          <w:lang w:val="en-GB"/>
        </w:rPr>
        <w:t>used</w:t>
      </w:r>
      <w:r w:rsidR="002A70B9" w:rsidRPr="00A31903">
        <w:rPr>
          <w:rFonts w:ascii="Times New Roman" w:hAnsi="Times New Roman" w:cs="Times New Roman"/>
          <w:lang w:val="en-GB"/>
        </w:rPr>
        <w:t xml:space="preserve"> </w:t>
      </w:r>
      <w:r w:rsidR="0004031A" w:rsidRPr="00A31903">
        <w:rPr>
          <w:rFonts w:ascii="Times New Roman" w:hAnsi="Times New Roman" w:cs="Times New Roman"/>
          <w:lang w:val="en-GB"/>
        </w:rPr>
        <w:t xml:space="preserve">change in external debt to GDP ratio as </w:t>
      </w:r>
      <w:r w:rsidR="0004031A" w:rsidRPr="00A31903">
        <w:rPr>
          <w:rFonts w:ascii="Times New Roman" w:hAnsi="Times New Roman" w:cs="Times New Roman"/>
          <w:noProof/>
          <w:lang w:val="en-GB"/>
        </w:rPr>
        <w:t>an explanatory variable whiles</w:t>
      </w:r>
      <w:r w:rsidR="0004031A" w:rsidRPr="00A31903">
        <w:rPr>
          <w:rFonts w:ascii="Times New Roman" w:hAnsi="Times New Roman" w:cs="Times New Roman"/>
          <w:lang w:val="en-GB"/>
        </w:rPr>
        <w:t xml:space="preserve"> </w:t>
      </w:r>
      <w:proofErr w:type="spellStart"/>
      <w:r w:rsidR="0004031A" w:rsidRPr="00A31903">
        <w:rPr>
          <w:rFonts w:ascii="Times New Roman" w:hAnsi="Times New Roman" w:cs="Times New Roman"/>
          <w:lang w:val="en-GB"/>
        </w:rPr>
        <w:t>Eltony</w:t>
      </w:r>
      <w:proofErr w:type="spellEnd"/>
      <w:r w:rsidR="0004031A" w:rsidRPr="00A31903">
        <w:rPr>
          <w:rFonts w:ascii="Times New Roman" w:hAnsi="Times New Roman" w:cs="Times New Roman"/>
          <w:lang w:val="en-GB"/>
        </w:rPr>
        <w:t xml:space="preserve"> (2002) selected outstanding foreign debt. </w:t>
      </w:r>
      <w:r w:rsidR="00C52CBA" w:rsidRPr="00A31903">
        <w:rPr>
          <w:rFonts w:ascii="Times New Roman" w:hAnsi="Times New Roman" w:cs="Times New Roman"/>
          <w:lang w:val="en-GB"/>
        </w:rPr>
        <w:t xml:space="preserve">The coefficients in both studies revealed </w:t>
      </w:r>
      <w:r w:rsidR="00C52CBA" w:rsidRPr="00A31903">
        <w:rPr>
          <w:rFonts w:ascii="Times New Roman" w:hAnsi="Times New Roman" w:cs="Times New Roman"/>
          <w:iCs/>
        </w:rPr>
        <w:t xml:space="preserve">a </w:t>
      </w:r>
      <w:r w:rsidR="00471A9B" w:rsidRPr="00A31903">
        <w:rPr>
          <w:rFonts w:ascii="Times New Roman" w:hAnsi="Times New Roman" w:cs="Times New Roman"/>
          <w:iCs/>
        </w:rPr>
        <w:t xml:space="preserve">positive </w:t>
      </w:r>
      <w:r w:rsidR="00C52CBA" w:rsidRPr="00A31903">
        <w:rPr>
          <w:rFonts w:ascii="Times New Roman" w:hAnsi="Times New Roman" w:cs="Times New Roman"/>
          <w:iCs/>
        </w:rPr>
        <w:t xml:space="preserve">relationship with tax/GDP ratio </w:t>
      </w:r>
      <w:r w:rsidR="00471A9B" w:rsidRPr="00A31903">
        <w:rPr>
          <w:rFonts w:ascii="Times New Roman" w:hAnsi="Times New Roman" w:cs="Times New Roman"/>
          <w:iCs/>
        </w:rPr>
        <w:t>(</w:t>
      </w:r>
      <w:proofErr w:type="spellStart"/>
      <w:r w:rsidR="004C2945" w:rsidRPr="00A31903">
        <w:rPr>
          <w:rFonts w:ascii="Times New Roman" w:hAnsi="Times New Roman" w:cs="Times New Roman"/>
          <w:lang w:val="en-GB"/>
        </w:rPr>
        <w:t>Eltony</w:t>
      </w:r>
      <w:proofErr w:type="spellEnd"/>
      <w:r w:rsidR="004C2945" w:rsidRPr="00A31903">
        <w:rPr>
          <w:rFonts w:ascii="Times New Roman" w:hAnsi="Times New Roman" w:cs="Times New Roman"/>
          <w:lang w:val="en-GB"/>
        </w:rPr>
        <w:t>, 2002</w:t>
      </w:r>
      <w:r w:rsidR="0035782D" w:rsidRPr="00A31903">
        <w:rPr>
          <w:rFonts w:ascii="Times New Roman" w:hAnsi="Times New Roman" w:cs="Times New Roman"/>
          <w:lang w:val="en-GB"/>
        </w:rPr>
        <w:t>;</w:t>
      </w:r>
      <w:r w:rsidR="00245B81" w:rsidRPr="00A31903">
        <w:rPr>
          <w:rFonts w:ascii="Times New Roman" w:hAnsi="Times New Roman" w:cs="Times New Roman"/>
          <w:lang w:val="en-GB"/>
        </w:rPr>
        <w:t xml:space="preserve"> </w:t>
      </w:r>
      <w:r w:rsidR="00C52CBA" w:rsidRPr="00A31903">
        <w:rPr>
          <w:rFonts w:ascii="Times New Roman" w:hAnsi="Times New Roman" w:cs="Times New Roman"/>
          <w:noProof/>
          <w:lang w:val="en-GB"/>
        </w:rPr>
        <w:t>Ghura</w:t>
      </w:r>
      <w:r w:rsidR="00C52CBA" w:rsidRPr="00A31903">
        <w:rPr>
          <w:rFonts w:ascii="Times New Roman" w:hAnsi="Times New Roman" w:cs="Times New Roman"/>
          <w:lang w:val="en-GB"/>
        </w:rPr>
        <w:t>,</w:t>
      </w:r>
      <w:r w:rsidR="004C2945" w:rsidRPr="00A31903">
        <w:rPr>
          <w:rFonts w:ascii="Times New Roman" w:hAnsi="Times New Roman" w:cs="Times New Roman"/>
          <w:lang w:val="en-GB"/>
        </w:rPr>
        <w:t xml:space="preserve"> </w:t>
      </w:r>
      <w:r w:rsidR="006874AF" w:rsidRPr="00A31903">
        <w:rPr>
          <w:rFonts w:ascii="Times New Roman" w:hAnsi="Times New Roman" w:cs="Times New Roman"/>
          <w:lang w:val="en-GB"/>
        </w:rPr>
        <w:t>1998</w:t>
      </w:r>
      <w:r w:rsidR="0035782D" w:rsidRPr="00A31903">
        <w:rPr>
          <w:rFonts w:ascii="Times New Roman" w:hAnsi="Times New Roman" w:cs="Times New Roman"/>
          <w:lang w:val="en-GB"/>
        </w:rPr>
        <w:t>;</w:t>
      </w:r>
      <w:r w:rsidR="000F7302" w:rsidRPr="00A31903">
        <w:rPr>
          <w:rFonts w:ascii="Times New Roman" w:hAnsi="Times New Roman" w:cs="Times New Roman"/>
          <w:lang w:val="en-GB"/>
        </w:rPr>
        <w:t xml:space="preserve"> </w:t>
      </w:r>
      <w:proofErr w:type="spellStart"/>
      <w:r w:rsidR="00F7634E" w:rsidRPr="00A31903">
        <w:rPr>
          <w:rFonts w:ascii="Times New Roman" w:hAnsi="Times New Roman" w:cs="Times New Roman"/>
        </w:rPr>
        <w:t>Pessino</w:t>
      </w:r>
      <w:proofErr w:type="spellEnd"/>
      <w:r w:rsidR="00F7634E" w:rsidRPr="00A31903">
        <w:rPr>
          <w:rFonts w:ascii="Times New Roman" w:hAnsi="Times New Roman" w:cs="Times New Roman"/>
        </w:rPr>
        <w:t xml:space="preserve"> </w:t>
      </w:r>
      <w:r w:rsidR="00C12F43" w:rsidRPr="00A31903">
        <w:rPr>
          <w:rFonts w:ascii="Times New Roman" w:hAnsi="Times New Roman" w:cs="Times New Roman"/>
        </w:rPr>
        <w:t>and</w:t>
      </w:r>
      <w:r w:rsidR="00F7634E" w:rsidRPr="00A31903">
        <w:rPr>
          <w:rFonts w:ascii="Times New Roman" w:hAnsi="Times New Roman" w:cs="Times New Roman"/>
        </w:rPr>
        <w:t xml:space="preserve"> </w:t>
      </w:r>
      <w:proofErr w:type="spellStart"/>
      <w:r w:rsidR="00F7634E" w:rsidRPr="00A31903">
        <w:rPr>
          <w:rFonts w:ascii="Times New Roman" w:hAnsi="Times New Roman" w:cs="Times New Roman"/>
        </w:rPr>
        <w:t>Fenochiet</w:t>
      </w:r>
      <w:r w:rsidR="00CF39F6" w:rsidRPr="00A31903">
        <w:rPr>
          <w:rFonts w:ascii="Times New Roman" w:hAnsi="Times New Roman" w:cs="Times New Roman"/>
        </w:rPr>
        <w:t>to</w:t>
      </w:r>
      <w:proofErr w:type="spellEnd"/>
      <w:r w:rsidR="00CF39F6" w:rsidRPr="00A31903">
        <w:rPr>
          <w:rFonts w:ascii="Times New Roman" w:hAnsi="Times New Roman" w:cs="Times New Roman"/>
        </w:rPr>
        <w:t xml:space="preserve">, </w:t>
      </w:r>
      <w:r w:rsidR="00F7634E" w:rsidRPr="00A31903">
        <w:rPr>
          <w:rFonts w:ascii="Times New Roman" w:hAnsi="Times New Roman" w:cs="Times New Roman"/>
        </w:rPr>
        <w:t>2013)</w:t>
      </w:r>
      <w:r w:rsidR="006874AF" w:rsidRPr="00A31903">
        <w:rPr>
          <w:rFonts w:ascii="Times New Roman" w:hAnsi="Times New Roman" w:cs="Times New Roman"/>
        </w:rPr>
        <w:t>.</w:t>
      </w:r>
      <w:r w:rsidR="00761C4D" w:rsidRPr="00A31903">
        <w:rPr>
          <w:rFonts w:ascii="Times New Roman" w:hAnsi="Times New Roman" w:cs="Times New Roman"/>
          <w:lang w:val="en-GB"/>
        </w:rPr>
        <w:t xml:space="preserve">   </w:t>
      </w:r>
    </w:p>
    <w:p w:rsidR="00DF2428" w:rsidRPr="00A31903" w:rsidRDefault="00761C4D" w:rsidP="00DF2428">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rPr>
        <w:t xml:space="preserve">   </w:t>
      </w:r>
      <w:r w:rsidR="00174553" w:rsidRPr="00A31903">
        <w:rPr>
          <w:rFonts w:ascii="Times New Roman" w:hAnsi="Times New Roman" w:cs="Times New Roman"/>
        </w:rPr>
        <w:t xml:space="preserve">    </w:t>
      </w:r>
      <w:r w:rsidR="00174553" w:rsidRPr="00A31903">
        <w:rPr>
          <w:rFonts w:ascii="Times New Roman" w:hAnsi="Times New Roman" w:cs="Times New Roman"/>
          <w:i/>
        </w:rPr>
        <w:t>Services value added</w:t>
      </w:r>
      <w:r w:rsidR="00174553" w:rsidRPr="00A31903">
        <w:rPr>
          <w:rFonts w:ascii="Times New Roman" w:hAnsi="Times New Roman" w:cs="Times New Roman"/>
        </w:rPr>
        <w:t xml:space="preserve">. </w:t>
      </w:r>
      <w:r w:rsidR="00A96826" w:rsidRPr="00A31903">
        <w:rPr>
          <w:rFonts w:ascii="Times New Roman" w:hAnsi="Times New Roman" w:cs="Times New Roman"/>
        </w:rPr>
        <w:t xml:space="preserve"> </w:t>
      </w:r>
      <w:r w:rsidR="0035782D" w:rsidRPr="00A31903">
        <w:rPr>
          <w:rFonts w:ascii="Times New Roman" w:hAnsi="Times New Roman" w:cs="Times New Roman"/>
        </w:rPr>
        <w:t>This i</w:t>
      </w:r>
      <w:r w:rsidR="00C12F43" w:rsidRPr="00A31903">
        <w:rPr>
          <w:rFonts w:ascii="Times New Roman" w:hAnsi="Times New Roman" w:cs="Times New Roman"/>
          <w:lang w:val="en-GB"/>
        </w:rPr>
        <w:t>includes</w:t>
      </w:r>
      <w:r w:rsidR="00A96826" w:rsidRPr="00A31903">
        <w:rPr>
          <w:rFonts w:ascii="Times New Roman" w:hAnsi="Times New Roman" w:cs="Times New Roman"/>
          <w:lang w:val="en-GB"/>
        </w:rPr>
        <w:t xml:space="preserve"> wholesale and retail trade (including hotels and restaurants), transport, and government, financial, </w:t>
      </w:r>
      <w:r w:rsidR="0035782D" w:rsidRPr="00A31903">
        <w:rPr>
          <w:rFonts w:ascii="Times New Roman" w:hAnsi="Times New Roman" w:cs="Times New Roman"/>
          <w:lang w:val="en-GB"/>
        </w:rPr>
        <w:t xml:space="preserve">professional, </w:t>
      </w:r>
      <w:r w:rsidR="00A96826" w:rsidRPr="00A31903">
        <w:rPr>
          <w:rFonts w:ascii="Times New Roman" w:hAnsi="Times New Roman" w:cs="Times New Roman"/>
          <w:lang w:val="en-GB"/>
        </w:rPr>
        <w:t xml:space="preserve">education, </w:t>
      </w:r>
      <w:r w:rsidR="0035782D" w:rsidRPr="00A31903">
        <w:rPr>
          <w:rFonts w:ascii="Times New Roman" w:hAnsi="Times New Roman" w:cs="Times New Roman"/>
          <w:lang w:val="en-GB"/>
        </w:rPr>
        <w:t xml:space="preserve">and </w:t>
      </w:r>
      <w:r w:rsidR="00A96826" w:rsidRPr="00A31903">
        <w:rPr>
          <w:rFonts w:ascii="Times New Roman" w:hAnsi="Times New Roman" w:cs="Times New Roman"/>
          <w:lang w:val="en-GB"/>
        </w:rPr>
        <w:t>health care</w:t>
      </w:r>
      <w:r w:rsidR="0035782D" w:rsidRPr="00A31903">
        <w:rPr>
          <w:rFonts w:ascii="Times New Roman" w:hAnsi="Times New Roman" w:cs="Times New Roman"/>
          <w:lang w:val="en-GB"/>
        </w:rPr>
        <w:t>.</w:t>
      </w:r>
      <w:r w:rsidR="00A9265F" w:rsidRPr="00A31903">
        <w:rPr>
          <w:rFonts w:ascii="Times New Roman" w:hAnsi="Times New Roman" w:cs="Times New Roman"/>
          <w:lang w:val="en-GB"/>
        </w:rPr>
        <w:t xml:space="preserve"> </w:t>
      </w:r>
      <w:proofErr w:type="spellStart"/>
      <w:r w:rsidR="006F3902" w:rsidRPr="00A31903">
        <w:rPr>
          <w:rFonts w:ascii="Times New Roman" w:hAnsi="Times New Roman" w:cs="Times New Roman"/>
          <w:lang w:val="en-GB"/>
        </w:rPr>
        <w:t>Piancastelli</w:t>
      </w:r>
      <w:proofErr w:type="spellEnd"/>
      <w:r w:rsidR="006F3902" w:rsidRPr="00A31903">
        <w:rPr>
          <w:rFonts w:ascii="Times New Roman" w:hAnsi="Times New Roman" w:cs="Times New Roman"/>
          <w:lang w:val="en-GB"/>
        </w:rPr>
        <w:t xml:space="preserve"> </w:t>
      </w:r>
      <w:r w:rsidR="001C230F" w:rsidRPr="00A31903">
        <w:rPr>
          <w:rFonts w:ascii="Times New Roman" w:hAnsi="Times New Roman" w:cs="Times New Roman"/>
          <w:lang w:val="en-GB"/>
        </w:rPr>
        <w:t>(</w:t>
      </w:r>
      <w:r w:rsidR="00A9265F" w:rsidRPr="00A31903">
        <w:rPr>
          <w:rFonts w:ascii="Times New Roman" w:hAnsi="Times New Roman" w:cs="Times New Roman"/>
          <w:lang w:val="en-GB"/>
        </w:rPr>
        <w:t>2001</w:t>
      </w:r>
      <w:r w:rsidR="001C230F" w:rsidRPr="00A31903">
        <w:rPr>
          <w:rFonts w:ascii="Times New Roman" w:hAnsi="Times New Roman" w:cs="Times New Roman"/>
          <w:lang w:val="en-GB"/>
        </w:rPr>
        <w:t>)</w:t>
      </w:r>
      <w:r w:rsidR="00A9265F" w:rsidRPr="00A31903">
        <w:rPr>
          <w:rFonts w:ascii="Times New Roman" w:hAnsi="Times New Roman" w:cs="Times New Roman"/>
          <w:lang w:val="en-GB"/>
        </w:rPr>
        <w:t xml:space="preserve"> maintains that services value </w:t>
      </w:r>
      <w:proofErr w:type="gramStart"/>
      <w:r w:rsidR="00A9265F" w:rsidRPr="00A31903">
        <w:rPr>
          <w:rFonts w:ascii="Times New Roman" w:hAnsi="Times New Roman" w:cs="Times New Roman"/>
          <w:lang w:val="en-GB"/>
        </w:rPr>
        <w:t>added</w:t>
      </w:r>
      <w:proofErr w:type="gramEnd"/>
      <w:r w:rsidR="00A9265F" w:rsidRPr="00A31903">
        <w:rPr>
          <w:rFonts w:ascii="Times New Roman" w:hAnsi="Times New Roman" w:cs="Times New Roman"/>
          <w:lang w:val="en-GB"/>
        </w:rPr>
        <w:t xml:space="preserve"> as a percentage of GDP should have a positive relationship with taxable capacity. It is worth noting that t</w:t>
      </w:r>
      <w:r w:rsidR="00174553" w:rsidRPr="00A31903">
        <w:rPr>
          <w:rFonts w:ascii="Times New Roman" w:hAnsi="Times New Roman" w:cs="Times New Roman"/>
        </w:rPr>
        <w:t>he Ghanaian economy is moving from agrarian to services</w:t>
      </w:r>
      <w:r w:rsidR="00A96826" w:rsidRPr="00A31903">
        <w:rPr>
          <w:rFonts w:ascii="Times New Roman" w:hAnsi="Times New Roman" w:cs="Times New Roman"/>
        </w:rPr>
        <w:t xml:space="preserve"> industry.</w:t>
      </w:r>
      <w:r w:rsidR="00A9265F" w:rsidRPr="00A31903">
        <w:rPr>
          <w:rFonts w:ascii="Times New Roman" w:hAnsi="Times New Roman" w:cs="Times New Roman"/>
        </w:rPr>
        <w:t xml:space="preserve"> </w:t>
      </w:r>
      <w:r w:rsidR="00D06652" w:rsidRPr="00A31903">
        <w:rPr>
          <w:rFonts w:ascii="Times New Roman" w:hAnsi="Times New Roman" w:cs="Times New Roman"/>
        </w:rPr>
        <w:t>The contribution of the agricultural sector to GDP in 2016 was 18.9% whereas that of the services sector was 56.8%. In 2017</w:t>
      </w:r>
      <w:r w:rsidR="00D850A9" w:rsidRPr="00A31903">
        <w:rPr>
          <w:rFonts w:ascii="Times New Roman" w:hAnsi="Times New Roman" w:cs="Times New Roman"/>
        </w:rPr>
        <w:t>,</w:t>
      </w:r>
      <w:r w:rsidR="00D06652" w:rsidRPr="00A31903">
        <w:rPr>
          <w:rFonts w:ascii="Times New Roman" w:hAnsi="Times New Roman" w:cs="Times New Roman"/>
        </w:rPr>
        <w:t xml:space="preserve"> the trend of the services sector exceeding agricultural sector’s contribution to GDP was 55.9% and 18.5% respectively.</w:t>
      </w:r>
    </w:p>
    <w:p w:rsidR="006D33E8" w:rsidRPr="00A31903" w:rsidRDefault="00393383" w:rsidP="00393383">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color w:val="FF0000"/>
        </w:rPr>
        <w:t xml:space="preserve">      </w:t>
      </w:r>
      <w:r w:rsidRPr="00A31903">
        <w:rPr>
          <w:rFonts w:ascii="Times New Roman" w:hAnsi="Times New Roman" w:cs="Times New Roman"/>
        </w:rPr>
        <w:t>The study follows the examples of</w:t>
      </w:r>
      <w:r w:rsidRPr="00A31903">
        <w:rPr>
          <w:rFonts w:ascii="Times New Roman" w:hAnsi="Times New Roman" w:cs="Times New Roman"/>
          <w:color w:val="FF0000"/>
        </w:rPr>
        <w:t xml:space="preserve"> </w:t>
      </w:r>
      <w:r w:rsidRPr="00A31903">
        <w:rPr>
          <w:rFonts w:ascii="Times New Roman" w:hAnsi="Times New Roman" w:cs="Times New Roman"/>
        </w:rPr>
        <w:t>specific single case countri</w:t>
      </w:r>
      <w:r w:rsidR="00245B81" w:rsidRPr="00A31903">
        <w:rPr>
          <w:rFonts w:ascii="Times New Roman" w:hAnsi="Times New Roman" w:cs="Times New Roman"/>
        </w:rPr>
        <w:t xml:space="preserve">es and provinces (see </w:t>
      </w:r>
      <w:proofErr w:type="spellStart"/>
      <w:r w:rsidR="00245B81" w:rsidRPr="00A31903">
        <w:rPr>
          <w:rFonts w:ascii="Times New Roman" w:hAnsi="Times New Roman" w:cs="Times New Roman"/>
        </w:rPr>
        <w:t>Alfirman</w:t>
      </w:r>
      <w:proofErr w:type="spellEnd"/>
      <w:r w:rsidR="00245B81" w:rsidRPr="00A31903">
        <w:rPr>
          <w:rFonts w:ascii="Times New Roman" w:hAnsi="Times New Roman" w:cs="Times New Roman"/>
        </w:rPr>
        <w:t xml:space="preserve">, </w:t>
      </w:r>
      <w:r w:rsidRPr="00A31903">
        <w:rPr>
          <w:rFonts w:ascii="Times New Roman" w:hAnsi="Times New Roman" w:cs="Times New Roman"/>
        </w:rPr>
        <w:t>2003</w:t>
      </w:r>
      <w:r w:rsidR="001F2426" w:rsidRPr="00A31903">
        <w:rPr>
          <w:rFonts w:ascii="Times New Roman" w:hAnsi="Times New Roman" w:cs="Times New Roman"/>
        </w:rPr>
        <w:t xml:space="preserve">; </w:t>
      </w:r>
      <w:proofErr w:type="spellStart"/>
      <w:r w:rsidR="001F2426" w:rsidRPr="00A31903">
        <w:rPr>
          <w:rFonts w:ascii="Times New Roman" w:hAnsi="Times New Roman" w:cs="Times New Roman"/>
        </w:rPr>
        <w:t>Yahyaee</w:t>
      </w:r>
      <w:proofErr w:type="spellEnd"/>
      <w:r w:rsidR="00245B81" w:rsidRPr="00A31903">
        <w:rPr>
          <w:rFonts w:ascii="Times New Roman" w:hAnsi="Times New Roman" w:cs="Times New Roman"/>
        </w:rPr>
        <w:t xml:space="preserve">, </w:t>
      </w:r>
      <w:r w:rsidRPr="00A31903">
        <w:rPr>
          <w:rFonts w:ascii="Times New Roman" w:hAnsi="Times New Roman" w:cs="Times New Roman"/>
        </w:rPr>
        <w:t xml:space="preserve">1991; </w:t>
      </w:r>
      <w:proofErr w:type="spellStart"/>
      <w:r w:rsidRPr="00A31903">
        <w:rPr>
          <w:rFonts w:ascii="Times New Roman" w:hAnsi="Times New Roman" w:cs="Times New Roman"/>
        </w:rPr>
        <w:t>Nik</w:t>
      </w:r>
      <w:r w:rsidR="00245B81" w:rsidRPr="00A31903">
        <w:rPr>
          <w:rFonts w:ascii="Times New Roman" w:hAnsi="Times New Roman" w:cs="Times New Roman"/>
        </w:rPr>
        <w:t>oo</w:t>
      </w:r>
      <w:proofErr w:type="spellEnd"/>
      <w:r w:rsidR="00245B81" w:rsidRPr="00A31903">
        <w:rPr>
          <w:rFonts w:ascii="Times New Roman" w:hAnsi="Times New Roman" w:cs="Times New Roman"/>
        </w:rPr>
        <w:t xml:space="preserve">, </w:t>
      </w:r>
      <w:r w:rsidR="00CA3FCF" w:rsidRPr="00A31903">
        <w:rPr>
          <w:rFonts w:ascii="Times New Roman" w:hAnsi="Times New Roman" w:cs="Times New Roman"/>
        </w:rPr>
        <w:t>1996</w:t>
      </w:r>
      <w:r w:rsidR="001F2426" w:rsidRPr="00A31903">
        <w:rPr>
          <w:rFonts w:ascii="Times New Roman" w:hAnsi="Times New Roman" w:cs="Times New Roman"/>
        </w:rPr>
        <w:t xml:space="preserve">; </w:t>
      </w:r>
      <w:proofErr w:type="spellStart"/>
      <w:r w:rsidR="00CA3FCF" w:rsidRPr="00A31903">
        <w:rPr>
          <w:rFonts w:ascii="Times New Roman" w:hAnsi="Times New Roman" w:cs="Times New Roman"/>
        </w:rPr>
        <w:t>Brafu-Insaidoo</w:t>
      </w:r>
      <w:proofErr w:type="spellEnd"/>
      <w:r w:rsidR="00CA3FCF" w:rsidRPr="00A31903">
        <w:rPr>
          <w:rFonts w:ascii="Times New Roman" w:hAnsi="Times New Roman" w:cs="Times New Roman"/>
        </w:rPr>
        <w:t xml:space="preserve"> </w:t>
      </w:r>
      <w:r w:rsidR="00C12F43" w:rsidRPr="00A31903">
        <w:rPr>
          <w:rFonts w:ascii="Times New Roman" w:hAnsi="Times New Roman" w:cs="Times New Roman"/>
        </w:rPr>
        <w:t>and</w:t>
      </w:r>
      <w:r w:rsidRPr="00A31903">
        <w:rPr>
          <w:rFonts w:ascii="Times New Roman" w:hAnsi="Times New Roman" w:cs="Times New Roman"/>
        </w:rPr>
        <w:t xml:space="preserve"> </w:t>
      </w:r>
      <w:proofErr w:type="spellStart"/>
      <w:r w:rsidRPr="00A31903">
        <w:rPr>
          <w:rFonts w:ascii="Times New Roman" w:hAnsi="Times New Roman" w:cs="Times New Roman"/>
        </w:rPr>
        <w:t>Obeng</w:t>
      </w:r>
      <w:proofErr w:type="spellEnd"/>
      <w:r w:rsidR="00245B81" w:rsidRPr="00A31903">
        <w:rPr>
          <w:rFonts w:ascii="Times New Roman" w:hAnsi="Times New Roman" w:cs="Times New Roman"/>
        </w:rPr>
        <w:t>,</w:t>
      </w:r>
      <w:r w:rsidRPr="00A31903">
        <w:rPr>
          <w:rFonts w:ascii="Times New Roman" w:hAnsi="Times New Roman" w:cs="Times New Roman"/>
        </w:rPr>
        <w:t xml:space="preserve"> </w:t>
      </w:r>
      <w:r w:rsidR="00245B81" w:rsidRPr="00A31903">
        <w:rPr>
          <w:rFonts w:ascii="Times New Roman" w:hAnsi="Times New Roman" w:cs="Times New Roman"/>
        </w:rPr>
        <w:t>2016</w:t>
      </w:r>
      <w:r w:rsidR="001F2426" w:rsidRPr="00A31903">
        <w:rPr>
          <w:rFonts w:ascii="Times New Roman" w:hAnsi="Times New Roman" w:cs="Times New Roman"/>
        </w:rPr>
        <w:t>)</w:t>
      </w:r>
      <w:r w:rsidR="006D33E8" w:rsidRPr="00A31903">
        <w:rPr>
          <w:rFonts w:ascii="Times New Roman" w:hAnsi="Times New Roman" w:cs="Times New Roman"/>
        </w:rPr>
        <w:t xml:space="preserve"> for the estimation of taxable capacity, tax burden and tax effort</w:t>
      </w:r>
      <w:r w:rsidRPr="00A31903">
        <w:rPr>
          <w:rFonts w:ascii="Times New Roman" w:hAnsi="Times New Roman" w:cs="Times New Roman"/>
        </w:rPr>
        <w:t xml:space="preserve">.  </w:t>
      </w:r>
    </w:p>
    <w:p w:rsidR="00393383" w:rsidRPr="00A31903" w:rsidRDefault="006D33E8" w:rsidP="00393383">
      <w:pPr>
        <w:autoSpaceDE w:val="0"/>
        <w:autoSpaceDN w:val="0"/>
        <w:adjustRightInd w:val="0"/>
        <w:spacing w:after="0" w:line="240" w:lineRule="auto"/>
        <w:jc w:val="both"/>
        <w:rPr>
          <w:rFonts w:ascii="TimesNewRomanPSMT" w:hAnsi="TimesNewRomanPSMT" w:cs="TimesNewRomanPSMT"/>
          <w:lang w:val="en-GB"/>
        </w:rPr>
      </w:pPr>
      <w:r w:rsidRPr="00A31903">
        <w:rPr>
          <w:rFonts w:ascii="Times New Roman" w:hAnsi="Times New Roman" w:cs="Times New Roman"/>
        </w:rPr>
        <w:t xml:space="preserve">     </w:t>
      </w:r>
      <w:r w:rsidR="00393383" w:rsidRPr="00A31903">
        <w:rPr>
          <w:rFonts w:ascii="Times New Roman" w:hAnsi="Times New Roman" w:cs="Times New Roman"/>
        </w:rPr>
        <w:t xml:space="preserve"> </w:t>
      </w:r>
      <w:r w:rsidR="006F3902" w:rsidRPr="00A31903">
        <w:rPr>
          <w:rFonts w:ascii="Times New Roman" w:hAnsi="Times New Roman" w:cs="Times New Roman"/>
        </w:rPr>
        <w:t>Firstly,</w:t>
      </w:r>
      <w:r w:rsidR="00393383" w:rsidRPr="00A31903">
        <w:rPr>
          <w:rFonts w:ascii="Times New Roman" w:hAnsi="Times New Roman" w:cs="Times New Roman"/>
        </w:rPr>
        <w:t xml:space="preserve"> the fitted regression model </w:t>
      </w:r>
      <w:proofErr w:type="gramStart"/>
      <w:r w:rsidR="00393383" w:rsidRPr="00A31903">
        <w:rPr>
          <w:rFonts w:ascii="Times New Roman" w:hAnsi="Times New Roman" w:cs="Times New Roman"/>
        </w:rPr>
        <w:t>was used</w:t>
      </w:r>
      <w:proofErr w:type="gramEnd"/>
      <w:r w:rsidR="00393383" w:rsidRPr="00A31903">
        <w:rPr>
          <w:rFonts w:ascii="Times New Roman" w:hAnsi="Times New Roman" w:cs="Times New Roman"/>
        </w:rPr>
        <w:t xml:space="preserve"> and the values of the predictor variables are substituted to get the estimated taxable capacity. </w:t>
      </w:r>
      <w:r w:rsidR="0047070C" w:rsidRPr="00A31903">
        <w:rPr>
          <w:rFonts w:ascii="Times New Roman" w:hAnsi="Times New Roman" w:cs="Times New Roman"/>
        </w:rPr>
        <w:t>Secondly</w:t>
      </w:r>
      <w:r w:rsidR="006F3902" w:rsidRPr="00A31903">
        <w:rPr>
          <w:rFonts w:ascii="Times New Roman" w:hAnsi="Times New Roman" w:cs="Times New Roman"/>
        </w:rPr>
        <w:t xml:space="preserve">, </w:t>
      </w:r>
      <w:r w:rsidR="00393383" w:rsidRPr="00A31903">
        <w:rPr>
          <w:rFonts w:ascii="Times New Roman" w:hAnsi="Times New Roman" w:cs="Times New Roman"/>
        </w:rPr>
        <w:t>the ratio of the actual to t</w:t>
      </w:r>
      <w:r w:rsidRPr="00A31903">
        <w:rPr>
          <w:rFonts w:ascii="Times New Roman" w:hAnsi="Times New Roman" w:cs="Times New Roman"/>
        </w:rPr>
        <w:t xml:space="preserve">he predicted tax ratios </w:t>
      </w:r>
      <w:proofErr w:type="gramStart"/>
      <w:r w:rsidRPr="00A31903">
        <w:rPr>
          <w:rFonts w:ascii="Times New Roman" w:hAnsi="Times New Roman" w:cs="Times New Roman"/>
        </w:rPr>
        <w:t xml:space="preserve">is </w:t>
      </w:r>
      <w:r w:rsidR="00393383" w:rsidRPr="00A31903">
        <w:rPr>
          <w:rFonts w:ascii="Times New Roman" w:hAnsi="Times New Roman" w:cs="Times New Roman"/>
        </w:rPr>
        <w:t>computed</w:t>
      </w:r>
      <w:proofErr w:type="gramEnd"/>
      <w:r w:rsidR="00393383" w:rsidRPr="00A31903">
        <w:rPr>
          <w:rFonts w:ascii="Times New Roman" w:hAnsi="Times New Roman" w:cs="Times New Roman"/>
        </w:rPr>
        <w:t xml:space="preserve"> as an index of tax effort. With tax burden, the study adopt</w:t>
      </w:r>
      <w:r w:rsidR="00CA3FCF" w:rsidRPr="00A31903">
        <w:rPr>
          <w:rFonts w:ascii="Times New Roman" w:hAnsi="Times New Roman" w:cs="Times New Roman"/>
        </w:rPr>
        <w:t xml:space="preserve">ed the approach used by Baer </w:t>
      </w:r>
      <w:r w:rsidR="00C12F43" w:rsidRPr="00A31903">
        <w:rPr>
          <w:rFonts w:ascii="Times New Roman" w:hAnsi="Times New Roman" w:cs="Times New Roman"/>
        </w:rPr>
        <w:t>and</w:t>
      </w:r>
      <w:r w:rsidR="00CA3FCF" w:rsidRPr="00A31903">
        <w:rPr>
          <w:rFonts w:ascii="Times New Roman" w:hAnsi="Times New Roman" w:cs="Times New Roman"/>
        </w:rPr>
        <w:t xml:space="preserve"> </w:t>
      </w:r>
      <w:proofErr w:type="spellStart"/>
      <w:r w:rsidR="00CA3FCF" w:rsidRPr="00A31903">
        <w:rPr>
          <w:rFonts w:ascii="Times New Roman" w:hAnsi="Times New Roman" w:cs="Times New Roman"/>
        </w:rPr>
        <w:t>Galvao</w:t>
      </w:r>
      <w:proofErr w:type="spellEnd"/>
      <w:r w:rsidR="00CA3FCF" w:rsidRPr="00A31903">
        <w:rPr>
          <w:rFonts w:ascii="Times New Roman" w:hAnsi="Times New Roman" w:cs="Times New Roman"/>
        </w:rPr>
        <w:t xml:space="preserve"> (2005</w:t>
      </w:r>
      <w:r w:rsidR="00393383" w:rsidRPr="00A31903">
        <w:rPr>
          <w:rFonts w:ascii="Times New Roman" w:hAnsi="Times New Roman" w:cs="Times New Roman"/>
        </w:rPr>
        <w:t xml:space="preserve">) </w:t>
      </w:r>
      <w:r w:rsidRPr="00A31903">
        <w:rPr>
          <w:rFonts w:ascii="Times New Roman" w:hAnsi="Times New Roman" w:cs="Times New Roman"/>
        </w:rPr>
        <w:t xml:space="preserve">where the overall tax burden </w:t>
      </w:r>
      <w:proofErr w:type="gramStart"/>
      <w:r w:rsidRPr="00A31903">
        <w:rPr>
          <w:rFonts w:ascii="Times New Roman" w:hAnsi="Times New Roman" w:cs="Times New Roman"/>
        </w:rPr>
        <w:t>was estimated</w:t>
      </w:r>
      <w:proofErr w:type="gramEnd"/>
      <w:r w:rsidRPr="00A31903">
        <w:rPr>
          <w:rFonts w:ascii="Times New Roman" w:hAnsi="Times New Roman" w:cs="Times New Roman"/>
        </w:rPr>
        <w:t xml:space="preserve"> as the tax/GDP ratio.</w:t>
      </w:r>
      <w:r w:rsidR="00393383" w:rsidRPr="00A31903">
        <w:rPr>
          <w:rFonts w:ascii="Times New Roman" w:hAnsi="Times New Roman" w:cs="Times New Roman"/>
        </w:rPr>
        <w:t xml:space="preserve"> </w:t>
      </w:r>
      <w:r w:rsidRPr="00A31903">
        <w:rPr>
          <w:rFonts w:ascii="Times New Roman" w:hAnsi="Times New Roman" w:cs="Times New Roman"/>
        </w:rPr>
        <w:t>Finally, t</w:t>
      </w:r>
      <w:r w:rsidR="00393383" w:rsidRPr="00A31903">
        <w:rPr>
          <w:rFonts w:ascii="Times New Roman" w:hAnsi="Times New Roman" w:cs="Times New Roman"/>
        </w:rPr>
        <w:t>he study</w:t>
      </w:r>
      <w:r w:rsidR="006F3902" w:rsidRPr="00A31903">
        <w:rPr>
          <w:rFonts w:ascii="Times New Roman" w:hAnsi="Times New Roman" w:cs="Times New Roman"/>
        </w:rPr>
        <w:t xml:space="preserve"> </w:t>
      </w:r>
      <w:r w:rsidR="00393383" w:rsidRPr="00A31903">
        <w:rPr>
          <w:rFonts w:ascii="Times New Roman" w:hAnsi="Times New Roman" w:cs="Times New Roman"/>
        </w:rPr>
        <w:t xml:space="preserve">segments the </w:t>
      </w:r>
      <w:r w:rsidR="0047070C" w:rsidRPr="00A31903">
        <w:rPr>
          <w:rFonts w:ascii="Times New Roman" w:hAnsi="Times New Roman" w:cs="Times New Roman"/>
        </w:rPr>
        <w:t>empirical</w:t>
      </w:r>
      <w:r w:rsidR="00393383" w:rsidRPr="00A31903">
        <w:rPr>
          <w:rFonts w:ascii="Times New Roman" w:hAnsi="Times New Roman" w:cs="Times New Roman"/>
        </w:rPr>
        <w:t xml:space="preserve"> results into two significant periods in Gh</w:t>
      </w:r>
      <w:r w:rsidRPr="00A31903">
        <w:rPr>
          <w:rFonts w:ascii="Times New Roman" w:hAnsi="Times New Roman" w:cs="Times New Roman"/>
        </w:rPr>
        <w:t>ana’s tax administration era</w:t>
      </w:r>
      <w:r w:rsidR="00393383" w:rsidRPr="00A31903">
        <w:rPr>
          <w:rFonts w:ascii="Times New Roman" w:hAnsi="Times New Roman" w:cs="Times New Roman"/>
        </w:rPr>
        <w:t xml:space="preserve">: Pre-tax reform period (1970 to 1984) and post-tax reform period (1985 to 2015). </w:t>
      </w:r>
    </w:p>
    <w:p w:rsidR="00D848DD" w:rsidRPr="00A31903" w:rsidRDefault="00D848DD" w:rsidP="00D848DD">
      <w:pPr>
        <w:autoSpaceDE w:val="0"/>
        <w:autoSpaceDN w:val="0"/>
        <w:adjustRightInd w:val="0"/>
        <w:spacing w:after="0" w:line="240" w:lineRule="auto"/>
        <w:jc w:val="both"/>
        <w:rPr>
          <w:rFonts w:ascii="Times New Roman" w:hAnsi="Times New Roman" w:cs="Times New Roman"/>
        </w:rPr>
      </w:pPr>
    </w:p>
    <w:p w:rsidR="00AA34B4" w:rsidRPr="00A31903" w:rsidRDefault="005C75E6" w:rsidP="00C722F0">
      <w:pPr>
        <w:autoSpaceDE w:val="0"/>
        <w:autoSpaceDN w:val="0"/>
        <w:adjustRightInd w:val="0"/>
        <w:spacing w:after="0" w:line="240" w:lineRule="auto"/>
        <w:jc w:val="both"/>
        <w:rPr>
          <w:rFonts w:ascii="Times New Roman" w:hAnsi="Times New Roman" w:cs="Times New Roman"/>
          <w:b/>
          <w:bCs/>
          <w:i/>
        </w:rPr>
      </w:pPr>
      <w:r w:rsidRPr="00A31903">
        <w:rPr>
          <w:rFonts w:ascii="Times New Roman" w:hAnsi="Times New Roman" w:cs="Times New Roman"/>
          <w:b/>
          <w:bCs/>
          <w:i/>
        </w:rPr>
        <w:t>3.2</w:t>
      </w:r>
      <w:r w:rsidR="00A27D70" w:rsidRPr="00A31903">
        <w:rPr>
          <w:rFonts w:ascii="Times New Roman" w:hAnsi="Times New Roman" w:cs="Times New Roman"/>
          <w:b/>
          <w:bCs/>
          <w:i/>
        </w:rPr>
        <w:t xml:space="preserve"> </w:t>
      </w:r>
      <w:r w:rsidRPr="00A31903">
        <w:rPr>
          <w:rFonts w:ascii="Times New Roman" w:hAnsi="Times New Roman" w:cs="Times New Roman"/>
          <w:b/>
          <w:bCs/>
          <w:i/>
        </w:rPr>
        <w:t>Estimation techniques</w:t>
      </w:r>
    </w:p>
    <w:p w:rsidR="00567F0E" w:rsidRPr="00A31903" w:rsidRDefault="00567F0E" w:rsidP="00B72A71">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color w:val="FF0000"/>
        </w:rPr>
        <w:t xml:space="preserve">     </w:t>
      </w:r>
      <w:r w:rsidR="0021675C" w:rsidRPr="00A31903">
        <w:rPr>
          <w:rFonts w:ascii="Times New Roman" w:hAnsi="Times New Roman" w:cs="Times New Roman"/>
        </w:rPr>
        <w:t>Enders (1995)</w:t>
      </w:r>
      <w:r w:rsidR="0035782D" w:rsidRPr="00A31903">
        <w:rPr>
          <w:rFonts w:ascii="Times New Roman" w:hAnsi="Times New Roman" w:cs="Times New Roman"/>
        </w:rPr>
        <w:t xml:space="preserve"> </w:t>
      </w:r>
      <w:r w:rsidRPr="00A31903">
        <w:rPr>
          <w:rFonts w:ascii="Times New Roman" w:hAnsi="Times New Roman" w:cs="Times New Roman"/>
        </w:rPr>
        <w:t xml:space="preserve">observed that most macroeconomic time series data are </w:t>
      </w:r>
      <w:r w:rsidR="0021675C" w:rsidRPr="00A31903">
        <w:rPr>
          <w:rFonts w:ascii="Times New Roman" w:hAnsi="Times New Roman" w:cs="Times New Roman"/>
        </w:rPr>
        <w:t xml:space="preserve">usually non-stationary and </w:t>
      </w:r>
      <w:r w:rsidRPr="00A31903">
        <w:rPr>
          <w:rFonts w:ascii="Times New Roman" w:hAnsi="Times New Roman" w:cs="Times New Roman"/>
        </w:rPr>
        <w:t xml:space="preserve">do not meet the </w:t>
      </w:r>
      <w:r w:rsidR="0021675C" w:rsidRPr="00A31903">
        <w:rPr>
          <w:rFonts w:ascii="Times New Roman" w:hAnsi="Times New Roman" w:cs="Times New Roman"/>
        </w:rPr>
        <w:t>standards</w:t>
      </w:r>
      <w:r w:rsidRPr="00A31903">
        <w:rPr>
          <w:rFonts w:ascii="Times New Roman" w:hAnsi="Times New Roman" w:cs="Times New Roman"/>
        </w:rPr>
        <w:t xml:space="preserve"> for OLS estimation. </w:t>
      </w:r>
      <w:r w:rsidR="0021675C" w:rsidRPr="00A31903">
        <w:rPr>
          <w:rFonts w:ascii="Times New Roman" w:hAnsi="Times New Roman" w:cs="Times New Roman"/>
        </w:rPr>
        <w:t xml:space="preserve">Consequently, </w:t>
      </w:r>
      <w:r w:rsidRPr="00A31903">
        <w:rPr>
          <w:rFonts w:ascii="Times New Roman" w:hAnsi="Times New Roman" w:cs="Times New Roman"/>
        </w:rPr>
        <w:t xml:space="preserve">the </w:t>
      </w:r>
      <w:r w:rsidR="0021675C" w:rsidRPr="00A31903">
        <w:rPr>
          <w:rFonts w:ascii="Times New Roman" w:hAnsi="Times New Roman" w:cs="Times New Roman"/>
        </w:rPr>
        <w:t>possible</w:t>
      </w:r>
      <w:r w:rsidRPr="00A31903">
        <w:rPr>
          <w:rFonts w:ascii="Times New Roman" w:hAnsi="Times New Roman" w:cs="Times New Roman"/>
        </w:rPr>
        <w:t xml:space="preserve"> existence of unit roots in the variables could lead to spurious estimates (Harvey, 1991). The appropriate way of dealing with such unit root problems is to determine if each variable has the same order of integration.</w:t>
      </w:r>
      <w:r w:rsidR="00174553" w:rsidRPr="00A31903">
        <w:rPr>
          <w:rFonts w:ascii="Times New Roman" w:hAnsi="Times New Roman" w:cs="Times New Roman"/>
        </w:rPr>
        <w:t xml:space="preserve"> Hence, </w:t>
      </w:r>
      <w:r w:rsidR="00B72A71" w:rsidRPr="00A31903">
        <w:rPr>
          <w:rFonts w:ascii="Times New Roman" w:hAnsi="Times New Roman" w:cs="Times New Roman"/>
        </w:rPr>
        <w:t xml:space="preserve">we </w:t>
      </w:r>
      <w:r w:rsidR="00B72A71" w:rsidRPr="00A31903">
        <w:rPr>
          <w:rFonts w:ascii="Times New Roman" w:hAnsi="Times New Roman" w:cs="Times New Roman"/>
        </w:rPr>
        <w:lastRenderedPageBreak/>
        <w:t xml:space="preserve">conducted </w:t>
      </w:r>
      <w:proofErr w:type="spellStart"/>
      <w:r w:rsidR="00B72A71" w:rsidRPr="00A31903">
        <w:rPr>
          <w:rFonts w:ascii="Times New Roman" w:hAnsi="Times New Roman" w:cs="Times New Roman"/>
        </w:rPr>
        <w:t>stationarity</w:t>
      </w:r>
      <w:proofErr w:type="spellEnd"/>
      <w:r w:rsidR="00B72A71" w:rsidRPr="00A31903">
        <w:rPr>
          <w:rFonts w:ascii="Times New Roman" w:hAnsi="Times New Roman" w:cs="Times New Roman"/>
        </w:rPr>
        <w:t xml:space="preserve"> tests </w:t>
      </w:r>
      <w:r w:rsidRPr="00A31903">
        <w:rPr>
          <w:rFonts w:ascii="Times New Roman" w:hAnsi="Times New Roman" w:cs="Times New Roman"/>
        </w:rPr>
        <w:t>using the Augmented Dickey-Fuller (ADF)</w:t>
      </w:r>
      <w:r w:rsidR="00174553" w:rsidRPr="00A31903">
        <w:rPr>
          <w:rFonts w:ascii="Times New Roman" w:hAnsi="Times New Roman" w:cs="Times New Roman"/>
        </w:rPr>
        <w:t xml:space="preserve"> and Phillips-Peron (PP)</w:t>
      </w:r>
      <w:r w:rsidR="00B72A71" w:rsidRPr="00A31903">
        <w:rPr>
          <w:rFonts w:ascii="Times New Roman" w:hAnsi="Times New Roman" w:cs="Times New Roman"/>
        </w:rPr>
        <w:t xml:space="preserve"> test statistics</w:t>
      </w:r>
      <w:r w:rsidR="001E4731" w:rsidRPr="00A31903">
        <w:rPr>
          <w:rFonts w:ascii="Times New Roman" w:hAnsi="Times New Roman" w:cs="Times New Roman"/>
        </w:rPr>
        <w:t>.  According to Dickey and</w:t>
      </w:r>
      <w:r w:rsidRPr="00A31903">
        <w:rPr>
          <w:rFonts w:ascii="Times New Roman" w:hAnsi="Times New Roman" w:cs="Times New Roman"/>
        </w:rPr>
        <w:t xml:space="preserve"> Fuller (1979), employing the unit root test helps to determine whether </w:t>
      </w:r>
      <w:r w:rsidR="00B72A71" w:rsidRPr="00A31903">
        <w:rPr>
          <w:rFonts w:ascii="Times New Roman" w:hAnsi="Times New Roman" w:cs="Times New Roman"/>
        </w:rPr>
        <w:t xml:space="preserve">the variables are stationary in </w:t>
      </w:r>
      <w:r w:rsidRPr="00A31903">
        <w:rPr>
          <w:rFonts w:ascii="Times New Roman" w:hAnsi="Times New Roman" w:cs="Times New Roman"/>
        </w:rPr>
        <w:t xml:space="preserve">levels </w:t>
      </w:r>
      <w:r w:rsidR="00B72A71" w:rsidRPr="00A31903">
        <w:rPr>
          <w:rFonts w:ascii="Times New Roman" w:hAnsi="Times New Roman" w:cs="Times New Roman"/>
        </w:rPr>
        <w:t>or at their first difference</w:t>
      </w:r>
      <w:r w:rsidR="0047070C" w:rsidRPr="00A31903">
        <w:rPr>
          <w:rFonts w:ascii="Times New Roman" w:hAnsi="Times New Roman" w:cs="Times New Roman"/>
        </w:rPr>
        <w:t>. We</w:t>
      </w:r>
      <w:r w:rsidR="00B72A71" w:rsidRPr="00A31903">
        <w:rPr>
          <w:rFonts w:ascii="Times New Roman" w:hAnsi="Times New Roman" w:cs="Times New Roman"/>
        </w:rPr>
        <w:t xml:space="preserve"> then proceed</w:t>
      </w:r>
      <w:r w:rsidRPr="00A31903">
        <w:rPr>
          <w:rFonts w:ascii="Times New Roman" w:hAnsi="Times New Roman" w:cs="Times New Roman"/>
        </w:rPr>
        <w:t xml:space="preserve"> to determine their order of integration at which the series becomes stationary. </w:t>
      </w:r>
      <w:r w:rsidR="005106DC" w:rsidRPr="00A31903">
        <w:rPr>
          <w:rFonts w:ascii="Times New Roman" w:hAnsi="Times New Roman" w:cs="Times New Roman"/>
        </w:rPr>
        <w:t>The PP (</w:t>
      </w:r>
      <w:r w:rsidR="00DA2CBB" w:rsidRPr="00A31903">
        <w:rPr>
          <w:rFonts w:ascii="Times New Roman" w:hAnsi="Times New Roman" w:cs="Times New Roman"/>
        </w:rPr>
        <w:t xml:space="preserve">Phillips </w:t>
      </w:r>
      <w:r w:rsidR="001E4731" w:rsidRPr="00A31903">
        <w:rPr>
          <w:rFonts w:ascii="Times New Roman" w:hAnsi="Times New Roman" w:cs="Times New Roman"/>
        </w:rPr>
        <w:t>and</w:t>
      </w:r>
      <w:r w:rsidR="005106DC" w:rsidRPr="00A31903">
        <w:rPr>
          <w:rFonts w:ascii="Times New Roman" w:hAnsi="Times New Roman" w:cs="Times New Roman"/>
        </w:rPr>
        <w:t xml:space="preserve"> </w:t>
      </w:r>
      <w:proofErr w:type="spellStart"/>
      <w:r w:rsidR="005106DC" w:rsidRPr="00A31903">
        <w:rPr>
          <w:rFonts w:ascii="Times New Roman" w:hAnsi="Times New Roman" w:cs="Times New Roman"/>
        </w:rPr>
        <w:t>Perron</w:t>
      </w:r>
      <w:proofErr w:type="spellEnd"/>
      <w:r w:rsidR="005106DC" w:rsidRPr="00A31903">
        <w:rPr>
          <w:rFonts w:ascii="Times New Roman" w:hAnsi="Times New Roman" w:cs="Times New Roman"/>
        </w:rPr>
        <w:t>, 1988)</w:t>
      </w:r>
      <w:r w:rsidR="00123761" w:rsidRPr="00A31903">
        <w:rPr>
          <w:rFonts w:ascii="Times New Roman" w:hAnsi="Times New Roman" w:cs="Times New Roman"/>
        </w:rPr>
        <w:t xml:space="preserve"> test</w:t>
      </w:r>
      <w:r w:rsidR="005106DC" w:rsidRPr="00A31903">
        <w:rPr>
          <w:rFonts w:ascii="Times New Roman" w:hAnsi="Times New Roman" w:cs="Times New Roman"/>
        </w:rPr>
        <w:t xml:space="preserve"> </w:t>
      </w:r>
      <w:proofErr w:type="gramStart"/>
      <w:r w:rsidR="00123761" w:rsidRPr="00A31903">
        <w:rPr>
          <w:rFonts w:ascii="Times New Roman" w:hAnsi="Times New Roman" w:cs="Times New Roman"/>
        </w:rPr>
        <w:t>is</w:t>
      </w:r>
      <w:r w:rsidR="005106DC" w:rsidRPr="00A31903">
        <w:rPr>
          <w:rFonts w:ascii="Times New Roman" w:hAnsi="Times New Roman" w:cs="Times New Roman"/>
        </w:rPr>
        <w:t xml:space="preserve"> applied</w:t>
      </w:r>
      <w:proofErr w:type="gramEnd"/>
      <w:r w:rsidR="005106DC" w:rsidRPr="00A31903">
        <w:rPr>
          <w:rFonts w:ascii="Times New Roman" w:hAnsi="Times New Roman" w:cs="Times New Roman"/>
        </w:rPr>
        <w:t xml:space="preserve"> as an alternative to ADF unit root test because it computes a residual variance tha</w:t>
      </w:r>
      <w:r w:rsidR="0035337A" w:rsidRPr="00A31903">
        <w:rPr>
          <w:rFonts w:ascii="Times New Roman" w:hAnsi="Times New Roman" w:cs="Times New Roman"/>
        </w:rPr>
        <w:t>t is robust to auto-correlation.</w:t>
      </w:r>
    </w:p>
    <w:p w:rsidR="00567F0E" w:rsidRPr="00A31903" w:rsidRDefault="00567F0E" w:rsidP="00B72A71">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Table I</w:t>
      </w:r>
      <w:r w:rsidR="004411B8" w:rsidRPr="00A31903">
        <w:rPr>
          <w:rFonts w:ascii="Times New Roman" w:hAnsi="Times New Roman" w:cs="Times New Roman"/>
        </w:rPr>
        <w:t>I</w:t>
      </w:r>
      <w:r w:rsidRPr="00A31903">
        <w:rPr>
          <w:rFonts w:ascii="Times New Roman" w:hAnsi="Times New Roman" w:cs="Times New Roman"/>
        </w:rPr>
        <w:t xml:space="preserve"> shows the results of the </w:t>
      </w:r>
      <w:proofErr w:type="spellStart"/>
      <w:r w:rsidRPr="00A31903">
        <w:rPr>
          <w:rFonts w:ascii="Times New Roman" w:hAnsi="Times New Roman" w:cs="Times New Roman"/>
        </w:rPr>
        <w:t>stationa</w:t>
      </w:r>
      <w:r w:rsidR="00F621B2" w:rsidRPr="00A31903">
        <w:rPr>
          <w:rFonts w:ascii="Times New Roman" w:hAnsi="Times New Roman" w:cs="Times New Roman"/>
        </w:rPr>
        <w:t>rity</w:t>
      </w:r>
      <w:proofErr w:type="spellEnd"/>
      <w:r w:rsidR="00F621B2" w:rsidRPr="00A31903">
        <w:rPr>
          <w:rFonts w:ascii="Times New Roman" w:hAnsi="Times New Roman" w:cs="Times New Roman"/>
        </w:rPr>
        <w:t xml:space="preserve"> tests in levels and </w:t>
      </w:r>
      <w:r w:rsidR="00896074" w:rsidRPr="00A31903">
        <w:rPr>
          <w:rFonts w:ascii="Times New Roman" w:hAnsi="Times New Roman" w:cs="Times New Roman"/>
        </w:rPr>
        <w:t xml:space="preserve">Table III displays </w:t>
      </w:r>
      <w:r w:rsidR="00F621B2" w:rsidRPr="00A31903">
        <w:rPr>
          <w:rFonts w:ascii="Times New Roman" w:hAnsi="Times New Roman" w:cs="Times New Roman"/>
        </w:rPr>
        <w:t>first</w:t>
      </w:r>
      <w:r w:rsidRPr="00A31903">
        <w:rPr>
          <w:rFonts w:ascii="Times New Roman" w:hAnsi="Times New Roman" w:cs="Times New Roman"/>
        </w:rPr>
        <w:t xml:space="preserve"> differences. The results indicated that </w:t>
      </w:r>
      <w:r w:rsidR="00B72A71" w:rsidRPr="00A31903">
        <w:rPr>
          <w:rFonts w:ascii="Times New Roman" w:hAnsi="Times New Roman" w:cs="Times New Roman"/>
        </w:rPr>
        <w:t xml:space="preserve">INFL, POPG and GDPG became stationary at the levels while </w:t>
      </w:r>
      <w:r w:rsidRPr="00A31903">
        <w:rPr>
          <w:rFonts w:ascii="Times New Roman" w:hAnsi="Times New Roman" w:cs="Times New Roman"/>
        </w:rPr>
        <w:t xml:space="preserve">the </w:t>
      </w:r>
      <w:r w:rsidR="00B72A71" w:rsidRPr="00A31903">
        <w:rPr>
          <w:rFonts w:ascii="Times New Roman" w:hAnsi="Times New Roman" w:cs="Times New Roman"/>
        </w:rPr>
        <w:t xml:space="preserve">rest of the </w:t>
      </w:r>
      <w:r w:rsidRPr="00A31903">
        <w:rPr>
          <w:rFonts w:ascii="Times New Roman" w:hAnsi="Times New Roman" w:cs="Times New Roman"/>
        </w:rPr>
        <w:t xml:space="preserve">variables became stationary after first differencing. </w:t>
      </w:r>
    </w:p>
    <w:p w:rsidR="00A31903" w:rsidRDefault="00A31903" w:rsidP="00B72A71">
      <w:pPr>
        <w:rPr>
          <w:rFonts w:ascii="Times New Roman" w:hAnsi="Times New Roman" w:cs="Times New Roman"/>
          <w:b/>
        </w:rPr>
      </w:pPr>
    </w:p>
    <w:p w:rsidR="00A67249" w:rsidRDefault="00A67249" w:rsidP="00B72A71">
      <w:pPr>
        <w:rPr>
          <w:rFonts w:ascii="Times New Roman" w:hAnsi="Times New Roman" w:cs="Times New Roman"/>
          <w:b/>
        </w:rPr>
      </w:pPr>
    </w:p>
    <w:p w:rsidR="00A67249" w:rsidRDefault="00A67249" w:rsidP="00B72A71">
      <w:pPr>
        <w:rPr>
          <w:rFonts w:ascii="Times New Roman" w:hAnsi="Times New Roman" w:cs="Times New Roman"/>
          <w:b/>
        </w:rPr>
      </w:pPr>
    </w:p>
    <w:p w:rsidR="00B72A71" w:rsidRPr="00A31903" w:rsidRDefault="00B72A71" w:rsidP="00B72A71">
      <w:pPr>
        <w:rPr>
          <w:rFonts w:ascii="Times New Roman" w:eastAsia="Times New Roman" w:hAnsi="Times New Roman" w:cs="Times New Roman"/>
          <w:b/>
          <w:bCs/>
          <w:lang w:eastAsia="en-GB"/>
        </w:rPr>
      </w:pPr>
      <w:r w:rsidRPr="00A31903">
        <w:rPr>
          <w:rFonts w:ascii="Times New Roman" w:hAnsi="Times New Roman" w:cs="Times New Roman"/>
          <w:b/>
        </w:rPr>
        <w:t>Table I</w:t>
      </w:r>
      <w:r w:rsidR="00E47858" w:rsidRPr="00A31903">
        <w:rPr>
          <w:rFonts w:ascii="Times New Roman" w:hAnsi="Times New Roman" w:cs="Times New Roman"/>
          <w:b/>
        </w:rPr>
        <w:t>I</w:t>
      </w:r>
      <w:r w:rsidRPr="00A31903">
        <w:rPr>
          <w:rFonts w:ascii="Times New Roman" w:hAnsi="Times New Roman" w:cs="Times New Roman"/>
          <w:b/>
        </w:rPr>
        <w:t>:</w:t>
      </w:r>
      <w:r w:rsidRPr="00A31903">
        <w:rPr>
          <w:b/>
          <w:bCs/>
        </w:rPr>
        <w:t xml:space="preserve"> </w:t>
      </w:r>
      <w:r w:rsidRPr="00A31903">
        <w:rPr>
          <w:rFonts w:ascii="Times New Roman" w:hAnsi="Times New Roman" w:cs="Times New Roman"/>
          <w:b/>
          <w:bCs/>
        </w:rPr>
        <w:t>U</w:t>
      </w:r>
      <w:r w:rsidRPr="00A31903">
        <w:rPr>
          <w:rFonts w:ascii="Times New Roman" w:eastAsia="Times New Roman" w:hAnsi="Times New Roman" w:cs="Times New Roman"/>
          <w:b/>
          <w:bCs/>
          <w:lang w:eastAsia="en-GB"/>
        </w:rPr>
        <w:t>nit root test results at levels</w:t>
      </w:r>
    </w:p>
    <w:tbl>
      <w:tblPr>
        <w:tblW w:w="9353" w:type="dxa"/>
        <w:tblInd w:w="93" w:type="dxa"/>
        <w:tblLook w:val="04A0" w:firstRow="1" w:lastRow="0" w:firstColumn="1" w:lastColumn="0" w:noHBand="0" w:noVBand="1"/>
      </w:tblPr>
      <w:tblGrid>
        <w:gridCol w:w="52"/>
        <w:gridCol w:w="1576"/>
        <w:gridCol w:w="743"/>
        <w:gridCol w:w="845"/>
        <w:gridCol w:w="1460"/>
        <w:gridCol w:w="1350"/>
        <w:gridCol w:w="390"/>
        <w:gridCol w:w="1030"/>
        <w:gridCol w:w="1907"/>
      </w:tblGrid>
      <w:tr w:rsidR="00B72A71" w:rsidRPr="00A31903" w:rsidTr="008549AE">
        <w:trPr>
          <w:trHeight w:val="290"/>
        </w:trPr>
        <w:tc>
          <w:tcPr>
            <w:tcW w:w="1628" w:type="dxa"/>
            <w:gridSpan w:val="2"/>
            <w:vMerge w:val="restart"/>
            <w:tcBorders>
              <w:top w:val="single" w:sz="4" w:space="0" w:color="000000"/>
              <w:left w:val="nil"/>
              <w:bottom w:val="single" w:sz="4" w:space="0" w:color="000000"/>
              <w:right w:val="nil"/>
            </w:tcBorders>
            <w:shd w:val="clear" w:color="auto" w:fill="auto"/>
            <w:noWrap/>
            <w:vAlign w:val="bottom"/>
            <w:hideMark/>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 xml:space="preserve">Variable </w:t>
            </w:r>
          </w:p>
        </w:tc>
        <w:tc>
          <w:tcPr>
            <w:tcW w:w="4398" w:type="dxa"/>
            <w:gridSpan w:val="4"/>
            <w:tcBorders>
              <w:top w:val="single" w:sz="4" w:space="0" w:color="000000"/>
              <w:left w:val="nil"/>
              <w:bottom w:val="nil"/>
              <w:right w:val="nil"/>
            </w:tcBorders>
            <w:shd w:val="clear" w:color="auto" w:fill="auto"/>
            <w:noWrap/>
            <w:vAlign w:val="bottom"/>
            <w:hideMark/>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Critical values**</w:t>
            </w:r>
          </w:p>
        </w:tc>
        <w:tc>
          <w:tcPr>
            <w:tcW w:w="3327" w:type="dxa"/>
            <w:gridSpan w:val="3"/>
            <w:tcBorders>
              <w:top w:val="single" w:sz="4" w:space="0" w:color="000000"/>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Level</w:t>
            </w:r>
          </w:p>
        </w:tc>
      </w:tr>
      <w:tr w:rsidR="00B72A71" w:rsidRPr="00A31903" w:rsidTr="008549AE">
        <w:trPr>
          <w:trHeight w:val="234"/>
        </w:trPr>
        <w:tc>
          <w:tcPr>
            <w:tcW w:w="1628" w:type="dxa"/>
            <w:gridSpan w:val="2"/>
            <w:vMerge/>
            <w:tcBorders>
              <w:top w:val="nil"/>
              <w:left w:val="nil"/>
              <w:bottom w:val="single" w:sz="4" w:space="0" w:color="000000"/>
              <w:right w:val="nil"/>
            </w:tcBorders>
            <w:vAlign w:val="center"/>
            <w:hideMark/>
          </w:tcPr>
          <w:p w:rsidR="00B72A71" w:rsidRPr="00A31903" w:rsidRDefault="00B72A71" w:rsidP="008549AE">
            <w:pPr>
              <w:rPr>
                <w:rFonts w:ascii="Times New Roman" w:eastAsia="Times New Roman" w:hAnsi="Times New Roman" w:cs="Times New Roman"/>
                <w:lang w:eastAsia="en-GB"/>
              </w:rPr>
            </w:pPr>
          </w:p>
        </w:tc>
        <w:tc>
          <w:tcPr>
            <w:tcW w:w="1588" w:type="dxa"/>
            <w:gridSpan w:val="2"/>
            <w:tcBorders>
              <w:top w:val="nil"/>
              <w:left w:val="nil"/>
              <w:bottom w:val="single" w:sz="4" w:space="0" w:color="000000"/>
              <w:right w:val="nil"/>
            </w:tcBorders>
            <w:shd w:val="clear" w:color="auto" w:fill="auto"/>
            <w:vAlign w:val="bottom"/>
            <w:hideMark/>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1%</w:t>
            </w:r>
          </w:p>
        </w:tc>
        <w:tc>
          <w:tcPr>
            <w:tcW w:w="1460" w:type="dxa"/>
            <w:tcBorders>
              <w:top w:val="nil"/>
              <w:left w:val="nil"/>
              <w:bottom w:val="single" w:sz="4" w:space="0" w:color="000000"/>
              <w:right w:val="nil"/>
            </w:tcBorders>
            <w:shd w:val="clear" w:color="auto" w:fill="auto"/>
            <w:vAlign w:val="bottom"/>
            <w:hideMark/>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5%</w:t>
            </w:r>
          </w:p>
        </w:tc>
        <w:tc>
          <w:tcPr>
            <w:tcW w:w="1350" w:type="dxa"/>
            <w:tcBorders>
              <w:top w:val="nil"/>
              <w:left w:val="nil"/>
              <w:bottom w:val="single" w:sz="4" w:space="0" w:color="000000"/>
              <w:right w:val="nil"/>
            </w:tcBorders>
            <w:shd w:val="clear" w:color="auto" w:fill="auto"/>
            <w:vAlign w:val="bottom"/>
            <w:hideMark/>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10%</w:t>
            </w:r>
          </w:p>
        </w:tc>
        <w:tc>
          <w:tcPr>
            <w:tcW w:w="1420" w:type="dxa"/>
            <w:gridSpan w:val="2"/>
            <w:tcBorders>
              <w:top w:val="nil"/>
              <w:left w:val="nil"/>
              <w:bottom w:val="single" w:sz="4" w:space="0" w:color="000000"/>
              <w:right w:val="nil"/>
            </w:tcBorders>
            <w:shd w:val="clear" w:color="auto" w:fill="auto"/>
            <w:vAlign w:val="bottom"/>
            <w:hideMark/>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 xml:space="preserve"> ADF test statistic</w:t>
            </w:r>
          </w:p>
        </w:tc>
        <w:tc>
          <w:tcPr>
            <w:tcW w:w="1907" w:type="dxa"/>
            <w:tcBorders>
              <w:top w:val="nil"/>
              <w:left w:val="nil"/>
              <w:bottom w:val="single" w:sz="4" w:space="0" w:color="000000"/>
              <w:right w:val="nil"/>
            </w:tcBorders>
            <w:shd w:val="clear" w:color="auto" w:fill="auto"/>
            <w:vAlign w:val="bottom"/>
            <w:hideMark/>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PP test statistic</w:t>
            </w:r>
          </w:p>
        </w:tc>
      </w:tr>
      <w:tr w:rsidR="00B72A71" w:rsidRPr="00A31903" w:rsidTr="008549AE">
        <w:trPr>
          <w:trHeight w:val="290"/>
        </w:trPr>
        <w:tc>
          <w:tcPr>
            <w:tcW w:w="1628" w:type="dxa"/>
            <w:gridSpan w:val="2"/>
            <w:tcBorders>
              <w:top w:val="single" w:sz="4" w:space="0" w:color="000000"/>
              <w:left w:val="nil"/>
              <w:bottom w:val="nil"/>
              <w:right w:val="nil"/>
            </w:tcBorders>
            <w:shd w:val="clear" w:color="auto" w:fill="auto"/>
            <w:noWrap/>
            <w:vAlign w:val="bottom"/>
            <w:hideMark/>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TGDP</w:t>
            </w:r>
          </w:p>
        </w:tc>
        <w:tc>
          <w:tcPr>
            <w:tcW w:w="1588" w:type="dxa"/>
            <w:gridSpan w:val="2"/>
            <w:tcBorders>
              <w:top w:val="single" w:sz="4" w:space="0" w:color="000000"/>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-3.58474</w:t>
            </w:r>
          </w:p>
        </w:tc>
        <w:tc>
          <w:tcPr>
            <w:tcW w:w="1460" w:type="dxa"/>
            <w:tcBorders>
              <w:top w:val="single" w:sz="4" w:space="0" w:color="000000"/>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-2.92814</w:t>
            </w:r>
          </w:p>
        </w:tc>
        <w:tc>
          <w:tcPr>
            <w:tcW w:w="1350" w:type="dxa"/>
            <w:tcBorders>
              <w:top w:val="single" w:sz="4" w:space="0" w:color="000000"/>
              <w:left w:val="nil"/>
              <w:bottom w:val="nil"/>
              <w:right w:val="nil"/>
            </w:tcBorders>
            <w:shd w:val="clear" w:color="auto" w:fill="auto"/>
            <w:noWrap/>
            <w:vAlign w:val="bottom"/>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-2.60223</w:t>
            </w:r>
          </w:p>
        </w:tc>
        <w:tc>
          <w:tcPr>
            <w:tcW w:w="1420" w:type="dxa"/>
            <w:gridSpan w:val="2"/>
            <w:tcBorders>
              <w:top w:val="single" w:sz="4" w:space="0" w:color="000000"/>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-1.86186</w:t>
            </w:r>
          </w:p>
        </w:tc>
        <w:tc>
          <w:tcPr>
            <w:tcW w:w="1907" w:type="dxa"/>
            <w:tcBorders>
              <w:top w:val="single" w:sz="4" w:space="0" w:color="000000"/>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-1.85244</w:t>
            </w:r>
          </w:p>
        </w:tc>
      </w:tr>
      <w:tr w:rsidR="00B72A71" w:rsidRPr="00A31903" w:rsidTr="008549AE">
        <w:trPr>
          <w:trHeight w:val="290"/>
        </w:trPr>
        <w:tc>
          <w:tcPr>
            <w:tcW w:w="1628" w:type="dxa"/>
            <w:gridSpan w:val="2"/>
            <w:tcBorders>
              <w:top w:val="nil"/>
              <w:left w:val="nil"/>
              <w:bottom w:val="nil"/>
              <w:right w:val="nil"/>
            </w:tcBorders>
            <w:shd w:val="clear" w:color="auto" w:fill="auto"/>
            <w:noWrap/>
            <w:vAlign w:val="bottom"/>
            <w:hideMark/>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INFL</w:t>
            </w:r>
          </w:p>
        </w:tc>
        <w:tc>
          <w:tcPr>
            <w:tcW w:w="1588" w:type="dxa"/>
            <w:gridSpan w:val="2"/>
            <w:tcBorders>
              <w:top w:val="nil"/>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-3.58474</w:t>
            </w:r>
          </w:p>
        </w:tc>
        <w:tc>
          <w:tcPr>
            <w:tcW w:w="1460" w:type="dxa"/>
            <w:tcBorders>
              <w:top w:val="nil"/>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-2.92814</w:t>
            </w:r>
          </w:p>
        </w:tc>
        <w:tc>
          <w:tcPr>
            <w:tcW w:w="1350" w:type="dxa"/>
            <w:tcBorders>
              <w:top w:val="nil"/>
              <w:left w:val="nil"/>
              <w:bottom w:val="nil"/>
              <w:right w:val="nil"/>
            </w:tcBorders>
            <w:shd w:val="clear" w:color="auto" w:fill="auto"/>
            <w:noWrap/>
            <w:vAlign w:val="bottom"/>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-2.60223</w:t>
            </w:r>
          </w:p>
        </w:tc>
        <w:tc>
          <w:tcPr>
            <w:tcW w:w="1420" w:type="dxa"/>
            <w:gridSpan w:val="2"/>
            <w:tcBorders>
              <w:top w:val="nil"/>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-5.24286</w:t>
            </w:r>
          </w:p>
        </w:tc>
        <w:tc>
          <w:tcPr>
            <w:tcW w:w="1907" w:type="dxa"/>
            <w:tcBorders>
              <w:top w:val="nil"/>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-5.38594</w:t>
            </w:r>
          </w:p>
        </w:tc>
      </w:tr>
      <w:tr w:rsidR="00B72A71" w:rsidRPr="00A31903" w:rsidTr="008549AE">
        <w:trPr>
          <w:trHeight w:val="290"/>
        </w:trPr>
        <w:tc>
          <w:tcPr>
            <w:tcW w:w="1628" w:type="dxa"/>
            <w:gridSpan w:val="2"/>
            <w:tcBorders>
              <w:top w:val="nil"/>
              <w:left w:val="nil"/>
              <w:bottom w:val="nil"/>
              <w:right w:val="nil"/>
            </w:tcBorders>
            <w:shd w:val="clear" w:color="auto" w:fill="auto"/>
            <w:noWrap/>
            <w:vAlign w:val="bottom"/>
            <w:hideMark/>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POPG</w:t>
            </w:r>
          </w:p>
        </w:tc>
        <w:tc>
          <w:tcPr>
            <w:tcW w:w="1588" w:type="dxa"/>
            <w:gridSpan w:val="2"/>
            <w:tcBorders>
              <w:top w:val="nil"/>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-3.58474</w:t>
            </w:r>
          </w:p>
        </w:tc>
        <w:tc>
          <w:tcPr>
            <w:tcW w:w="1460" w:type="dxa"/>
            <w:tcBorders>
              <w:top w:val="nil"/>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-2.92814</w:t>
            </w:r>
          </w:p>
        </w:tc>
        <w:tc>
          <w:tcPr>
            <w:tcW w:w="1350" w:type="dxa"/>
            <w:tcBorders>
              <w:top w:val="nil"/>
              <w:left w:val="nil"/>
              <w:bottom w:val="nil"/>
              <w:right w:val="nil"/>
            </w:tcBorders>
            <w:shd w:val="clear" w:color="auto" w:fill="auto"/>
            <w:noWrap/>
            <w:vAlign w:val="bottom"/>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-2.60223</w:t>
            </w:r>
          </w:p>
        </w:tc>
        <w:tc>
          <w:tcPr>
            <w:tcW w:w="1420" w:type="dxa"/>
            <w:gridSpan w:val="2"/>
            <w:tcBorders>
              <w:top w:val="nil"/>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-3.43441</w:t>
            </w:r>
          </w:p>
        </w:tc>
        <w:tc>
          <w:tcPr>
            <w:tcW w:w="1907" w:type="dxa"/>
            <w:tcBorders>
              <w:top w:val="nil"/>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-2.54399</w:t>
            </w:r>
          </w:p>
        </w:tc>
      </w:tr>
      <w:tr w:rsidR="00B72A71" w:rsidRPr="00A31903" w:rsidTr="008549AE">
        <w:trPr>
          <w:trHeight w:val="290"/>
        </w:trPr>
        <w:tc>
          <w:tcPr>
            <w:tcW w:w="1628" w:type="dxa"/>
            <w:gridSpan w:val="2"/>
            <w:tcBorders>
              <w:top w:val="nil"/>
              <w:left w:val="nil"/>
              <w:bottom w:val="nil"/>
              <w:right w:val="nil"/>
            </w:tcBorders>
            <w:shd w:val="clear" w:color="auto" w:fill="auto"/>
            <w:noWrap/>
            <w:vAlign w:val="bottom"/>
            <w:hideMark/>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GDPG</w:t>
            </w:r>
          </w:p>
        </w:tc>
        <w:tc>
          <w:tcPr>
            <w:tcW w:w="1588" w:type="dxa"/>
            <w:gridSpan w:val="2"/>
            <w:tcBorders>
              <w:top w:val="nil"/>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-3.58474</w:t>
            </w:r>
          </w:p>
        </w:tc>
        <w:tc>
          <w:tcPr>
            <w:tcW w:w="1460" w:type="dxa"/>
            <w:tcBorders>
              <w:top w:val="nil"/>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-2.92814</w:t>
            </w:r>
          </w:p>
        </w:tc>
        <w:tc>
          <w:tcPr>
            <w:tcW w:w="1350" w:type="dxa"/>
            <w:tcBorders>
              <w:top w:val="nil"/>
              <w:left w:val="nil"/>
              <w:bottom w:val="nil"/>
              <w:right w:val="nil"/>
            </w:tcBorders>
            <w:shd w:val="clear" w:color="auto" w:fill="auto"/>
            <w:noWrap/>
            <w:vAlign w:val="bottom"/>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-2.60223</w:t>
            </w:r>
          </w:p>
        </w:tc>
        <w:tc>
          <w:tcPr>
            <w:tcW w:w="1420" w:type="dxa"/>
            <w:gridSpan w:val="2"/>
            <w:tcBorders>
              <w:top w:val="nil"/>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-4.43209</w:t>
            </w:r>
          </w:p>
        </w:tc>
        <w:tc>
          <w:tcPr>
            <w:tcW w:w="1907" w:type="dxa"/>
            <w:tcBorders>
              <w:top w:val="nil"/>
              <w:left w:val="nil"/>
              <w:bottom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-4.44814</w:t>
            </w:r>
          </w:p>
        </w:tc>
      </w:tr>
      <w:tr w:rsidR="00B72A71" w:rsidRPr="00A31903" w:rsidTr="008549AE">
        <w:trPr>
          <w:trHeight w:val="290"/>
        </w:trPr>
        <w:tc>
          <w:tcPr>
            <w:tcW w:w="1628" w:type="dxa"/>
            <w:gridSpan w:val="2"/>
            <w:tcBorders>
              <w:top w:val="nil"/>
              <w:left w:val="nil"/>
              <w:right w:val="nil"/>
            </w:tcBorders>
            <w:shd w:val="clear" w:color="auto" w:fill="auto"/>
            <w:noWrap/>
            <w:vAlign w:val="bottom"/>
            <w:hideMark/>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AGRV</w:t>
            </w:r>
          </w:p>
        </w:tc>
        <w:tc>
          <w:tcPr>
            <w:tcW w:w="1588" w:type="dxa"/>
            <w:gridSpan w:val="2"/>
            <w:tcBorders>
              <w:top w:val="nil"/>
              <w:left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-3.58474</w:t>
            </w:r>
          </w:p>
        </w:tc>
        <w:tc>
          <w:tcPr>
            <w:tcW w:w="1460" w:type="dxa"/>
            <w:tcBorders>
              <w:top w:val="nil"/>
              <w:left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-2.92814</w:t>
            </w:r>
          </w:p>
        </w:tc>
        <w:tc>
          <w:tcPr>
            <w:tcW w:w="1350" w:type="dxa"/>
            <w:tcBorders>
              <w:top w:val="nil"/>
              <w:left w:val="nil"/>
              <w:right w:val="nil"/>
            </w:tcBorders>
            <w:shd w:val="clear" w:color="auto" w:fill="auto"/>
            <w:noWrap/>
            <w:vAlign w:val="bottom"/>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-2.60223</w:t>
            </w:r>
          </w:p>
        </w:tc>
        <w:tc>
          <w:tcPr>
            <w:tcW w:w="1420" w:type="dxa"/>
            <w:gridSpan w:val="2"/>
            <w:tcBorders>
              <w:top w:val="nil"/>
              <w:left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2.43629</w:t>
            </w:r>
          </w:p>
        </w:tc>
        <w:tc>
          <w:tcPr>
            <w:tcW w:w="1907" w:type="dxa"/>
            <w:tcBorders>
              <w:top w:val="nil"/>
              <w:left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2.13662</w:t>
            </w:r>
          </w:p>
        </w:tc>
      </w:tr>
      <w:tr w:rsidR="00B72A71" w:rsidRPr="00A31903" w:rsidTr="008549AE">
        <w:trPr>
          <w:trHeight w:val="290"/>
        </w:trPr>
        <w:tc>
          <w:tcPr>
            <w:tcW w:w="1628" w:type="dxa"/>
            <w:gridSpan w:val="2"/>
            <w:tcBorders>
              <w:top w:val="nil"/>
              <w:left w:val="nil"/>
              <w:right w:val="nil"/>
            </w:tcBorders>
            <w:shd w:val="clear" w:color="auto" w:fill="auto"/>
            <w:noWrap/>
            <w:vAlign w:val="bottom"/>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DEBT</w:t>
            </w:r>
          </w:p>
        </w:tc>
        <w:tc>
          <w:tcPr>
            <w:tcW w:w="1588" w:type="dxa"/>
            <w:gridSpan w:val="2"/>
            <w:tcBorders>
              <w:top w:val="nil"/>
              <w:left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-3.58474</w:t>
            </w:r>
          </w:p>
        </w:tc>
        <w:tc>
          <w:tcPr>
            <w:tcW w:w="1460" w:type="dxa"/>
            <w:tcBorders>
              <w:top w:val="nil"/>
              <w:left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-2.92814</w:t>
            </w:r>
          </w:p>
        </w:tc>
        <w:tc>
          <w:tcPr>
            <w:tcW w:w="1350" w:type="dxa"/>
            <w:tcBorders>
              <w:top w:val="nil"/>
              <w:left w:val="nil"/>
              <w:right w:val="nil"/>
            </w:tcBorders>
            <w:shd w:val="clear" w:color="auto" w:fill="auto"/>
            <w:noWrap/>
            <w:vAlign w:val="bottom"/>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-2.60223</w:t>
            </w:r>
          </w:p>
        </w:tc>
        <w:tc>
          <w:tcPr>
            <w:tcW w:w="1420" w:type="dxa"/>
            <w:gridSpan w:val="2"/>
            <w:tcBorders>
              <w:top w:val="nil"/>
              <w:left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-1.49558</w:t>
            </w:r>
          </w:p>
        </w:tc>
        <w:tc>
          <w:tcPr>
            <w:tcW w:w="1907" w:type="dxa"/>
            <w:tcBorders>
              <w:top w:val="nil"/>
              <w:left w:val="nil"/>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-1.77816</w:t>
            </w:r>
          </w:p>
        </w:tc>
      </w:tr>
      <w:tr w:rsidR="00B72A71" w:rsidRPr="00A31903" w:rsidTr="008549AE">
        <w:trPr>
          <w:trHeight w:val="290"/>
        </w:trPr>
        <w:tc>
          <w:tcPr>
            <w:tcW w:w="1628" w:type="dxa"/>
            <w:gridSpan w:val="2"/>
            <w:tcBorders>
              <w:top w:val="nil"/>
              <w:left w:val="nil"/>
              <w:bottom w:val="single" w:sz="4" w:space="0" w:color="000000"/>
              <w:right w:val="nil"/>
            </w:tcBorders>
            <w:shd w:val="clear" w:color="auto" w:fill="auto"/>
            <w:noWrap/>
            <w:vAlign w:val="bottom"/>
            <w:hideMark/>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SERV</w:t>
            </w:r>
          </w:p>
        </w:tc>
        <w:tc>
          <w:tcPr>
            <w:tcW w:w="1588" w:type="dxa"/>
            <w:gridSpan w:val="2"/>
            <w:tcBorders>
              <w:top w:val="nil"/>
              <w:left w:val="nil"/>
              <w:bottom w:val="single" w:sz="4" w:space="0" w:color="000000"/>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-3.58474</w:t>
            </w:r>
          </w:p>
        </w:tc>
        <w:tc>
          <w:tcPr>
            <w:tcW w:w="1460" w:type="dxa"/>
            <w:tcBorders>
              <w:top w:val="nil"/>
              <w:left w:val="nil"/>
              <w:bottom w:val="single" w:sz="4" w:space="0" w:color="000000"/>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-2.92814</w:t>
            </w:r>
          </w:p>
        </w:tc>
        <w:tc>
          <w:tcPr>
            <w:tcW w:w="1350" w:type="dxa"/>
            <w:tcBorders>
              <w:top w:val="nil"/>
              <w:left w:val="nil"/>
              <w:bottom w:val="single" w:sz="4" w:space="0" w:color="000000"/>
              <w:right w:val="nil"/>
            </w:tcBorders>
            <w:shd w:val="clear" w:color="auto" w:fill="auto"/>
            <w:noWrap/>
            <w:vAlign w:val="bottom"/>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-2.60223</w:t>
            </w:r>
          </w:p>
        </w:tc>
        <w:tc>
          <w:tcPr>
            <w:tcW w:w="1420" w:type="dxa"/>
            <w:gridSpan w:val="2"/>
            <w:tcBorders>
              <w:top w:val="nil"/>
              <w:left w:val="nil"/>
              <w:bottom w:val="single" w:sz="4" w:space="0" w:color="000000"/>
              <w:right w:val="nil"/>
            </w:tcBorders>
            <w:shd w:val="clear" w:color="auto" w:fill="auto"/>
            <w:noWrap/>
            <w:vAlign w:val="bottom"/>
          </w:tcPr>
          <w:p w:rsidR="00B72A71" w:rsidRPr="00A31903" w:rsidRDefault="00B72A71"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 xml:space="preserve">   -0.61734</w:t>
            </w:r>
          </w:p>
        </w:tc>
        <w:tc>
          <w:tcPr>
            <w:tcW w:w="1907" w:type="dxa"/>
            <w:tcBorders>
              <w:top w:val="nil"/>
              <w:left w:val="nil"/>
              <w:bottom w:val="single" w:sz="4" w:space="0" w:color="000000"/>
              <w:right w:val="nil"/>
            </w:tcBorders>
            <w:shd w:val="clear" w:color="auto" w:fill="auto"/>
            <w:noWrap/>
            <w:vAlign w:val="bottom"/>
          </w:tcPr>
          <w:p w:rsidR="00B72A71" w:rsidRPr="00A31903" w:rsidRDefault="00B72A71"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-0.72754</w:t>
            </w:r>
          </w:p>
        </w:tc>
      </w:tr>
      <w:tr w:rsidR="00B72A71" w:rsidRPr="00A31903" w:rsidTr="008549AE">
        <w:tblPrEx>
          <w:tblCellMar>
            <w:left w:w="0" w:type="dxa"/>
            <w:right w:w="0" w:type="dxa"/>
          </w:tblCellMar>
          <w:tblLook w:val="0000" w:firstRow="0" w:lastRow="0" w:firstColumn="0" w:lastColumn="0" w:noHBand="0" w:noVBand="0"/>
        </w:tblPrEx>
        <w:trPr>
          <w:gridBefore w:val="1"/>
          <w:gridAfter w:val="6"/>
          <w:wBefore w:w="52" w:type="dxa"/>
          <w:wAfter w:w="6982" w:type="dxa"/>
          <w:trHeight w:hRule="exact" w:val="115"/>
        </w:trPr>
        <w:tc>
          <w:tcPr>
            <w:tcW w:w="2319" w:type="dxa"/>
            <w:gridSpan w:val="2"/>
            <w:tcBorders>
              <w:top w:val="nil"/>
              <w:left w:val="nil"/>
              <w:bottom w:val="nil"/>
              <w:right w:val="nil"/>
            </w:tcBorders>
            <w:vAlign w:val="bottom"/>
          </w:tcPr>
          <w:p w:rsidR="00B72A71" w:rsidRPr="00A31903" w:rsidRDefault="00B72A71" w:rsidP="008549AE">
            <w:pPr>
              <w:autoSpaceDE w:val="0"/>
              <w:autoSpaceDN w:val="0"/>
              <w:adjustRightInd w:val="0"/>
              <w:jc w:val="center"/>
              <w:rPr>
                <w:rFonts w:ascii="Times New Roman" w:hAnsi="Times New Roman" w:cs="Times New Roman"/>
                <w:b/>
              </w:rPr>
            </w:pPr>
          </w:p>
        </w:tc>
      </w:tr>
      <w:tr w:rsidR="00B72A71" w:rsidRPr="00A31903" w:rsidTr="008549AE">
        <w:tblPrEx>
          <w:tblCellMar>
            <w:left w:w="0" w:type="dxa"/>
            <w:right w:w="0" w:type="dxa"/>
          </w:tblCellMar>
          <w:tblLook w:val="0000" w:firstRow="0" w:lastRow="0" w:firstColumn="0" w:lastColumn="0" w:noHBand="0" w:noVBand="0"/>
        </w:tblPrEx>
        <w:trPr>
          <w:gridBefore w:val="1"/>
          <w:gridAfter w:val="2"/>
          <w:wBefore w:w="52" w:type="dxa"/>
          <w:wAfter w:w="2937" w:type="dxa"/>
          <w:trHeight w:val="192"/>
        </w:trPr>
        <w:tc>
          <w:tcPr>
            <w:tcW w:w="6364" w:type="dxa"/>
            <w:gridSpan w:val="6"/>
            <w:tcBorders>
              <w:top w:val="nil"/>
              <w:left w:val="nil"/>
              <w:bottom w:val="nil"/>
              <w:right w:val="nil"/>
            </w:tcBorders>
            <w:vAlign w:val="bottom"/>
          </w:tcPr>
          <w:p w:rsidR="00B72A71" w:rsidRPr="00A31903" w:rsidRDefault="00B72A71" w:rsidP="008549AE">
            <w:pPr>
              <w:autoSpaceDE w:val="0"/>
              <w:autoSpaceDN w:val="0"/>
              <w:adjustRightInd w:val="0"/>
              <w:rPr>
                <w:rFonts w:ascii="Times New Roman" w:hAnsi="Times New Roman" w:cs="Times New Roman"/>
              </w:rPr>
            </w:pPr>
            <w:r w:rsidRPr="00A31903">
              <w:rPr>
                <w:rFonts w:ascii="Times New Roman" w:hAnsi="Times New Roman" w:cs="Times New Roman"/>
              </w:rPr>
              <w:t xml:space="preserve">**Critical values </w:t>
            </w:r>
            <w:proofErr w:type="gramStart"/>
            <w:r w:rsidRPr="00A31903">
              <w:rPr>
                <w:rFonts w:ascii="Times New Roman" w:hAnsi="Times New Roman" w:cs="Times New Roman"/>
              </w:rPr>
              <w:t>are obtained</w:t>
            </w:r>
            <w:proofErr w:type="gramEnd"/>
            <w:r w:rsidRPr="00A31903">
              <w:rPr>
                <w:rFonts w:ascii="Times New Roman" w:hAnsi="Times New Roman" w:cs="Times New Roman"/>
              </w:rPr>
              <w:t xml:space="preserve"> from MacKinnon (1996).</w:t>
            </w:r>
          </w:p>
        </w:tc>
      </w:tr>
    </w:tbl>
    <w:p w:rsidR="005E042C" w:rsidRPr="00A31903" w:rsidRDefault="00B12919" w:rsidP="005E042C">
      <w:pPr>
        <w:rPr>
          <w:rFonts w:ascii="Times New Roman" w:eastAsia="Times New Roman" w:hAnsi="Times New Roman" w:cs="Times New Roman"/>
          <w:b/>
          <w:bCs/>
          <w:lang w:eastAsia="en-GB"/>
        </w:rPr>
      </w:pPr>
      <w:r w:rsidRPr="00A31903">
        <w:rPr>
          <w:rFonts w:ascii="Times New Roman" w:hAnsi="Times New Roman" w:cs="Times New Roman"/>
          <w:b/>
        </w:rPr>
        <w:t>Table III</w:t>
      </w:r>
      <w:r w:rsidR="005E042C" w:rsidRPr="00A31903">
        <w:rPr>
          <w:rFonts w:ascii="Times New Roman" w:hAnsi="Times New Roman" w:cs="Times New Roman"/>
          <w:b/>
        </w:rPr>
        <w:t>:</w:t>
      </w:r>
      <w:r w:rsidR="005E042C" w:rsidRPr="00A31903">
        <w:rPr>
          <w:b/>
          <w:bCs/>
        </w:rPr>
        <w:t xml:space="preserve"> </w:t>
      </w:r>
      <w:r w:rsidR="005E042C" w:rsidRPr="00A31903">
        <w:rPr>
          <w:rFonts w:ascii="Times New Roman" w:hAnsi="Times New Roman" w:cs="Times New Roman"/>
          <w:b/>
          <w:bCs/>
        </w:rPr>
        <w:t>U</w:t>
      </w:r>
      <w:r w:rsidR="005E042C" w:rsidRPr="00A31903">
        <w:rPr>
          <w:rFonts w:ascii="Times New Roman" w:eastAsia="Times New Roman" w:hAnsi="Times New Roman" w:cs="Times New Roman"/>
          <w:b/>
          <w:bCs/>
          <w:lang w:eastAsia="en-GB"/>
        </w:rPr>
        <w:t>nit root test results at first difference</w:t>
      </w:r>
    </w:p>
    <w:tbl>
      <w:tblPr>
        <w:tblW w:w="9791" w:type="dxa"/>
        <w:tblInd w:w="93" w:type="dxa"/>
        <w:tblLook w:val="04A0" w:firstRow="1" w:lastRow="0" w:firstColumn="1" w:lastColumn="0" w:noHBand="0" w:noVBand="1"/>
      </w:tblPr>
      <w:tblGrid>
        <w:gridCol w:w="56"/>
        <w:gridCol w:w="1694"/>
        <w:gridCol w:w="646"/>
        <w:gridCol w:w="735"/>
        <w:gridCol w:w="1270"/>
        <w:gridCol w:w="1174"/>
        <w:gridCol w:w="339"/>
        <w:gridCol w:w="896"/>
        <w:gridCol w:w="1659"/>
        <w:gridCol w:w="1322"/>
      </w:tblGrid>
      <w:tr w:rsidR="005E042C" w:rsidRPr="00A31903" w:rsidTr="008549AE">
        <w:trPr>
          <w:trHeight w:val="340"/>
        </w:trPr>
        <w:tc>
          <w:tcPr>
            <w:tcW w:w="9791" w:type="dxa"/>
            <w:gridSpan w:val="10"/>
            <w:tcBorders>
              <w:top w:val="nil"/>
              <w:left w:val="nil"/>
              <w:bottom w:val="single" w:sz="4" w:space="0" w:color="auto"/>
              <w:right w:val="nil"/>
            </w:tcBorders>
            <w:shd w:val="clear" w:color="auto" w:fill="auto"/>
            <w:noWrap/>
            <w:vAlign w:val="bottom"/>
            <w:hideMark/>
          </w:tcPr>
          <w:p w:rsidR="005E042C" w:rsidRPr="00A31903" w:rsidRDefault="005E042C" w:rsidP="008549AE">
            <w:pPr>
              <w:rPr>
                <w:rFonts w:ascii="Times New Roman" w:eastAsia="Times New Roman" w:hAnsi="Times New Roman" w:cs="Times New Roman"/>
                <w:b/>
                <w:bCs/>
                <w:lang w:eastAsia="en-GB"/>
              </w:rPr>
            </w:pPr>
            <w:r w:rsidRPr="00A31903">
              <w:rPr>
                <w:rFonts w:ascii="Times New Roman" w:eastAsia="Times New Roman" w:hAnsi="Times New Roman" w:cs="Times New Roman"/>
                <w:b/>
                <w:bCs/>
                <w:lang w:eastAsia="en-GB"/>
              </w:rPr>
              <w:t>ADF and PP unit root test results</w:t>
            </w:r>
          </w:p>
        </w:tc>
      </w:tr>
      <w:tr w:rsidR="005E042C" w:rsidRPr="00A31903" w:rsidTr="008549AE">
        <w:trPr>
          <w:trHeight w:val="340"/>
        </w:trPr>
        <w:tc>
          <w:tcPr>
            <w:tcW w:w="1750" w:type="dxa"/>
            <w:gridSpan w:val="2"/>
            <w:vMerge w:val="restart"/>
            <w:tcBorders>
              <w:top w:val="single" w:sz="4" w:space="0" w:color="auto"/>
              <w:left w:val="nil"/>
              <w:bottom w:val="single" w:sz="4" w:space="0" w:color="000000"/>
              <w:right w:val="nil"/>
            </w:tcBorders>
            <w:shd w:val="clear" w:color="auto" w:fill="auto"/>
            <w:noWrap/>
            <w:vAlign w:val="bottom"/>
            <w:hideMark/>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 xml:space="preserve">Variable </w:t>
            </w:r>
          </w:p>
        </w:tc>
        <w:tc>
          <w:tcPr>
            <w:tcW w:w="3825" w:type="dxa"/>
            <w:gridSpan w:val="4"/>
            <w:tcBorders>
              <w:top w:val="single" w:sz="4" w:space="0" w:color="auto"/>
              <w:left w:val="nil"/>
              <w:bottom w:val="nil"/>
              <w:right w:val="nil"/>
            </w:tcBorders>
            <w:shd w:val="clear" w:color="auto" w:fill="auto"/>
            <w:noWrap/>
            <w:vAlign w:val="bottom"/>
            <w:hideMark/>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Critical values**</w:t>
            </w:r>
          </w:p>
        </w:tc>
        <w:tc>
          <w:tcPr>
            <w:tcW w:w="2894" w:type="dxa"/>
            <w:gridSpan w:val="3"/>
            <w:tcBorders>
              <w:top w:val="single" w:sz="4" w:space="0" w:color="auto"/>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First difference</w:t>
            </w:r>
          </w:p>
        </w:tc>
        <w:tc>
          <w:tcPr>
            <w:tcW w:w="1322" w:type="dxa"/>
            <w:vMerge w:val="restart"/>
            <w:tcBorders>
              <w:top w:val="single" w:sz="4" w:space="0" w:color="auto"/>
              <w:left w:val="nil"/>
              <w:bottom w:val="single" w:sz="4" w:space="0" w:color="auto"/>
              <w:right w:val="nil"/>
            </w:tcBorders>
            <w:shd w:val="clear" w:color="auto" w:fill="auto"/>
            <w:noWrap/>
            <w:vAlign w:val="bottom"/>
            <w:hideMark/>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Order of integration</w:t>
            </w:r>
          </w:p>
        </w:tc>
      </w:tr>
      <w:tr w:rsidR="005E042C" w:rsidRPr="00A31903" w:rsidTr="008549AE">
        <w:trPr>
          <w:trHeight w:val="389"/>
        </w:trPr>
        <w:tc>
          <w:tcPr>
            <w:tcW w:w="1750" w:type="dxa"/>
            <w:gridSpan w:val="2"/>
            <w:vMerge/>
            <w:tcBorders>
              <w:top w:val="single" w:sz="4" w:space="0" w:color="000000"/>
              <w:left w:val="nil"/>
              <w:bottom w:val="single" w:sz="4" w:space="0" w:color="000000"/>
              <w:right w:val="nil"/>
            </w:tcBorders>
            <w:vAlign w:val="center"/>
            <w:hideMark/>
          </w:tcPr>
          <w:p w:rsidR="005E042C" w:rsidRPr="00A31903" w:rsidRDefault="005E042C" w:rsidP="008549AE">
            <w:pPr>
              <w:rPr>
                <w:rFonts w:ascii="Times New Roman" w:eastAsia="Times New Roman" w:hAnsi="Times New Roman" w:cs="Times New Roman"/>
                <w:lang w:eastAsia="en-GB"/>
              </w:rPr>
            </w:pPr>
          </w:p>
        </w:tc>
        <w:tc>
          <w:tcPr>
            <w:tcW w:w="1381" w:type="dxa"/>
            <w:gridSpan w:val="2"/>
            <w:tcBorders>
              <w:top w:val="nil"/>
              <w:left w:val="nil"/>
              <w:bottom w:val="single" w:sz="4" w:space="0" w:color="000000"/>
              <w:right w:val="nil"/>
            </w:tcBorders>
            <w:shd w:val="clear" w:color="auto" w:fill="auto"/>
            <w:vAlign w:val="bottom"/>
            <w:hideMark/>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1%</w:t>
            </w:r>
          </w:p>
        </w:tc>
        <w:tc>
          <w:tcPr>
            <w:tcW w:w="1270" w:type="dxa"/>
            <w:tcBorders>
              <w:top w:val="nil"/>
              <w:left w:val="nil"/>
              <w:bottom w:val="single" w:sz="4" w:space="0" w:color="000000"/>
              <w:right w:val="nil"/>
            </w:tcBorders>
            <w:shd w:val="clear" w:color="auto" w:fill="auto"/>
            <w:vAlign w:val="bottom"/>
            <w:hideMark/>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5%</w:t>
            </w:r>
          </w:p>
        </w:tc>
        <w:tc>
          <w:tcPr>
            <w:tcW w:w="1174" w:type="dxa"/>
            <w:tcBorders>
              <w:top w:val="nil"/>
              <w:left w:val="nil"/>
              <w:bottom w:val="single" w:sz="4" w:space="0" w:color="000000"/>
              <w:right w:val="nil"/>
            </w:tcBorders>
            <w:shd w:val="clear" w:color="auto" w:fill="auto"/>
            <w:vAlign w:val="bottom"/>
            <w:hideMark/>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10%</w:t>
            </w:r>
          </w:p>
        </w:tc>
        <w:tc>
          <w:tcPr>
            <w:tcW w:w="1235" w:type="dxa"/>
            <w:gridSpan w:val="2"/>
            <w:tcBorders>
              <w:top w:val="nil"/>
              <w:left w:val="nil"/>
              <w:bottom w:val="single" w:sz="4" w:space="0" w:color="000000"/>
              <w:right w:val="nil"/>
            </w:tcBorders>
            <w:shd w:val="clear" w:color="auto" w:fill="auto"/>
            <w:vAlign w:val="bottom"/>
            <w:hideMark/>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 xml:space="preserve"> ADF test statistic</w:t>
            </w:r>
          </w:p>
        </w:tc>
        <w:tc>
          <w:tcPr>
            <w:tcW w:w="1659" w:type="dxa"/>
            <w:tcBorders>
              <w:top w:val="nil"/>
              <w:left w:val="nil"/>
              <w:bottom w:val="single" w:sz="4" w:space="0" w:color="000000"/>
              <w:right w:val="nil"/>
            </w:tcBorders>
            <w:shd w:val="clear" w:color="auto" w:fill="auto"/>
            <w:vAlign w:val="bottom"/>
            <w:hideMark/>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PP test statistic</w:t>
            </w:r>
          </w:p>
        </w:tc>
        <w:tc>
          <w:tcPr>
            <w:tcW w:w="1322" w:type="dxa"/>
            <w:vMerge/>
            <w:tcBorders>
              <w:top w:val="nil"/>
              <w:left w:val="nil"/>
              <w:bottom w:val="single" w:sz="4" w:space="0" w:color="auto"/>
              <w:right w:val="nil"/>
            </w:tcBorders>
            <w:vAlign w:val="center"/>
            <w:hideMark/>
          </w:tcPr>
          <w:p w:rsidR="005E042C" w:rsidRPr="00A31903" w:rsidRDefault="005E042C" w:rsidP="008549AE">
            <w:pPr>
              <w:rPr>
                <w:rFonts w:ascii="Times New Roman" w:eastAsia="Times New Roman" w:hAnsi="Times New Roman" w:cs="Times New Roman"/>
                <w:lang w:eastAsia="en-GB"/>
              </w:rPr>
            </w:pPr>
          </w:p>
        </w:tc>
      </w:tr>
      <w:tr w:rsidR="005E042C" w:rsidRPr="00A31903" w:rsidTr="008549AE">
        <w:trPr>
          <w:trHeight w:val="340"/>
        </w:trPr>
        <w:tc>
          <w:tcPr>
            <w:tcW w:w="1750" w:type="dxa"/>
            <w:gridSpan w:val="2"/>
            <w:tcBorders>
              <w:top w:val="single" w:sz="4" w:space="0" w:color="000000"/>
              <w:left w:val="nil"/>
              <w:bottom w:val="nil"/>
              <w:right w:val="nil"/>
            </w:tcBorders>
            <w:shd w:val="clear" w:color="auto" w:fill="auto"/>
            <w:noWrap/>
            <w:vAlign w:val="bottom"/>
            <w:hideMark/>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sym w:font="Symbol" w:char="F044"/>
            </w:r>
            <w:r w:rsidRPr="00A31903">
              <w:rPr>
                <w:rFonts w:ascii="Times New Roman" w:eastAsia="Times New Roman" w:hAnsi="Times New Roman" w:cs="Times New Roman"/>
                <w:lang w:eastAsia="en-GB"/>
              </w:rPr>
              <w:t>TGDP</w:t>
            </w:r>
          </w:p>
        </w:tc>
        <w:tc>
          <w:tcPr>
            <w:tcW w:w="1381" w:type="dxa"/>
            <w:gridSpan w:val="2"/>
            <w:tcBorders>
              <w:top w:val="single" w:sz="4" w:space="0" w:color="000000"/>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-3.58474</w:t>
            </w:r>
          </w:p>
        </w:tc>
        <w:tc>
          <w:tcPr>
            <w:tcW w:w="1270" w:type="dxa"/>
            <w:tcBorders>
              <w:top w:val="single" w:sz="4" w:space="0" w:color="000000"/>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-2.92814</w:t>
            </w:r>
          </w:p>
        </w:tc>
        <w:tc>
          <w:tcPr>
            <w:tcW w:w="1174" w:type="dxa"/>
            <w:tcBorders>
              <w:top w:val="single" w:sz="4" w:space="0" w:color="000000"/>
              <w:left w:val="nil"/>
              <w:bottom w:val="nil"/>
              <w:right w:val="nil"/>
            </w:tcBorders>
            <w:shd w:val="clear" w:color="auto" w:fill="auto"/>
            <w:noWrap/>
            <w:vAlign w:val="bottom"/>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-2.60223</w:t>
            </w:r>
          </w:p>
        </w:tc>
        <w:tc>
          <w:tcPr>
            <w:tcW w:w="1235" w:type="dxa"/>
            <w:gridSpan w:val="2"/>
            <w:tcBorders>
              <w:top w:val="single" w:sz="4" w:space="0" w:color="000000"/>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-6.84075</w:t>
            </w:r>
          </w:p>
        </w:tc>
        <w:tc>
          <w:tcPr>
            <w:tcW w:w="1659" w:type="dxa"/>
            <w:tcBorders>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-6.85369</w:t>
            </w:r>
          </w:p>
        </w:tc>
        <w:tc>
          <w:tcPr>
            <w:tcW w:w="1322" w:type="dxa"/>
            <w:tcBorders>
              <w:top w:val="single" w:sz="4" w:space="0" w:color="auto"/>
              <w:left w:val="nil"/>
              <w:bottom w:val="nil"/>
              <w:right w:val="nil"/>
            </w:tcBorders>
            <w:shd w:val="clear" w:color="auto" w:fill="auto"/>
            <w:noWrap/>
            <w:vAlign w:val="bottom"/>
            <w:hideMark/>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I(1)</w:t>
            </w:r>
          </w:p>
        </w:tc>
      </w:tr>
      <w:tr w:rsidR="005E042C" w:rsidRPr="00A31903" w:rsidTr="008549AE">
        <w:trPr>
          <w:trHeight w:val="340"/>
        </w:trPr>
        <w:tc>
          <w:tcPr>
            <w:tcW w:w="1750" w:type="dxa"/>
            <w:gridSpan w:val="2"/>
            <w:tcBorders>
              <w:top w:val="nil"/>
              <w:left w:val="nil"/>
              <w:bottom w:val="nil"/>
              <w:right w:val="nil"/>
            </w:tcBorders>
            <w:shd w:val="clear" w:color="auto" w:fill="auto"/>
            <w:noWrap/>
            <w:vAlign w:val="bottom"/>
            <w:hideMark/>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sym w:font="Symbol" w:char="F044"/>
            </w:r>
            <w:r w:rsidRPr="00A31903">
              <w:rPr>
                <w:rFonts w:ascii="Times New Roman" w:eastAsia="Times New Roman" w:hAnsi="Times New Roman" w:cs="Times New Roman"/>
                <w:lang w:eastAsia="en-GB"/>
              </w:rPr>
              <w:t>INFL</w:t>
            </w:r>
          </w:p>
        </w:tc>
        <w:tc>
          <w:tcPr>
            <w:tcW w:w="1381" w:type="dxa"/>
            <w:gridSpan w:val="2"/>
            <w:tcBorders>
              <w:top w:val="nil"/>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-3.58474</w:t>
            </w:r>
          </w:p>
        </w:tc>
        <w:tc>
          <w:tcPr>
            <w:tcW w:w="1270" w:type="dxa"/>
            <w:tcBorders>
              <w:top w:val="nil"/>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-2.92814</w:t>
            </w:r>
          </w:p>
        </w:tc>
        <w:tc>
          <w:tcPr>
            <w:tcW w:w="1174" w:type="dxa"/>
            <w:tcBorders>
              <w:top w:val="nil"/>
              <w:left w:val="nil"/>
              <w:bottom w:val="nil"/>
              <w:right w:val="nil"/>
            </w:tcBorders>
            <w:shd w:val="clear" w:color="auto" w:fill="auto"/>
            <w:noWrap/>
            <w:vAlign w:val="bottom"/>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-2.60223</w:t>
            </w:r>
          </w:p>
        </w:tc>
        <w:tc>
          <w:tcPr>
            <w:tcW w:w="1235" w:type="dxa"/>
            <w:gridSpan w:val="2"/>
            <w:tcBorders>
              <w:top w:val="nil"/>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w:t>
            </w:r>
          </w:p>
        </w:tc>
        <w:tc>
          <w:tcPr>
            <w:tcW w:w="1659" w:type="dxa"/>
            <w:tcBorders>
              <w:top w:val="nil"/>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w:t>
            </w:r>
          </w:p>
        </w:tc>
        <w:tc>
          <w:tcPr>
            <w:tcW w:w="1322" w:type="dxa"/>
            <w:tcBorders>
              <w:top w:val="nil"/>
              <w:left w:val="nil"/>
              <w:bottom w:val="nil"/>
              <w:right w:val="nil"/>
            </w:tcBorders>
            <w:shd w:val="clear" w:color="auto" w:fill="auto"/>
            <w:noWrap/>
            <w:vAlign w:val="bottom"/>
            <w:hideMark/>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I(0)</w:t>
            </w:r>
          </w:p>
        </w:tc>
      </w:tr>
      <w:tr w:rsidR="005E042C" w:rsidRPr="00A31903" w:rsidTr="008549AE">
        <w:trPr>
          <w:trHeight w:val="340"/>
        </w:trPr>
        <w:tc>
          <w:tcPr>
            <w:tcW w:w="1750" w:type="dxa"/>
            <w:gridSpan w:val="2"/>
            <w:tcBorders>
              <w:top w:val="nil"/>
              <w:left w:val="nil"/>
              <w:bottom w:val="nil"/>
              <w:right w:val="nil"/>
            </w:tcBorders>
            <w:shd w:val="clear" w:color="auto" w:fill="auto"/>
            <w:noWrap/>
            <w:vAlign w:val="bottom"/>
            <w:hideMark/>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sym w:font="Symbol" w:char="F044"/>
            </w:r>
            <w:r w:rsidRPr="00A31903">
              <w:rPr>
                <w:rFonts w:ascii="Times New Roman" w:eastAsia="Times New Roman" w:hAnsi="Times New Roman" w:cs="Times New Roman"/>
                <w:lang w:eastAsia="en-GB"/>
              </w:rPr>
              <w:t>POPG</w:t>
            </w:r>
          </w:p>
        </w:tc>
        <w:tc>
          <w:tcPr>
            <w:tcW w:w="1381" w:type="dxa"/>
            <w:gridSpan w:val="2"/>
            <w:tcBorders>
              <w:top w:val="nil"/>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-3.58474</w:t>
            </w:r>
          </w:p>
        </w:tc>
        <w:tc>
          <w:tcPr>
            <w:tcW w:w="1270" w:type="dxa"/>
            <w:tcBorders>
              <w:top w:val="nil"/>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-2.92814</w:t>
            </w:r>
          </w:p>
        </w:tc>
        <w:tc>
          <w:tcPr>
            <w:tcW w:w="1174" w:type="dxa"/>
            <w:tcBorders>
              <w:top w:val="nil"/>
              <w:left w:val="nil"/>
              <w:bottom w:val="nil"/>
              <w:right w:val="nil"/>
            </w:tcBorders>
            <w:shd w:val="clear" w:color="auto" w:fill="auto"/>
            <w:noWrap/>
            <w:vAlign w:val="bottom"/>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-2.60223</w:t>
            </w:r>
          </w:p>
        </w:tc>
        <w:tc>
          <w:tcPr>
            <w:tcW w:w="1235" w:type="dxa"/>
            <w:gridSpan w:val="2"/>
            <w:tcBorders>
              <w:top w:val="nil"/>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w:t>
            </w:r>
          </w:p>
        </w:tc>
        <w:tc>
          <w:tcPr>
            <w:tcW w:w="1659" w:type="dxa"/>
            <w:tcBorders>
              <w:top w:val="nil"/>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w:t>
            </w:r>
          </w:p>
        </w:tc>
        <w:tc>
          <w:tcPr>
            <w:tcW w:w="1322" w:type="dxa"/>
            <w:tcBorders>
              <w:top w:val="nil"/>
              <w:left w:val="nil"/>
              <w:bottom w:val="nil"/>
              <w:right w:val="nil"/>
            </w:tcBorders>
            <w:shd w:val="clear" w:color="auto" w:fill="auto"/>
            <w:noWrap/>
            <w:vAlign w:val="bottom"/>
            <w:hideMark/>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I(0)</w:t>
            </w:r>
          </w:p>
        </w:tc>
      </w:tr>
      <w:tr w:rsidR="005E042C" w:rsidRPr="00A31903" w:rsidTr="008549AE">
        <w:trPr>
          <w:trHeight w:val="340"/>
        </w:trPr>
        <w:tc>
          <w:tcPr>
            <w:tcW w:w="1750" w:type="dxa"/>
            <w:gridSpan w:val="2"/>
            <w:tcBorders>
              <w:top w:val="nil"/>
              <w:left w:val="nil"/>
              <w:bottom w:val="nil"/>
              <w:right w:val="nil"/>
            </w:tcBorders>
            <w:shd w:val="clear" w:color="auto" w:fill="auto"/>
            <w:noWrap/>
            <w:vAlign w:val="bottom"/>
            <w:hideMark/>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sym w:font="Symbol" w:char="F044"/>
            </w:r>
            <w:r w:rsidRPr="00A31903">
              <w:rPr>
                <w:rFonts w:ascii="Times New Roman" w:eastAsia="Times New Roman" w:hAnsi="Times New Roman" w:cs="Times New Roman"/>
                <w:lang w:eastAsia="en-GB"/>
              </w:rPr>
              <w:t>GDPG</w:t>
            </w:r>
          </w:p>
        </w:tc>
        <w:tc>
          <w:tcPr>
            <w:tcW w:w="1381" w:type="dxa"/>
            <w:gridSpan w:val="2"/>
            <w:tcBorders>
              <w:top w:val="nil"/>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-3.58474</w:t>
            </w:r>
          </w:p>
        </w:tc>
        <w:tc>
          <w:tcPr>
            <w:tcW w:w="1270" w:type="dxa"/>
            <w:tcBorders>
              <w:top w:val="nil"/>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-2.92814</w:t>
            </w:r>
          </w:p>
        </w:tc>
        <w:tc>
          <w:tcPr>
            <w:tcW w:w="1174" w:type="dxa"/>
            <w:tcBorders>
              <w:top w:val="nil"/>
              <w:left w:val="nil"/>
              <w:bottom w:val="nil"/>
              <w:right w:val="nil"/>
            </w:tcBorders>
            <w:shd w:val="clear" w:color="auto" w:fill="auto"/>
            <w:noWrap/>
            <w:vAlign w:val="bottom"/>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-2.60223</w:t>
            </w:r>
          </w:p>
        </w:tc>
        <w:tc>
          <w:tcPr>
            <w:tcW w:w="1235" w:type="dxa"/>
            <w:gridSpan w:val="2"/>
            <w:tcBorders>
              <w:top w:val="nil"/>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w:t>
            </w:r>
          </w:p>
        </w:tc>
        <w:tc>
          <w:tcPr>
            <w:tcW w:w="1659" w:type="dxa"/>
            <w:tcBorders>
              <w:top w:val="nil"/>
              <w:left w:val="nil"/>
              <w:bottom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w:t>
            </w:r>
          </w:p>
        </w:tc>
        <w:tc>
          <w:tcPr>
            <w:tcW w:w="1322" w:type="dxa"/>
            <w:tcBorders>
              <w:top w:val="nil"/>
              <w:left w:val="nil"/>
              <w:bottom w:val="nil"/>
              <w:right w:val="nil"/>
            </w:tcBorders>
            <w:shd w:val="clear" w:color="auto" w:fill="auto"/>
            <w:noWrap/>
            <w:vAlign w:val="bottom"/>
            <w:hideMark/>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I(0)</w:t>
            </w:r>
          </w:p>
        </w:tc>
      </w:tr>
      <w:tr w:rsidR="005E042C" w:rsidRPr="00A31903" w:rsidTr="008549AE">
        <w:trPr>
          <w:trHeight w:val="340"/>
        </w:trPr>
        <w:tc>
          <w:tcPr>
            <w:tcW w:w="1750" w:type="dxa"/>
            <w:gridSpan w:val="2"/>
            <w:tcBorders>
              <w:top w:val="nil"/>
              <w:left w:val="nil"/>
              <w:right w:val="nil"/>
            </w:tcBorders>
            <w:shd w:val="clear" w:color="auto" w:fill="auto"/>
            <w:noWrap/>
            <w:vAlign w:val="bottom"/>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lastRenderedPageBreak/>
              <w:sym w:font="Symbol" w:char="F044"/>
            </w:r>
            <w:r w:rsidRPr="00A31903">
              <w:rPr>
                <w:rFonts w:ascii="Times New Roman" w:eastAsia="Times New Roman" w:hAnsi="Times New Roman" w:cs="Times New Roman"/>
                <w:lang w:eastAsia="en-GB"/>
              </w:rPr>
              <w:t>AGRV</w:t>
            </w:r>
          </w:p>
        </w:tc>
        <w:tc>
          <w:tcPr>
            <w:tcW w:w="1381" w:type="dxa"/>
            <w:gridSpan w:val="2"/>
            <w:tcBorders>
              <w:top w:val="nil"/>
              <w:left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-3.58474</w:t>
            </w:r>
          </w:p>
        </w:tc>
        <w:tc>
          <w:tcPr>
            <w:tcW w:w="1270" w:type="dxa"/>
            <w:tcBorders>
              <w:top w:val="nil"/>
              <w:left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-2.92814</w:t>
            </w:r>
          </w:p>
        </w:tc>
        <w:tc>
          <w:tcPr>
            <w:tcW w:w="1174" w:type="dxa"/>
            <w:tcBorders>
              <w:top w:val="nil"/>
              <w:left w:val="nil"/>
              <w:right w:val="nil"/>
            </w:tcBorders>
            <w:shd w:val="clear" w:color="auto" w:fill="auto"/>
            <w:noWrap/>
            <w:vAlign w:val="bottom"/>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-2.60223</w:t>
            </w:r>
          </w:p>
        </w:tc>
        <w:tc>
          <w:tcPr>
            <w:tcW w:w="1235" w:type="dxa"/>
            <w:gridSpan w:val="2"/>
            <w:tcBorders>
              <w:top w:val="nil"/>
              <w:left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-4.98808</w:t>
            </w:r>
          </w:p>
        </w:tc>
        <w:tc>
          <w:tcPr>
            <w:tcW w:w="1659" w:type="dxa"/>
            <w:tcBorders>
              <w:top w:val="nil"/>
              <w:left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-5.64583</w:t>
            </w:r>
          </w:p>
        </w:tc>
        <w:tc>
          <w:tcPr>
            <w:tcW w:w="1322" w:type="dxa"/>
            <w:tcBorders>
              <w:top w:val="nil"/>
              <w:left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I(1)</w:t>
            </w:r>
          </w:p>
        </w:tc>
      </w:tr>
      <w:tr w:rsidR="005E042C" w:rsidRPr="00A31903" w:rsidTr="008549AE">
        <w:trPr>
          <w:trHeight w:val="340"/>
        </w:trPr>
        <w:tc>
          <w:tcPr>
            <w:tcW w:w="1750" w:type="dxa"/>
            <w:gridSpan w:val="2"/>
            <w:tcBorders>
              <w:top w:val="nil"/>
              <w:left w:val="nil"/>
              <w:right w:val="nil"/>
            </w:tcBorders>
            <w:shd w:val="clear" w:color="auto" w:fill="auto"/>
            <w:noWrap/>
            <w:vAlign w:val="bottom"/>
            <w:hideMark/>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sym w:font="Symbol" w:char="F044"/>
            </w:r>
            <w:r w:rsidRPr="00A31903">
              <w:rPr>
                <w:rFonts w:ascii="Times New Roman" w:eastAsia="Times New Roman" w:hAnsi="Times New Roman" w:cs="Times New Roman"/>
                <w:lang w:eastAsia="en-GB"/>
              </w:rPr>
              <w:t>DEBT</w:t>
            </w:r>
          </w:p>
        </w:tc>
        <w:tc>
          <w:tcPr>
            <w:tcW w:w="1381" w:type="dxa"/>
            <w:gridSpan w:val="2"/>
            <w:tcBorders>
              <w:top w:val="nil"/>
              <w:left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-3.58474</w:t>
            </w:r>
          </w:p>
        </w:tc>
        <w:tc>
          <w:tcPr>
            <w:tcW w:w="1270" w:type="dxa"/>
            <w:tcBorders>
              <w:top w:val="nil"/>
              <w:left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-2.92814</w:t>
            </w:r>
          </w:p>
        </w:tc>
        <w:tc>
          <w:tcPr>
            <w:tcW w:w="1174" w:type="dxa"/>
            <w:tcBorders>
              <w:top w:val="nil"/>
              <w:left w:val="nil"/>
              <w:right w:val="nil"/>
            </w:tcBorders>
            <w:shd w:val="clear" w:color="auto" w:fill="auto"/>
            <w:noWrap/>
            <w:vAlign w:val="bottom"/>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-2.60223</w:t>
            </w:r>
          </w:p>
        </w:tc>
        <w:tc>
          <w:tcPr>
            <w:tcW w:w="1235" w:type="dxa"/>
            <w:gridSpan w:val="2"/>
            <w:tcBorders>
              <w:top w:val="nil"/>
              <w:left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-5.13928</w:t>
            </w:r>
          </w:p>
        </w:tc>
        <w:tc>
          <w:tcPr>
            <w:tcW w:w="1659" w:type="dxa"/>
            <w:tcBorders>
              <w:top w:val="nil"/>
              <w:left w:val="nil"/>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-5.11882</w:t>
            </w:r>
          </w:p>
        </w:tc>
        <w:tc>
          <w:tcPr>
            <w:tcW w:w="1322" w:type="dxa"/>
            <w:tcBorders>
              <w:top w:val="nil"/>
              <w:left w:val="nil"/>
              <w:right w:val="nil"/>
            </w:tcBorders>
            <w:shd w:val="clear" w:color="auto" w:fill="auto"/>
            <w:noWrap/>
            <w:vAlign w:val="bottom"/>
            <w:hideMark/>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I(1)</w:t>
            </w:r>
          </w:p>
        </w:tc>
      </w:tr>
      <w:tr w:rsidR="005E042C" w:rsidRPr="00A31903" w:rsidTr="008549AE">
        <w:trPr>
          <w:trHeight w:val="340"/>
        </w:trPr>
        <w:tc>
          <w:tcPr>
            <w:tcW w:w="1750" w:type="dxa"/>
            <w:gridSpan w:val="2"/>
            <w:tcBorders>
              <w:top w:val="nil"/>
              <w:left w:val="nil"/>
              <w:bottom w:val="single" w:sz="4" w:space="0" w:color="000000"/>
              <w:right w:val="nil"/>
            </w:tcBorders>
            <w:shd w:val="clear" w:color="auto" w:fill="auto"/>
            <w:noWrap/>
            <w:vAlign w:val="bottom"/>
            <w:hideMark/>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sym w:font="Symbol" w:char="F044"/>
            </w:r>
            <w:r w:rsidRPr="00A31903">
              <w:rPr>
                <w:rFonts w:ascii="Times New Roman" w:eastAsia="Times New Roman" w:hAnsi="Times New Roman" w:cs="Times New Roman"/>
                <w:lang w:eastAsia="en-GB"/>
              </w:rPr>
              <w:t>SERV</w:t>
            </w:r>
          </w:p>
        </w:tc>
        <w:tc>
          <w:tcPr>
            <w:tcW w:w="1381" w:type="dxa"/>
            <w:gridSpan w:val="2"/>
            <w:tcBorders>
              <w:top w:val="nil"/>
              <w:left w:val="nil"/>
              <w:bottom w:val="single" w:sz="4" w:space="0" w:color="000000"/>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-3.58474</w:t>
            </w:r>
          </w:p>
        </w:tc>
        <w:tc>
          <w:tcPr>
            <w:tcW w:w="1270" w:type="dxa"/>
            <w:tcBorders>
              <w:top w:val="nil"/>
              <w:left w:val="nil"/>
              <w:bottom w:val="single" w:sz="4" w:space="0" w:color="000000"/>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-2.92814</w:t>
            </w:r>
          </w:p>
        </w:tc>
        <w:tc>
          <w:tcPr>
            <w:tcW w:w="1174" w:type="dxa"/>
            <w:tcBorders>
              <w:top w:val="nil"/>
              <w:left w:val="nil"/>
              <w:bottom w:val="single" w:sz="4" w:space="0" w:color="000000"/>
              <w:right w:val="nil"/>
            </w:tcBorders>
            <w:shd w:val="clear" w:color="auto" w:fill="auto"/>
            <w:noWrap/>
            <w:vAlign w:val="bottom"/>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-2.60223</w:t>
            </w:r>
          </w:p>
        </w:tc>
        <w:tc>
          <w:tcPr>
            <w:tcW w:w="1235" w:type="dxa"/>
            <w:gridSpan w:val="2"/>
            <w:tcBorders>
              <w:top w:val="nil"/>
              <w:left w:val="nil"/>
              <w:bottom w:val="single" w:sz="4" w:space="0" w:color="000000"/>
              <w:right w:val="nil"/>
            </w:tcBorders>
            <w:shd w:val="clear" w:color="auto" w:fill="auto"/>
            <w:noWrap/>
            <w:vAlign w:val="bottom"/>
          </w:tcPr>
          <w:p w:rsidR="005E042C" w:rsidRPr="00A31903" w:rsidRDefault="005E042C" w:rsidP="008549AE">
            <w:pP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 xml:space="preserve"> -5.89871</w:t>
            </w:r>
          </w:p>
        </w:tc>
        <w:tc>
          <w:tcPr>
            <w:tcW w:w="1659" w:type="dxa"/>
            <w:tcBorders>
              <w:top w:val="nil"/>
              <w:left w:val="nil"/>
              <w:bottom w:val="single" w:sz="4" w:space="0" w:color="000000"/>
              <w:right w:val="nil"/>
            </w:tcBorders>
            <w:shd w:val="clear" w:color="auto" w:fill="auto"/>
            <w:noWrap/>
            <w:vAlign w:val="bottom"/>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-5.88927</w:t>
            </w:r>
          </w:p>
        </w:tc>
        <w:tc>
          <w:tcPr>
            <w:tcW w:w="1322" w:type="dxa"/>
            <w:tcBorders>
              <w:top w:val="nil"/>
              <w:left w:val="nil"/>
              <w:bottom w:val="single" w:sz="4" w:space="0" w:color="000000"/>
              <w:right w:val="nil"/>
            </w:tcBorders>
            <w:shd w:val="clear" w:color="auto" w:fill="auto"/>
            <w:noWrap/>
            <w:vAlign w:val="bottom"/>
            <w:hideMark/>
          </w:tcPr>
          <w:p w:rsidR="005E042C" w:rsidRPr="00A31903" w:rsidRDefault="005E042C" w:rsidP="008549AE">
            <w:pPr>
              <w:jc w:val="center"/>
              <w:rPr>
                <w:rFonts w:ascii="Times New Roman" w:eastAsia="Times New Roman" w:hAnsi="Times New Roman" w:cs="Times New Roman"/>
                <w:lang w:eastAsia="en-GB"/>
              </w:rPr>
            </w:pPr>
            <w:r w:rsidRPr="00A31903">
              <w:rPr>
                <w:rFonts w:ascii="Times New Roman" w:eastAsia="Times New Roman" w:hAnsi="Times New Roman" w:cs="Times New Roman"/>
                <w:lang w:eastAsia="en-GB"/>
              </w:rPr>
              <w:t>I(1)</w:t>
            </w:r>
          </w:p>
        </w:tc>
      </w:tr>
      <w:tr w:rsidR="005E042C" w:rsidRPr="00A31903" w:rsidTr="008549AE">
        <w:tblPrEx>
          <w:tblCellMar>
            <w:left w:w="0" w:type="dxa"/>
            <w:right w:w="0" w:type="dxa"/>
          </w:tblCellMar>
          <w:tblLook w:val="0000" w:firstRow="0" w:lastRow="0" w:firstColumn="0" w:lastColumn="0" w:noHBand="0" w:noVBand="0"/>
        </w:tblPrEx>
        <w:trPr>
          <w:gridBefore w:val="1"/>
          <w:gridAfter w:val="7"/>
          <w:wBefore w:w="56" w:type="dxa"/>
          <w:wAfter w:w="7395" w:type="dxa"/>
          <w:trHeight w:hRule="exact" w:val="135"/>
        </w:trPr>
        <w:tc>
          <w:tcPr>
            <w:tcW w:w="2340" w:type="dxa"/>
            <w:gridSpan w:val="2"/>
            <w:tcBorders>
              <w:top w:val="nil"/>
              <w:left w:val="nil"/>
              <w:bottom w:val="nil"/>
              <w:right w:val="nil"/>
            </w:tcBorders>
            <w:vAlign w:val="bottom"/>
          </w:tcPr>
          <w:p w:rsidR="005E042C" w:rsidRPr="00A31903" w:rsidRDefault="005E042C" w:rsidP="008549AE">
            <w:pPr>
              <w:autoSpaceDE w:val="0"/>
              <w:autoSpaceDN w:val="0"/>
              <w:adjustRightInd w:val="0"/>
              <w:jc w:val="center"/>
              <w:rPr>
                <w:rFonts w:ascii="Times New Roman" w:hAnsi="Times New Roman" w:cs="Times New Roman"/>
                <w:b/>
              </w:rPr>
            </w:pPr>
          </w:p>
        </w:tc>
      </w:tr>
      <w:tr w:rsidR="005E042C" w:rsidRPr="00A31903" w:rsidTr="008549AE">
        <w:tblPrEx>
          <w:tblCellMar>
            <w:left w:w="0" w:type="dxa"/>
            <w:right w:w="0" w:type="dxa"/>
          </w:tblCellMar>
          <w:tblLook w:val="0000" w:firstRow="0" w:lastRow="0" w:firstColumn="0" w:lastColumn="0" w:noHBand="0" w:noVBand="0"/>
        </w:tblPrEx>
        <w:trPr>
          <w:gridBefore w:val="1"/>
          <w:gridAfter w:val="3"/>
          <w:wBefore w:w="56" w:type="dxa"/>
          <w:wAfter w:w="3877" w:type="dxa"/>
          <w:trHeight w:val="225"/>
        </w:trPr>
        <w:tc>
          <w:tcPr>
            <w:tcW w:w="5858" w:type="dxa"/>
            <w:gridSpan w:val="6"/>
            <w:tcBorders>
              <w:top w:val="nil"/>
              <w:left w:val="nil"/>
              <w:bottom w:val="nil"/>
              <w:right w:val="nil"/>
            </w:tcBorders>
            <w:vAlign w:val="bottom"/>
          </w:tcPr>
          <w:p w:rsidR="005E042C" w:rsidRPr="00A31903" w:rsidRDefault="005E042C" w:rsidP="008549AE">
            <w:pPr>
              <w:autoSpaceDE w:val="0"/>
              <w:autoSpaceDN w:val="0"/>
              <w:adjustRightInd w:val="0"/>
              <w:rPr>
                <w:rFonts w:ascii="Times New Roman" w:hAnsi="Times New Roman" w:cs="Times New Roman"/>
              </w:rPr>
            </w:pPr>
            <w:r w:rsidRPr="00A31903">
              <w:rPr>
                <w:rFonts w:ascii="Times New Roman" w:hAnsi="Times New Roman" w:cs="Times New Roman"/>
              </w:rPr>
              <w:t xml:space="preserve">**Critical values </w:t>
            </w:r>
            <w:proofErr w:type="gramStart"/>
            <w:r w:rsidRPr="00A31903">
              <w:rPr>
                <w:rFonts w:ascii="Times New Roman" w:hAnsi="Times New Roman" w:cs="Times New Roman"/>
              </w:rPr>
              <w:t>are obtained</w:t>
            </w:r>
            <w:proofErr w:type="gramEnd"/>
            <w:r w:rsidRPr="00A31903">
              <w:rPr>
                <w:rFonts w:ascii="Times New Roman" w:hAnsi="Times New Roman" w:cs="Times New Roman"/>
              </w:rPr>
              <w:t xml:space="preserve"> from MacKinnon (1996).</w:t>
            </w:r>
          </w:p>
        </w:tc>
      </w:tr>
    </w:tbl>
    <w:p w:rsidR="00EE5D08" w:rsidRPr="00A31903" w:rsidRDefault="00F621B2" w:rsidP="00681236">
      <w:pPr>
        <w:autoSpaceDE w:val="0"/>
        <w:autoSpaceDN w:val="0"/>
        <w:adjustRightInd w:val="0"/>
        <w:jc w:val="both"/>
        <w:rPr>
          <w:rFonts w:ascii="Times New Roman" w:hAnsi="Times New Roman" w:cs="Times New Roman"/>
        </w:rPr>
      </w:pPr>
      <w:r w:rsidRPr="00A31903">
        <w:rPr>
          <w:rFonts w:ascii="Times New Roman" w:hAnsi="Times New Roman" w:cs="Times New Roman"/>
        </w:rPr>
        <w:t xml:space="preserve">Since the variables are integrated of </w:t>
      </w:r>
      <w:r w:rsidR="0035337A" w:rsidRPr="00A31903">
        <w:rPr>
          <w:rFonts w:ascii="Times New Roman" w:hAnsi="Times New Roman" w:cs="Times New Roman"/>
        </w:rPr>
        <w:t xml:space="preserve">order </w:t>
      </w:r>
      <w:proofErr w:type="gramStart"/>
      <w:r w:rsidR="00681236" w:rsidRPr="00A31903">
        <w:rPr>
          <w:rFonts w:ascii="Times New Roman" w:hAnsi="Times New Roman" w:cs="Times New Roman"/>
        </w:rPr>
        <w:t>I(</w:t>
      </w:r>
      <w:proofErr w:type="gramEnd"/>
      <w:r w:rsidR="00681236" w:rsidRPr="00A31903">
        <w:rPr>
          <w:rFonts w:ascii="Times New Roman" w:hAnsi="Times New Roman" w:cs="Times New Roman"/>
        </w:rPr>
        <w:t>0) and I(1)</w:t>
      </w:r>
      <w:r w:rsidR="0035782D" w:rsidRPr="00A31903">
        <w:rPr>
          <w:rFonts w:ascii="Times New Roman" w:hAnsi="Times New Roman" w:cs="Times New Roman"/>
        </w:rPr>
        <w:t>,</w:t>
      </w:r>
      <w:r w:rsidR="00681236" w:rsidRPr="00A31903">
        <w:rPr>
          <w:rFonts w:ascii="Times New Roman" w:hAnsi="Times New Roman" w:cs="Times New Roman"/>
        </w:rPr>
        <w:t xml:space="preserve"> </w:t>
      </w:r>
      <w:r w:rsidRPr="00A31903">
        <w:rPr>
          <w:rFonts w:ascii="Times New Roman" w:hAnsi="Times New Roman" w:cs="Times New Roman"/>
        </w:rPr>
        <w:t xml:space="preserve">we </w:t>
      </w:r>
      <w:r w:rsidR="005E042C" w:rsidRPr="00A31903">
        <w:rPr>
          <w:rFonts w:ascii="Times New Roman" w:hAnsi="Times New Roman" w:cs="Times New Roman"/>
        </w:rPr>
        <w:t xml:space="preserve">proceed to test </w:t>
      </w:r>
      <w:r w:rsidR="00681236" w:rsidRPr="00A31903">
        <w:rPr>
          <w:rFonts w:ascii="Times New Roman" w:hAnsi="Times New Roman" w:cs="Times New Roman"/>
        </w:rPr>
        <w:t>for the existence of a long-run</w:t>
      </w:r>
      <w:r w:rsidR="00896074" w:rsidRPr="00A31903">
        <w:rPr>
          <w:rFonts w:ascii="Times New Roman" w:hAnsi="Times New Roman" w:cs="Times New Roman"/>
        </w:rPr>
        <w:t xml:space="preserve"> relationship among</w:t>
      </w:r>
      <w:r w:rsidR="005E042C" w:rsidRPr="00A31903">
        <w:rPr>
          <w:rFonts w:ascii="Times New Roman" w:hAnsi="Times New Roman" w:cs="Times New Roman"/>
        </w:rPr>
        <w:t xml:space="preserve"> the variables by employing </w:t>
      </w:r>
      <w:r w:rsidRPr="00A31903">
        <w:rPr>
          <w:rFonts w:ascii="Times New Roman" w:hAnsi="Times New Roman" w:cs="Times New Roman"/>
        </w:rPr>
        <w:t xml:space="preserve">ARDL </w:t>
      </w:r>
      <w:r w:rsidR="005E042C" w:rsidRPr="00A31903">
        <w:rPr>
          <w:rFonts w:ascii="Times New Roman" w:hAnsi="Times New Roman" w:cs="Times New Roman"/>
        </w:rPr>
        <w:t xml:space="preserve">bounds test for </w:t>
      </w:r>
      <w:proofErr w:type="spellStart"/>
      <w:r w:rsidR="005E042C" w:rsidRPr="00A31903">
        <w:rPr>
          <w:rFonts w:ascii="Times New Roman" w:hAnsi="Times New Roman" w:cs="Times New Roman"/>
        </w:rPr>
        <w:t>cointegration</w:t>
      </w:r>
      <w:proofErr w:type="spellEnd"/>
      <w:r w:rsidR="005E042C" w:rsidRPr="00A31903">
        <w:rPr>
          <w:rFonts w:ascii="Times New Roman" w:hAnsi="Times New Roman" w:cs="Times New Roman"/>
        </w:rPr>
        <w:t xml:space="preserve">. </w:t>
      </w:r>
    </w:p>
    <w:p w:rsidR="00F621B2" w:rsidRPr="00A31903" w:rsidRDefault="00EE5D08" w:rsidP="00681236">
      <w:pPr>
        <w:autoSpaceDE w:val="0"/>
        <w:autoSpaceDN w:val="0"/>
        <w:adjustRightInd w:val="0"/>
        <w:jc w:val="both"/>
        <w:rPr>
          <w:rFonts w:ascii="Times New Roman" w:hAnsi="Times New Roman" w:cs="Times New Roman"/>
        </w:rPr>
      </w:pPr>
      <w:r w:rsidRPr="00A31903">
        <w:rPr>
          <w:rFonts w:ascii="Times New Roman" w:hAnsi="Times New Roman" w:cs="Times New Roman"/>
        </w:rPr>
        <w:t xml:space="preserve">The ARDL has some desirable features over previous and traditional </w:t>
      </w:r>
      <w:proofErr w:type="spellStart"/>
      <w:r w:rsidRPr="00A31903">
        <w:rPr>
          <w:rFonts w:ascii="Times New Roman" w:hAnsi="Times New Roman" w:cs="Times New Roman"/>
        </w:rPr>
        <w:t>cointegration</w:t>
      </w:r>
      <w:proofErr w:type="spellEnd"/>
      <w:r w:rsidRPr="00A31903">
        <w:rPr>
          <w:rFonts w:ascii="Times New Roman" w:hAnsi="Times New Roman" w:cs="Times New Roman"/>
        </w:rPr>
        <w:t xml:space="preserve"> methods such as the Johansen </w:t>
      </w:r>
      <w:proofErr w:type="spellStart"/>
      <w:r w:rsidRPr="00A31903">
        <w:rPr>
          <w:rFonts w:ascii="Times New Roman" w:hAnsi="Times New Roman" w:cs="Times New Roman"/>
        </w:rPr>
        <w:t>cointegration</w:t>
      </w:r>
      <w:proofErr w:type="spellEnd"/>
      <w:r w:rsidRPr="00A31903">
        <w:rPr>
          <w:rFonts w:ascii="Times New Roman" w:hAnsi="Times New Roman" w:cs="Times New Roman"/>
        </w:rPr>
        <w:t xml:space="preserve">. Firstly, it does not require all the variables under study to </w:t>
      </w:r>
      <w:proofErr w:type="gramStart"/>
      <w:r w:rsidRPr="00A31903">
        <w:rPr>
          <w:rFonts w:ascii="Times New Roman" w:hAnsi="Times New Roman" w:cs="Times New Roman"/>
        </w:rPr>
        <w:t>be integrated</w:t>
      </w:r>
      <w:proofErr w:type="gramEnd"/>
      <w:r w:rsidRPr="00A31903">
        <w:rPr>
          <w:rFonts w:ascii="Times New Roman" w:hAnsi="Times New Roman" w:cs="Times New Roman"/>
        </w:rPr>
        <w:t xml:space="preserve"> of the same order. </w:t>
      </w:r>
      <w:r w:rsidR="007F1F9C" w:rsidRPr="00A31903">
        <w:rPr>
          <w:rFonts w:ascii="Times New Roman" w:hAnsi="Times New Roman" w:cs="Times New Roman"/>
        </w:rPr>
        <w:t>Thus, it is</w:t>
      </w:r>
      <w:r w:rsidRPr="00A31903">
        <w:rPr>
          <w:rFonts w:ascii="Times New Roman" w:hAnsi="Times New Roman" w:cs="Times New Roman"/>
        </w:rPr>
        <w:t xml:space="preserve"> applicable irrespective of whether the underlying series are </w:t>
      </w:r>
      <w:proofErr w:type="gramStart"/>
      <w:r w:rsidRPr="00A31903">
        <w:rPr>
          <w:rFonts w:ascii="Times New Roman" w:hAnsi="Times New Roman" w:cs="Times New Roman"/>
        </w:rPr>
        <w:t>I(</w:t>
      </w:r>
      <w:proofErr w:type="gramEnd"/>
      <w:r w:rsidRPr="00A31903">
        <w:rPr>
          <w:rFonts w:ascii="Times New Roman" w:hAnsi="Times New Roman" w:cs="Times New Roman"/>
        </w:rPr>
        <w:t xml:space="preserve">0) or I(1) but not I(2). The second </w:t>
      </w:r>
      <w:r w:rsidR="007F1F9C" w:rsidRPr="00A31903">
        <w:rPr>
          <w:rFonts w:ascii="Times New Roman" w:hAnsi="Times New Roman" w:cs="Times New Roman"/>
        </w:rPr>
        <w:t>benefit</w:t>
      </w:r>
      <w:r w:rsidRPr="00A31903">
        <w:rPr>
          <w:rFonts w:ascii="Times New Roman" w:hAnsi="Times New Roman" w:cs="Times New Roman"/>
        </w:rPr>
        <w:t xml:space="preserve"> is that the ARDL test is relatively more efficient in the case of small and finite sample data sizes (Narayan, 2004). Finally, in applying the ARDL technique, unbiased estimates of the long-run model </w:t>
      </w:r>
      <w:r w:rsidR="007F1F9C" w:rsidRPr="00A31903">
        <w:rPr>
          <w:rFonts w:ascii="Times New Roman" w:hAnsi="Times New Roman" w:cs="Times New Roman"/>
        </w:rPr>
        <w:t>are extracted</w:t>
      </w:r>
      <w:r w:rsidRPr="00A31903">
        <w:rPr>
          <w:rFonts w:ascii="Times New Roman" w:hAnsi="Times New Roman" w:cs="Times New Roman"/>
        </w:rPr>
        <w:t xml:space="preserve"> (Harris </w:t>
      </w:r>
      <w:r w:rsidR="00843E1E" w:rsidRPr="00A31903">
        <w:rPr>
          <w:rFonts w:ascii="Times New Roman" w:hAnsi="Times New Roman" w:cs="Times New Roman"/>
        </w:rPr>
        <w:t>and</w:t>
      </w:r>
      <w:r w:rsidR="00C31197" w:rsidRPr="00A31903">
        <w:rPr>
          <w:rFonts w:ascii="Times New Roman" w:hAnsi="Times New Roman" w:cs="Times New Roman"/>
        </w:rPr>
        <w:t xml:space="preserve"> </w:t>
      </w:r>
      <w:proofErr w:type="spellStart"/>
      <w:r w:rsidRPr="00A31903">
        <w:rPr>
          <w:rFonts w:ascii="Times New Roman" w:hAnsi="Times New Roman" w:cs="Times New Roman"/>
        </w:rPr>
        <w:t>Sollis</w:t>
      </w:r>
      <w:proofErr w:type="spellEnd"/>
      <w:r w:rsidRPr="00A31903">
        <w:rPr>
          <w:rFonts w:ascii="Times New Roman" w:hAnsi="Times New Roman" w:cs="Times New Roman"/>
        </w:rPr>
        <w:t>, 2003).</w:t>
      </w:r>
      <w:r w:rsidR="007E7FB1" w:rsidRPr="00A31903">
        <w:rPr>
          <w:rFonts w:ascii="Times New Roman" w:hAnsi="Times New Roman" w:cs="Times New Roman"/>
        </w:rPr>
        <w:t xml:space="preserve"> </w:t>
      </w:r>
      <w:r w:rsidR="004411B8" w:rsidRPr="00A31903">
        <w:rPr>
          <w:rFonts w:ascii="Times New Roman" w:hAnsi="Times New Roman" w:cs="Times New Roman"/>
        </w:rPr>
        <w:t xml:space="preserve">Table </w:t>
      </w:r>
      <w:r w:rsidR="00B12919" w:rsidRPr="00A31903">
        <w:rPr>
          <w:rFonts w:ascii="Times New Roman" w:hAnsi="Times New Roman" w:cs="Times New Roman"/>
        </w:rPr>
        <w:t>I</w:t>
      </w:r>
      <w:r w:rsidR="00681236" w:rsidRPr="00A31903">
        <w:rPr>
          <w:rFonts w:ascii="Times New Roman" w:hAnsi="Times New Roman" w:cs="Times New Roman"/>
        </w:rPr>
        <w:t xml:space="preserve">V displays </w:t>
      </w:r>
      <w:r w:rsidR="00F621B2" w:rsidRPr="00A31903">
        <w:rPr>
          <w:rFonts w:ascii="Times New Roman" w:hAnsi="Times New Roman" w:cs="Times New Roman"/>
        </w:rPr>
        <w:t xml:space="preserve">ARDL bounds tests for </w:t>
      </w:r>
      <w:proofErr w:type="spellStart"/>
      <w:r w:rsidR="00F621B2" w:rsidRPr="00A31903">
        <w:rPr>
          <w:rFonts w:ascii="Times New Roman" w:hAnsi="Times New Roman" w:cs="Times New Roman"/>
        </w:rPr>
        <w:t>cointegration</w:t>
      </w:r>
      <w:proofErr w:type="spellEnd"/>
      <w:r w:rsidR="00681236" w:rsidRPr="00A31903">
        <w:rPr>
          <w:rFonts w:ascii="Times New Roman" w:hAnsi="Times New Roman" w:cs="Times New Roman"/>
        </w:rPr>
        <w:t xml:space="preserve"> results</w:t>
      </w:r>
      <w:r w:rsidR="00F621B2" w:rsidRPr="00A31903">
        <w:rPr>
          <w:rFonts w:ascii="Times New Roman" w:hAnsi="Times New Roman" w:cs="Times New Roman"/>
        </w:rPr>
        <w:t xml:space="preserve">. </w:t>
      </w:r>
    </w:p>
    <w:p w:rsidR="00AE7540" w:rsidRPr="00A31903" w:rsidRDefault="00AE7540" w:rsidP="00F621B2">
      <w:pPr>
        <w:autoSpaceDE w:val="0"/>
        <w:autoSpaceDN w:val="0"/>
        <w:adjustRightInd w:val="0"/>
        <w:rPr>
          <w:rFonts w:ascii="Times New Roman" w:eastAsia="Times New Roman" w:hAnsi="Times New Roman" w:cs="Times New Roman"/>
          <w:b/>
          <w:bCs/>
          <w:lang w:eastAsia="en-GB"/>
        </w:rPr>
      </w:pPr>
    </w:p>
    <w:p w:rsidR="00F621B2" w:rsidRPr="00A31903" w:rsidRDefault="00E47858" w:rsidP="00F621B2">
      <w:pPr>
        <w:autoSpaceDE w:val="0"/>
        <w:autoSpaceDN w:val="0"/>
        <w:adjustRightInd w:val="0"/>
        <w:rPr>
          <w:rFonts w:ascii="Times New Roman" w:hAnsi="Times New Roman" w:cs="Times New Roman"/>
        </w:rPr>
      </w:pPr>
      <w:r w:rsidRPr="00A31903">
        <w:rPr>
          <w:rFonts w:ascii="Times New Roman" w:eastAsia="Times New Roman" w:hAnsi="Times New Roman" w:cs="Times New Roman"/>
          <w:b/>
          <w:bCs/>
          <w:lang w:eastAsia="en-GB"/>
        </w:rPr>
        <w:t xml:space="preserve">Table </w:t>
      </w:r>
      <w:r w:rsidR="00B12919" w:rsidRPr="00A31903">
        <w:rPr>
          <w:rFonts w:ascii="Times New Roman" w:eastAsia="Times New Roman" w:hAnsi="Times New Roman" w:cs="Times New Roman"/>
          <w:b/>
          <w:bCs/>
          <w:lang w:eastAsia="en-GB"/>
        </w:rPr>
        <w:t>I</w:t>
      </w:r>
      <w:r w:rsidR="00F621B2" w:rsidRPr="00A31903">
        <w:rPr>
          <w:rFonts w:ascii="Times New Roman" w:eastAsia="Times New Roman" w:hAnsi="Times New Roman" w:cs="Times New Roman"/>
          <w:b/>
          <w:bCs/>
          <w:lang w:eastAsia="en-GB"/>
        </w:rPr>
        <w:t xml:space="preserve">V: </w:t>
      </w:r>
      <w:r w:rsidR="00F12AD5" w:rsidRPr="00A31903">
        <w:rPr>
          <w:rFonts w:ascii="Times New Roman" w:hAnsi="Times New Roman" w:cs="Times New Roman"/>
          <w:b/>
        </w:rPr>
        <w:t>ARDL b</w:t>
      </w:r>
      <w:r w:rsidR="00F621B2" w:rsidRPr="00A31903">
        <w:rPr>
          <w:rFonts w:ascii="Times New Roman" w:hAnsi="Times New Roman" w:cs="Times New Roman"/>
          <w:b/>
        </w:rPr>
        <w:t xml:space="preserve">ounds tests for </w:t>
      </w:r>
      <w:proofErr w:type="spellStart"/>
      <w:r w:rsidR="00F621B2" w:rsidRPr="00A31903">
        <w:rPr>
          <w:rFonts w:ascii="Times New Roman" w:hAnsi="Times New Roman" w:cs="Times New Roman"/>
          <w:b/>
        </w:rPr>
        <w:t>cointegration</w:t>
      </w:r>
      <w:proofErr w:type="spellEnd"/>
    </w:p>
    <w:tbl>
      <w:tblPr>
        <w:tblW w:w="9343" w:type="dxa"/>
        <w:tblInd w:w="93" w:type="dxa"/>
        <w:tblLayout w:type="fixed"/>
        <w:tblLook w:val="04A0" w:firstRow="1" w:lastRow="0" w:firstColumn="1" w:lastColumn="0" w:noHBand="0" w:noVBand="1"/>
      </w:tblPr>
      <w:tblGrid>
        <w:gridCol w:w="15"/>
        <w:gridCol w:w="2362"/>
        <w:gridCol w:w="1765"/>
        <w:gridCol w:w="1919"/>
        <w:gridCol w:w="296"/>
        <w:gridCol w:w="1316"/>
        <w:gridCol w:w="336"/>
        <w:gridCol w:w="1275"/>
        <w:gridCol w:w="59"/>
      </w:tblGrid>
      <w:tr w:rsidR="00F621B2" w:rsidRPr="00A31903" w:rsidTr="008549AE">
        <w:trPr>
          <w:trHeight w:val="316"/>
        </w:trPr>
        <w:tc>
          <w:tcPr>
            <w:tcW w:w="6357" w:type="dxa"/>
            <w:gridSpan w:val="5"/>
            <w:tcBorders>
              <w:top w:val="nil"/>
              <w:left w:val="nil"/>
              <w:bottom w:val="nil"/>
              <w:right w:val="nil"/>
            </w:tcBorders>
            <w:shd w:val="clear" w:color="auto" w:fill="auto"/>
            <w:noWrap/>
            <w:vAlign w:val="center"/>
            <w:hideMark/>
          </w:tcPr>
          <w:p w:rsidR="00F621B2" w:rsidRPr="00A31903" w:rsidRDefault="00896074" w:rsidP="008549AE">
            <w:pPr>
              <w:rPr>
                <w:rFonts w:ascii="Times New Roman" w:eastAsia="Times New Roman" w:hAnsi="Times New Roman" w:cs="Times New Roman"/>
                <w:b/>
                <w:bCs/>
                <w:lang w:eastAsia="en-GB"/>
              </w:rPr>
            </w:pPr>
            <w:r w:rsidRPr="00A31903">
              <w:rPr>
                <w:rFonts w:ascii="Times New Roman" w:eastAsia="Times New Roman" w:hAnsi="Times New Roman" w:cs="Times New Roman"/>
                <w:b/>
                <w:bCs/>
                <w:lang w:eastAsia="en-GB"/>
              </w:rPr>
              <w:t>ARDL b</w:t>
            </w:r>
            <w:r w:rsidR="00F621B2" w:rsidRPr="00A31903">
              <w:rPr>
                <w:rFonts w:ascii="Times New Roman" w:eastAsia="Times New Roman" w:hAnsi="Times New Roman" w:cs="Times New Roman"/>
                <w:b/>
                <w:bCs/>
                <w:lang w:eastAsia="en-GB"/>
              </w:rPr>
              <w:t>ounds test</w:t>
            </w:r>
          </w:p>
        </w:tc>
        <w:tc>
          <w:tcPr>
            <w:tcW w:w="1652" w:type="dxa"/>
            <w:gridSpan w:val="2"/>
            <w:tcBorders>
              <w:top w:val="nil"/>
              <w:left w:val="nil"/>
              <w:bottom w:val="nil"/>
              <w:right w:val="nil"/>
            </w:tcBorders>
            <w:shd w:val="clear" w:color="auto" w:fill="auto"/>
            <w:noWrap/>
            <w:vAlign w:val="bottom"/>
            <w:hideMark/>
          </w:tcPr>
          <w:p w:rsidR="00F621B2" w:rsidRPr="00A31903" w:rsidRDefault="00F621B2" w:rsidP="008549AE">
            <w:pPr>
              <w:rPr>
                <w:rFonts w:ascii="Times New Roman" w:eastAsia="Times New Roman" w:hAnsi="Times New Roman" w:cs="Times New Roman"/>
                <w:lang w:eastAsia="en-GB"/>
              </w:rPr>
            </w:pPr>
          </w:p>
        </w:tc>
        <w:tc>
          <w:tcPr>
            <w:tcW w:w="1334" w:type="dxa"/>
            <w:gridSpan w:val="2"/>
            <w:tcBorders>
              <w:top w:val="nil"/>
              <w:left w:val="nil"/>
              <w:bottom w:val="nil"/>
              <w:right w:val="nil"/>
            </w:tcBorders>
            <w:shd w:val="clear" w:color="auto" w:fill="auto"/>
            <w:noWrap/>
            <w:vAlign w:val="bottom"/>
            <w:hideMark/>
          </w:tcPr>
          <w:p w:rsidR="00F621B2" w:rsidRPr="00A31903" w:rsidRDefault="00F621B2" w:rsidP="008549AE">
            <w:pPr>
              <w:rPr>
                <w:rFonts w:ascii="Times New Roman" w:eastAsia="Times New Roman" w:hAnsi="Times New Roman" w:cs="Times New Roman"/>
                <w:lang w:eastAsia="en-GB"/>
              </w:rPr>
            </w:pPr>
          </w:p>
        </w:tc>
      </w:tr>
      <w:tr w:rsidR="00F621B2" w:rsidRPr="00A31903" w:rsidTr="008549AE">
        <w:tblPrEx>
          <w:tblCellMar>
            <w:left w:w="0" w:type="dxa"/>
            <w:right w:w="0" w:type="dxa"/>
          </w:tblCellMar>
          <w:tblLook w:val="0000" w:firstRow="0" w:lastRow="0" w:firstColumn="0" w:lastColumn="0" w:noHBand="0" w:noVBand="0"/>
        </w:tblPrEx>
        <w:trPr>
          <w:gridBefore w:val="1"/>
          <w:gridAfter w:val="1"/>
          <w:wBefore w:w="15" w:type="dxa"/>
          <w:wAfter w:w="59" w:type="dxa"/>
          <w:trHeight w:val="359"/>
        </w:trPr>
        <w:tc>
          <w:tcPr>
            <w:tcW w:w="2362" w:type="dxa"/>
            <w:tcBorders>
              <w:top w:val="single" w:sz="4" w:space="0" w:color="auto"/>
              <w:left w:val="nil"/>
              <w:bottom w:val="nil"/>
              <w:right w:val="nil"/>
            </w:tcBorders>
            <w:vAlign w:val="bottom"/>
          </w:tcPr>
          <w:p w:rsidR="00F621B2" w:rsidRPr="00A31903" w:rsidRDefault="00F621B2" w:rsidP="008549AE">
            <w:pPr>
              <w:autoSpaceDE w:val="0"/>
              <w:autoSpaceDN w:val="0"/>
              <w:adjustRightInd w:val="0"/>
              <w:rPr>
                <w:rFonts w:ascii="Times New Roman" w:hAnsi="Times New Roman" w:cs="Times New Roman"/>
              </w:rPr>
            </w:pPr>
            <w:r w:rsidRPr="00A31903">
              <w:rPr>
                <w:rFonts w:ascii="Times New Roman" w:hAnsi="Times New Roman" w:cs="Times New Roman"/>
              </w:rPr>
              <w:t>Test statistic</w:t>
            </w:r>
          </w:p>
        </w:tc>
        <w:tc>
          <w:tcPr>
            <w:tcW w:w="1765" w:type="dxa"/>
            <w:tcBorders>
              <w:top w:val="single" w:sz="4" w:space="0" w:color="auto"/>
              <w:left w:val="nil"/>
              <w:bottom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919" w:type="dxa"/>
            <w:tcBorders>
              <w:top w:val="single" w:sz="4" w:space="0" w:color="auto"/>
              <w:left w:val="nil"/>
              <w:bottom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3223" w:type="dxa"/>
            <w:gridSpan w:val="4"/>
            <w:tcBorders>
              <w:top w:val="single" w:sz="4" w:space="0" w:color="auto"/>
              <w:left w:val="nil"/>
              <w:bottom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Critical values</w:t>
            </w:r>
          </w:p>
        </w:tc>
      </w:tr>
      <w:tr w:rsidR="00F621B2" w:rsidRPr="00A31903" w:rsidTr="008549AE">
        <w:tblPrEx>
          <w:tblCellMar>
            <w:left w:w="0" w:type="dxa"/>
            <w:right w:w="0" w:type="dxa"/>
          </w:tblCellMar>
          <w:tblLook w:val="0000" w:firstRow="0" w:lastRow="0" w:firstColumn="0" w:lastColumn="0" w:noHBand="0" w:noVBand="0"/>
        </w:tblPrEx>
        <w:trPr>
          <w:gridBefore w:val="1"/>
          <w:gridAfter w:val="1"/>
          <w:wBefore w:w="15" w:type="dxa"/>
          <w:wAfter w:w="59" w:type="dxa"/>
          <w:trHeight w:hRule="exact" w:val="82"/>
        </w:trPr>
        <w:tc>
          <w:tcPr>
            <w:tcW w:w="2362" w:type="dxa"/>
            <w:tcBorders>
              <w:top w:val="nil"/>
              <w:left w:val="nil"/>
              <w:bottom w:val="single" w:sz="4" w:space="0" w:color="auto"/>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765" w:type="dxa"/>
            <w:tcBorders>
              <w:top w:val="nil"/>
              <w:left w:val="nil"/>
              <w:bottom w:val="single" w:sz="4" w:space="0" w:color="auto"/>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919" w:type="dxa"/>
            <w:tcBorders>
              <w:top w:val="nil"/>
              <w:left w:val="nil"/>
              <w:bottom w:val="single" w:sz="4" w:space="0" w:color="auto"/>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612" w:type="dxa"/>
            <w:gridSpan w:val="2"/>
            <w:tcBorders>
              <w:top w:val="nil"/>
              <w:left w:val="nil"/>
              <w:bottom w:val="single" w:sz="4" w:space="0" w:color="auto"/>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611" w:type="dxa"/>
            <w:gridSpan w:val="2"/>
            <w:tcBorders>
              <w:top w:val="nil"/>
              <w:left w:val="nil"/>
              <w:bottom w:val="single" w:sz="4" w:space="0" w:color="auto"/>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r>
      <w:tr w:rsidR="00F621B2" w:rsidRPr="00A31903" w:rsidTr="008549AE">
        <w:tblPrEx>
          <w:tblCellMar>
            <w:left w:w="0" w:type="dxa"/>
            <w:right w:w="0" w:type="dxa"/>
          </w:tblCellMar>
          <w:tblLook w:val="0000" w:firstRow="0" w:lastRow="0" w:firstColumn="0" w:lastColumn="0" w:noHBand="0" w:noVBand="0"/>
        </w:tblPrEx>
        <w:trPr>
          <w:gridBefore w:val="1"/>
          <w:gridAfter w:val="1"/>
          <w:wBefore w:w="15" w:type="dxa"/>
          <w:wAfter w:w="59" w:type="dxa"/>
          <w:trHeight w:hRule="exact" w:val="397"/>
        </w:trPr>
        <w:tc>
          <w:tcPr>
            <w:tcW w:w="2362" w:type="dxa"/>
            <w:tcBorders>
              <w:top w:val="single" w:sz="4" w:space="0" w:color="auto"/>
              <w:left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765" w:type="dxa"/>
            <w:tcBorders>
              <w:top w:val="single" w:sz="4" w:space="0" w:color="auto"/>
              <w:left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Value</w:t>
            </w:r>
          </w:p>
        </w:tc>
        <w:tc>
          <w:tcPr>
            <w:tcW w:w="1919" w:type="dxa"/>
            <w:tcBorders>
              <w:top w:val="single" w:sz="4" w:space="0" w:color="auto"/>
              <w:left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Significance</w:t>
            </w:r>
          </w:p>
        </w:tc>
        <w:tc>
          <w:tcPr>
            <w:tcW w:w="1612" w:type="dxa"/>
            <w:gridSpan w:val="2"/>
            <w:tcBorders>
              <w:top w:val="single" w:sz="4" w:space="0" w:color="auto"/>
              <w:left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Lower bound</w:t>
            </w:r>
          </w:p>
        </w:tc>
        <w:tc>
          <w:tcPr>
            <w:tcW w:w="1611" w:type="dxa"/>
            <w:gridSpan w:val="2"/>
            <w:tcBorders>
              <w:top w:val="single" w:sz="4" w:space="0" w:color="auto"/>
              <w:left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Upper bound</w:t>
            </w:r>
          </w:p>
        </w:tc>
      </w:tr>
      <w:tr w:rsidR="00F621B2" w:rsidRPr="00A31903" w:rsidTr="008549AE">
        <w:tblPrEx>
          <w:tblCellMar>
            <w:left w:w="0" w:type="dxa"/>
            <w:right w:w="0" w:type="dxa"/>
          </w:tblCellMar>
          <w:tblLook w:val="0000" w:firstRow="0" w:lastRow="0" w:firstColumn="0" w:lastColumn="0" w:noHBand="0" w:noVBand="0"/>
        </w:tblPrEx>
        <w:trPr>
          <w:gridBefore w:val="1"/>
          <w:gridAfter w:val="1"/>
          <w:wBefore w:w="15" w:type="dxa"/>
          <w:wAfter w:w="59" w:type="dxa"/>
          <w:trHeight w:val="359"/>
        </w:trPr>
        <w:tc>
          <w:tcPr>
            <w:tcW w:w="2362" w:type="dxa"/>
            <w:tcBorders>
              <w:top w:val="nil"/>
              <w:left w:val="nil"/>
              <w:right w:val="nil"/>
            </w:tcBorders>
            <w:vAlign w:val="bottom"/>
          </w:tcPr>
          <w:p w:rsidR="00F621B2" w:rsidRPr="00A31903" w:rsidRDefault="00F621B2" w:rsidP="008549AE">
            <w:pPr>
              <w:autoSpaceDE w:val="0"/>
              <w:autoSpaceDN w:val="0"/>
              <w:adjustRightInd w:val="0"/>
              <w:rPr>
                <w:rFonts w:ascii="Times New Roman" w:hAnsi="Times New Roman" w:cs="Times New Roman"/>
              </w:rPr>
            </w:pPr>
            <w:r w:rsidRPr="00A31903">
              <w:rPr>
                <w:rFonts w:ascii="Times New Roman" w:hAnsi="Times New Roman" w:cs="Times New Roman"/>
              </w:rPr>
              <w:t>F-statistic</w:t>
            </w:r>
          </w:p>
        </w:tc>
        <w:tc>
          <w:tcPr>
            <w:tcW w:w="1765" w:type="dxa"/>
            <w:tcBorders>
              <w:top w:val="nil"/>
              <w:left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 7.75206**</w:t>
            </w:r>
          </w:p>
        </w:tc>
        <w:tc>
          <w:tcPr>
            <w:tcW w:w="1919" w:type="dxa"/>
            <w:tcBorders>
              <w:top w:val="nil"/>
              <w:left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612" w:type="dxa"/>
            <w:gridSpan w:val="2"/>
            <w:tcBorders>
              <w:top w:val="nil"/>
              <w:left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611" w:type="dxa"/>
            <w:gridSpan w:val="2"/>
            <w:tcBorders>
              <w:top w:val="nil"/>
              <w:left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r>
      <w:tr w:rsidR="00F621B2" w:rsidRPr="00A31903" w:rsidTr="008549AE">
        <w:tblPrEx>
          <w:tblCellMar>
            <w:left w:w="0" w:type="dxa"/>
            <w:right w:w="0" w:type="dxa"/>
          </w:tblCellMar>
          <w:tblLook w:val="0000" w:firstRow="0" w:lastRow="0" w:firstColumn="0" w:lastColumn="0" w:noHBand="0" w:noVBand="0"/>
        </w:tblPrEx>
        <w:trPr>
          <w:gridBefore w:val="1"/>
          <w:gridAfter w:val="1"/>
          <w:wBefore w:w="15" w:type="dxa"/>
          <w:wAfter w:w="59" w:type="dxa"/>
          <w:trHeight w:hRule="exact" w:val="82"/>
        </w:trPr>
        <w:tc>
          <w:tcPr>
            <w:tcW w:w="2362" w:type="dxa"/>
            <w:tcBorders>
              <w:left w:val="nil"/>
              <w:bottom w:val="single" w:sz="4" w:space="0" w:color="auto"/>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765" w:type="dxa"/>
            <w:tcBorders>
              <w:left w:val="nil"/>
              <w:bottom w:val="single" w:sz="4" w:space="0" w:color="auto"/>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919" w:type="dxa"/>
            <w:tcBorders>
              <w:left w:val="nil"/>
              <w:bottom w:val="single" w:sz="4" w:space="0" w:color="auto"/>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612" w:type="dxa"/>
            <w:gridSpan w:val="2"/>
            <w:tcBorders>
              <w:left w:val="nil"/>
              <w:bottom w:val="single" w:sz="4" w:space="0" w:color="auto"/>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611" w:type="dxa"/>
            <w:gridSpan w:val="2"/>
            <w:tcBorders>
              <w:left w:val="nil"/>
              <w:bottom w:val="single" w:sz="4" w:space="0" w:color="auto"/>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r>
      <w:tr w:rsidR="00F621B2" w:rsidRPr="00A31903" w:rsidTr="008549AE">
        <w:tblPrEx>
          <w:tblCellMar>
            <w:left w:w="0" w:type="dxa"/>
            <w:right w:w="0" w:type="dxa"/>
          </w:tblCellMar>
          <w:tblLook w:val="0000" w:firstRow="0" w:lastRow="0" w:firstColumn="0" w:lastColumn="0" w:noHBand="0" w:noVBand="0"/>
        </w:tblPrEx>
        <w:trPr>
          <w:gridBefore w:val="1"/>
          <w:gridAfter w:val="1"/>
          <w:wBefore w:w="15" w:type="dxa"/>
          <w:wAfter w:w="59" w:type="dxa"/>
          <w:trHeight w:val="359"/>
        </w:trPr>
        <w:tc>
          <w:tcPr>
            <w:tcW w:w="2362" w:type="dxa"/>
            <w:tcBorders>
              <w:top w:val="single" w:sz="4" w:space="0" w:color="auto"/>
              <w:left w:val="nil"/>
              <w:bottom w:val="nil"/>
              <w:right w:val="nil"/>
            </w:tcBorders>
            <w:vAlign w:val="bottom"/>
          </w:tcPr>
          <w:p w:rsidR="00F621B2" w:rsidRPr="00A31903" w:rsidRDefault="00F621B2" w:rsidP="008549AE">
            <w:pPr>
              <w:autoSpaceDE w:val="0"/>
              <w:autoSpaceDN w:val="0"/>
              <w:adjustRightInd w:val="0"/>
              <w:rPr>
                <w:rFonts w:ascii="Times New Roman" w:hAnsi="Times New Roman" w:cs="Times New Roman"/>
              </w:rPr>
            </w:pPr>
          </w:p>
        </w:tc>
        <w:tc>
          <w:tcPr>
            <w:tcW w:w="1765" w:type="dxa"/>
            <w:tcBorders>
              <w:top w:val="single" w:sz="4" w:space="0" w:color="auto"/>
              <w:left w:val="nil"/>
              <w:bottom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919" w:type="dxa"/>
            <w:tcBorders>
              <w:top w:val="single" w:sz="4" w:space="0" w:color="auto"/>
              <w:left w:val="nil"/>
              <w:bottom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10%</w:t>
            </w:r>
          </w:p>
        </w:tc>
        <w:tc>
          <w:tcPr>
            <w:tcW w:w="1612" w:type="dxa"/>
            <w:gridSpan w:val="2"/>
            <w:tcBorders>
              <w:top w:val="single" w:sz="4" w:space="0" w:color="auto"/>
              <w:left w:val="nil"/>
              <w:bottom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2.12</w:t>
            </w:r>
          </w:p>
        </w:tc>
        <w:tc>
          <w:tcPr>
            <w:tcW w:w="1611" w:type="dxa"/>
            <w:gridSpan w:val="2"/>
            <w:tcBorders>
              <w:top w:val="single" w:sz="4" w:space="0" w:color="auto"/>
              <w:left w:val="nil"/>
              <w:bottom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3.23</w:t>
            </w:r>
          </w:p>
        </w:tc>
      </w:tr>
      <w:tr w:rsidR="00F621B2" w:rsidRPr="00A31903" w:rsidTr="008549AE">
        <w:tblPrEx>
          <w:tblCellMar>
            <w:left w:w="0" w:type="dxa"/>
            <w:right w:w="0" w:type="dxa"/>
          </w:tblCellMar>
          <w:tblLook w:val="0000" w:firstRow="0" w:lastRow="0" w:firstColumn="0" w:lastColumn="0" w:noHBand="0" w:noVBand="0"/>
        </w:tblPrEx>
        <w:trPr>
          <w:gridBefore w:val="1"/>
          <w:gridAfter w:val="1"/>
          <w:wBefore w:w="15" w:type="dxa"/>
          <w:wAfter w:w="59" w:type="dxa"/>
          <w:trHeight w:val="359"/>
        </w:trPr>
        <w:tc>
          <w:tcPr>
            <w:tcW w:w="2362" w:type="dxa"/>
            <w:tcBorders>
              <w:left w:val="nil"/>
              <w:bottom w:val="nil"/>
              <w:right w:val="nil"/>
            </w:tcBorders>
            <w:vAlign w:val="bottom"/>
          </w:tcPr>
          <w:p w:rsidR="00F621B2" w:rsidRPr="00A31903" w:rsidRDefault="00F621B2" w:rsidP="008549AE">
            <w:pPr>
              <w:autoSpaceDE w:val="0"/>
              <w:autoSpaceDN w:val="0"/>
              <w:adjustRightInd w:val="0"/>
              <w:rPr>
                <w:rFonts w:ascii="Times New Roman" w:hAnsi="Times New Roman" w:cs="Times New Roman"/>
              </w:rPr>
            </w:pPr>
          </w:p>
        </w:tc>
        <w:tc>
          <w:tcPr>
            <w:tcW w:w="1765" w:type="dxa"/>
            <w:tcBorders>
              <w:left w:val="nil"/>
              <w:bottom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919" w:type="dxa"/>
            <w:tcBorders>
              <w:left w:val="nil"/>
              <w:bottom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5%</w:t>
            </w:r>
          </w:p>
        </w:tc>
        <w:tc>
          <w:tcPr>
            <w:tcW w:w="1612" w:type="dxa"/>
            <w:gridSpan w:val="2"/>
            <w:tcBorders>
              <w:left w:val="nil"/>
              <w:bottom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2.45</w:t>
            </w:r>
          </w:p>
        </w:tc>
        <w:tc>
          <w:tcPr>
            <w:tcW w:w="1611" w:type="dxa"/>
            <w:gridSpan w:val="2"/>
            <w:tcBorders>
              <w:left w:val="nil"/>
              <w:bottom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3.61</w:t>
            </w:r>
          </w:p>
        </w:tc>
      </w:tr>
      <w:tr w:rsidR="00F621B2" w:rsidRPr="00A31903" w:rsidTr="008549AE">
        <w:tblPrEx>
          <w:tblCellMar>
            <w:left w:w="0" w:type="dxa"/>
            <w:right w:w="0" w:type="dxa"/>
          </w:tblCellMar>
          <w:tblLook w:val="0000" w:firstRow="0" w:lastRow="0" w:firstColumn="0" w:lastColumn="0" w:noHBand="0" w:noVBand="0"/>
        </w:tblPrEx>
        <w:trPr>
          <w:gridBefore w:val="1"/>
          <w:gridAfter w:val="1"/>
          <w:wBefore w:w="15" w:type="dxa"/>
          <w:wAfter w:w="59" w:type="dxa"/>
          <w:trHeight w:val="359"/>
        </w:trPr>
        <w:tc>
          <w:tcPr>
            <w:tcW w:w="2362" w:type="dxa"/>
            <w:tcBorders>
              <w:top w:val="nil"/>
              <w:left w:val="nil"/>
              <w:bottom w:val="nil"/>
              <w:right w:val="nil"/>
            </w:tcBorders>
            <w:vAlign w:val="bottom"/>
          </w:tcPr>
          <w:p w:rsidR="00F621B2" w:rsidRPr="00A31903" w:rsidRDefault="00F621B2" w:rsidP="008549AE">
            <w:pPr>
              <w:autoSpaceDE w:val="0"/>
              <w:autoSpaceDN w:val="0"/>
              <w:adjustRightInd w:val="0"/>
              <w:rPr>
                <w:rFonts w:ascii="Times New Roman" w:hAnsi="Times New Roman" w:cs="Times New Roman"/>
              </w:rPr>
            </w:pPr>
          </w:p>
        </w:tc>
        <w:tc>
          <w:tcPr>
            <w:tcW w:w="1765" w:type="dxa"/>
            <w:tcBorders>
              <w:top w:val="nil"/>
              <w:left w:val="nil"/>
              <w:bottom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919" w:type="dxa"/>
            <w:tcBorders>
              <w:top w:val="nil"/>
              <w:left w:val="nil"/>
              <w:bottom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2.5%</w:t>
            </w:r>
          </w:p>
        </w:tc>
        <w:tc>
          <w:tcPr>
            <w:tcW w:w="1612" w:type="dxa"/>
            <w:gridSpan w:val="2"/>
            <w:tcBorders>
              <w:top w:val="nil"/>
              <w:left w:val="nil"/>
              <w:bottom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2.75</w:t>
            </w:r>
          </w:p>
        </w:tc>
        <w:tc>
          <w:tcPr>
            <w:tcW w:w="1611" w:type="dxa"/>
            <w:gridSpan w:val="2"/>
            <w:tcBorders>
              <w:top w:val="nil"/>
              <w:left w:val="nil"/>
              <w:bottom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3.99</w:t>
            </w:r>
          </w:p>
        </w:tc>
      </w:tr>
      <w:tr w:rsidR="00F621B2" w:rsidRPr="00A31903" w:rsidTr="008549AE">
        <w:tblPrEx>
          <w:tblCellMar>
            <w:left w:w="0" w:type="dxa"/>
            <w:right w:w="0" w:type="dxa"/>
          </w:tblCellMar>
          <w:tblLook w:val="0000" w:firstRow="0" w:lastRow="0" w:firstColumn="0" w:lastColumn="0" w:noHBand="0" w:noVBand="0"/>
        </w:tblPrEx>
        <w:trPr>
          <w:gridBefore w:val="1"/>
          <w:gridAfter w:val="1"/>
          <w:wBefore w:w="15" w:type="dxa"/>
          <w:wAfter w:w="59" w:type="dxa"/>
          <w:trHeight w:val="359"/>
        </w:trPr>
        <w:tc>
          <w:tcPr>
            <w:tcW w:w="2362" w:type="dxa"/>
            <w:tcBorders>
              <w:top w:val="nil"/>
              <w:left w:val="nil"/>
              <w:right w:val="nil"/>
            </w:tcBorders>
            <w:vAlign w:val="bottom"/>
          </w:tcPr>
          <w:p w:rsidR="00F621B2" w:rsidRPr="00A31903" w:rsidRDefault="00F621B2" w:rsidP="008549AE">
            <w:pPr>
              <w:autoSpaceDE w:val="0"/>
              <w:autoSpaceDN w:val="0"/>
              <w:adjustRightInd w:val="0"/>
              <w:rPr>
                <w:rFonts w:ascii="Times New Roman" w:hAnsi="Times New Roman" w:cs="Times New Roman"/>
              </w:rPr>
            </w:pPr>
          </w:p>
        </w:tc>
        <w:tc>
          <w:tcPr>
            <w:tcW w:w="1765" w:type="dxa"/>
            <w:tcBorders>
              <w:top w:val="nil"/>
              <w:left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919" w:type="dxa"/>
            <w:tcBorders>
              <w:top w:val="nil"/>
              <w:left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1%</w:t>
            </w:r>
          </w:p>
        </w:tc>
        <w:tc>
          <w:tcPr>
            <w:tcW w:w="1612" w:type="dxa"/>
            <w:gridSpan w:val="2"/>
            <w:tcBorders>
              <w:top w:val="nil"/>
              <w:left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3.15</w:t>
            </w:r>
          </w:p>
        </w:tc>
        <w:tc>
          <w:tcPr>
            <w:tcW w:w="1611" w:type="dxa"/>
            <w:gridSpan w:val="2"/>
            <w:tcBorders>
              <w:top w:val="nil"/>
              <w:left w:val="nil"/>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r w:rsidRPr="00A31903">
              <w:rPr>
                <w:rFonts w:ascii="Times New Roman" w:hAnsi="Times New Roman" w:cs="Times New Roman"/>
              </w:rPr>
              <w:t>4.43</w:t>
            </w:r>
          </w:p>
        </w:tc>
      </w:tr>
      <w:tr w:rsidR="00F621B2" w:rsidRPr="00A31903" w:rsidTr="008549AE">
        <w:tblPrEx>
          <w:tblCellMar>
            <w:left w:w="0" w:type="dxa"/>
            <w:right w:w="0" w:type="dxa"/>
          </w:tblCellMar>
          <w:tblLook w:val="0000" w:firstRow="0" w:lastRow="0" w:firstColumn="0" w:lastColumn="0" w:noHBand="0" w:noVBand="0"/>
        </w:tblPrEx>
        <w:trPr>
          <w:gridBefore w:val="1"/>
          <w:gridAfter w:val="1"/>
          <w:wBefore w:w="15" w:type="dxa"/>
          <w:wAfter w:w="59" w:type="dxa"/>
          <w:trHeight w:hRule="exact" w:val="143"/>
        </w:trPr>
        <w:tc>
          <w:tcPr>
            <w:tcW w:w="2362" w:type="dxa"/>
            <w:tcBorders>
              <w:top w:val="nil"/>
              <w:left w:val="nil"/>
              <w:bottom w:val="single" w:sz="4" w:space="0" w:color="auto"/>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765" w:type="dxa"/>
            <w:tcBorders>
              <w:top w:val="nil"/>
              <w:left w:val="nil"/>
              <w:bottom w:val="single" w:sz="4" w:space="0" w:color="auto"/>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919" w:type="dxa"/>
            <w:tcBorders>
              <w:top w:val="nil"/>
              <w:left w:val="nil"/>
              <w:bottom w:val="single" w:sz="4" w:space="0" w:color="auto"/>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612" w:type="dxa"/>
            <w:gridSpan w:val="2"/>
            <w:tcBorders>
              <w:top w:val="nil"/>
              <w:left w:val="nil"/>
              <w:bottom w:val="single" w:sz="4" w:space="0" w:color="auto"/>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c>
          <w:tcPr>
            <w:tcW w:w="1611" w:type="dxa"/>
            <w:gridSpan w:val="2"/>
            <w:tcBorders>
              <w:top w:val="nil"/>
              <w:left w:val="nil"/>
              <w:bottom w:val="single" w:sz="4" w:space="0" w:color="auto"/>
              <w:right w:val="nil"/>
            </w:tcBorders>
            <w:vAlign w:val="bottom"/>
          </w:tcPr>
          <w:p w:rsidR="00F621B2" w:rsidRPr="00A31903" w:rsidRDefault="00F621B2" w:rsidP="008549AE">
            <w:pPr>
              <w:autoSpaceDE w:val="0"/>
              <w:autoSpaceDN w:val="0"/>
              <w:adjustRightInd w:val="0"/>
              <w:jc w:val="center"/>
              <w:rPr>
                <w:rFonts w:ascii="Times New Roman" w:hAnsi="Times New Roman" w:cs="Times New Roman"/>
              </w:rPr>
            </w:pPr>
          </w:p>
        </w:tc>
      </w:tr>
      <w:tr w:rsidR="00F621B2" w:rsidRPr="00A31903" w:rsidTr="008549AE">
        <w:tblPrEx>
          <w:tblCellMar>
            <w:left w:w="0" w:type="dxa"/>
            <w:right w:w="0" w:type="dxa"/>
          </w:tblCellMar>
          <w:tblLook w:val="0000" w:firstRow="0" w:lastRow="0" w:firstColumn="0" w:lastColumn="0" w:noHBand="0" w:noVBand="0"/>
        </w:tblPrEx>
        <w:trPr>
          <w:gridBefore w:val="1"/>
          <w:gridAfter w:val="1"/>
          <w:wBefore w:w="15" w:type="dxa"/>
          <w:wAfter w:w="59" w:type="dxa"/>
          <w:trHeight w:hRule="exact" w:val="369"/>
        </w:trPr>
        <w:tc>
          <w:tcPr>
            <w:tcW w:w="9269" w:type="dxa"/>
            <w:gridSpan w:val="7"/>
            <w:tcBorders>
              <w:top w:val="single" w:sz="4" w:space="0" w:color="auto"/>
              <w:left w:val="nil"/>
              <w:bottom w:val="nil"/>
              <w:right w:val="nil"/>
            </w:tcBorders>
            <w:vAlign w:val="bottom"/>
          </w:tcPr>
          <w:p w:rsidR="00F621B2" w:rsidRPr="00A31903" w:rsidRDefault="00F621B2" w:rsidP="008549AE">
            <w:pPr>
              <w:autoSpaceDE w:val="0"/>
              <w:autoSpaceDN w:val="0"/>
              <w:adjustRightInd w:val="0"/>
              <w:rPr>
                <w:rFonts w:ascii="Times New Roman" w:hAnsi="Times New Roman" w:cs="Times New Roman"/>
              </w:rPr>
            </w:pPr>
            <w:r w:rsidRPr="00A31903">
              <w:rPr>
                <w:rFonts w:ascii="Times New Roman" w:hAnsi="Times New Roman" w:cs="Times New Roman"/>
              </w:rPr>
              <w:t xml:space="preserve">**Critical values </w:t>
            </w:r>
            <w:proofErr w:type="gramStart"/>
            <w:r w:rsidRPr="00A31903">
              <w:rPr>
                <w:rFonts w:ascii="Times New Roman" w:hAnsi="Times New Roman" w:cs="Times New Roman"/>
              </w:rPr>
              <w:t>are obtained</w:t>
            </w:r>
            <w:proofErr w:type="gramEnd"/>
            <w:r w:rsidRPr="00A31903">
              <w:rPr>
                <w:rFonts w:ascii="Times New Roman" w:hAnsi="Times New Roman" w:cs="Times New Roman"/>
              </w:rPr>
              <w:t xml:space="preserve"> from Narayan (2004).</w:t>
            </w:r>
          </w:p>
        </w:tc>
      </w:tr>
    </w:tbl>
    <w:p w:rsidR="00F16848" w:rsidRPr="00A31903" w:rsidRDefault="00F16848" w:rsidP="00376275">
      <w:pPr>
        <w:autoSpaceDE w:val="0"/>
        <w:autoSpaceDN w:val="0"/>
        <w:adjustRightInd w:val="0"/>
        <w:jc w:val="both"/>
        <w:rPr>
          <w:rFonts w:ascii="Times New Roman" w:hAnsi="Times New Roman" w:cs="Times New Roman"/>
        </w:rPr>
      </w:pPr>
    </w:p>
    <w:p w:rsidR="005E042C" w:rsidRPr="00A31903" w:rsidRDefault="005C34FB" w:rsidP="00376275">
      <w:pPr>
        <w:autoSpaceDE w:val="0"/>
        <w:autoSpaceDN w:val="0"/>
        <w:adjustRightInd w:val="0"/>
        <w:jc w:val="both"/>
        <w:rPr>
          <w:rFonts w:ascii="Times New Roman" w:hAnsi="Times New Roman" w:cs="Times New Roman"/>
        </w:rPr>
      </w:pPr>
      <w:r w:rsidRPr="00A31903">
        <w:rPr>
          <w:rFonts w:ascii="Times New Roman" w:hAnsi="Times New Roman" w:cs="Times New Roman"/>
        </w:rPr>
        <w:t>In</w:t>
      </w:r>
      <w:r w:rsidR="00F621B2" w:rsidRPr="00A31903">
        <w:rPr>
          <w:rFonts w:ascii="Times New Roman" w:hAnsi="Times New Roman" w:cs="Times New Roman"/>
        </w:rPr>
        <w:t xml:space="preserve"> </w:t>
      </w:r>
      <w:r w:rsidR="00EC6047" w:rsidRPr="00A31903">
        <w:rPr>
          <w:rFonts w:ascii="Times New Roman" w:hAnsi="Times New Roman" w:cs="Times New Roman"/>
        </w:rPr>
        <w:t xml:space="preserve">ARDL </w:t>
      </w:r>
      <w:r w:rsidR="00F621B2" w:rsidRPr="00A31903">
        <w:rPr>
          <w:rFonts w:ascii="Times New Roman" w:hAnsi="Times New Roman" w:cs="Times New Roman"/>
        </w:rPr>
        <w:t>bounds test</w:t>
      </w:r>
      <w:r w:rsidRPr="00A31903">
        <w:rPr>
          <w:rFonts w:ascii="Times New Roman" w:hAnsi="Times New Roman" w:cs="Times New Roman"/>
        </w:rPr>
        <w:t>ing</w:t>
      </w:r>
      <w:r w:rsidR="00EC6047" w:rsidRPr="00A31903">
        <w:rPr>
          <w:rFonts w:ascii="Times New Roman" w:hAnsi="Times New Roman" w:cs="Times New Roman"/>
        </w:rPr>
        <w:t>,</w:t>
      </w:r>
      <w:r w:rsidRPr="00A31903">
        <w:rPr>
          <w:rFonts w:ascii="Times New Roman" w:hAnsi="Times New Roman" w:cs="Times New Roman"/>
        </w:rPr>
        <w:t xml:space="preserve"> the joint F-statistic of</w:t>
      </w:r>
      <w:r w:rsidR="00F621B2" w:rsidRPr="00A31903">
        <w:rPr>
          <w:rFonts w:ascii="Times New Roman" w:hAnsi="Times New Roman" w:cs="Times New Roman"/>
        </w:rPr>
        <w:t xml:space="preserve"> asymptotic </w:t>
      </w:r>
      <w:r w:rsidR="00EC6047" w:rsidRPr="00A31903">
        <w:rPr>
          <w:rFonts w:ascii="Times New Roman" w:hAnsi="Times New Roman" w:cs="Times New Roman"/>
        </w:rPr>
        <w:t xml:space="preserve">distribution, which </w:t>
      </w:r>
      <w:r w:rsidR="00F621B2" w:rsidRPr="00A31903">
        <w:rPr>
          <w:rFonts w:ascii="Times New Roman" w:hAnsi="Times New Roman" w:cs="Times New Roman"/>
        </w:rPr>
        <w:t xml:space="preserve">is </w:t>
      </w:r>
      <w:r w:rsidRPr="00A31903">
        <w:rPr>
          <w:rFonts w:ascii="Times New Roman" w:hAnsi="Times New Roman" w:cs="Times New Roman"/>
        </w:rPr>
        <w:t>t</w:t>
      </w:r>
      <w:r w:rsidR="00F621B2" w:rsidRPr="00A31903">
        <w:rPr>
          <w:rFonts w:ascii="Times New Roman" w:hAnsi="Times New Roman" w:cs="Times New Roman"/>
        </w:rPr>
        <w:t>he null hypothesis of no long-run relationship</w:t>
      </w:r>
      <w:r w:rsidR="00EC6047" w:rsidRPr="00A31903">
        <w:rPr>
          <w:rFonts w:ascii="Times New Roman" w:hAnsi="Times New Roman" w:cs="Times New Roman"/>
        </w:rPr>
        <w:t>,</w:t>
      </w:r>
      <w:r w:rsidR="00F621B2" w:rsidRPr="00A31903">
        <w:rPr>
          <w:rFonts w:ascii="Times New Roman" w:hAnsi="Times New Roman" w:cs="Times New Roman"/>
        </w:rPr>
        <w:t xml:space="preserve"> </w:t>
      </w:r>
      <w:proofErr w:type="gramStart"/>
      <w:r w:rsidR="00F621B2" w:rsidRPr="00A31903">
        <w:rPr>
          <w:rFonts w:ascii="Times New Roman" w:hAnsi="Times New Roman" w:cs="Times New Roman"/>
        </w:rPr>
        <w:t>is rejected</w:t>
      </w:r>
      <w:proofErr w:type="gramEnd"/>
      <w:r w:rsidR="00F621B2" w:rsidRPr="00A31903">
        <w:rPr>
          <w:rFonts w:ascii="Times New Roman" w:hAnsi="Times New Roman" w:cs="Times New Roman"/>
        </w:rPr>
        <w:t xml:space="preserve"> when the value of the test statistic e</w:t>
      </w:r>
      <w:r w:rsidR="00896074" w:rsidRPr="00A31903">
        <w:rPr>
          <w:rFonts w:ascii="Times New Roman" w:hAnsi="Times New Roman" w:cs="Times New Roman"/>
        </w:rPr>
        <w:t>xceeds the upper critical bound</w:t>
      </w:r>
      <w:r w:rsidR="00F621B2" w:rsidRPr="00A31903">
        <w:rPr>
          <w:rFonts w:ascii="Times New Roman" w:hAnsi="Times New Roman" w:cs="Times New Roman"/>
        </w:rPr>
        <w:t xml:space="preserve"> value</w:t>
      </w:r>
      <w:r w:rsidR="00EC6047" w:rsidRPr="00A31903">
        <w:rPr>
          <w:rFonts w:ascii="Times New Roman" w:hAnsi="Times New Roman" w:cs="Times New Roman"/>
        </w:rPr>
        <w:t>s</w:t>
      </w:r>
      <w:r w:rsidR="00F621B2" w:rsidRPr="00A31903">
        <w:rPr>
          <w:rFonts w:ascii="Times New Roman" w:hAnsi="Times New Roman" w:cs="Times New Roman"/>
        </w:rPr>
        <w:t>.</w:t>
      </w:r>
      <w:r w:rsidR="00F621B2" w:rsidRPr="00A31903">
        <w:t xml:space="preserve"> </w:t>
      </w:r>
      <w:r w:rsidR="004411B8" w:rsidRPr="00A31903">
        <w:rPr>
          <w:rFonts w:ascii="Times New Roman" w:hAnsi="Times New Roman" w:cs="Times New Roman"/>
        </w:rPr>
        <w:t xml:space="preserve">Table </w:t>
      </w:r>
      <w:r w:rsidR="00B03E0A" w:rsidRPr="00A31903">
        <w:rPr>
          <w:rFonts w:ascii="Times New Roman" w:hAnsi="Times New Roman" w:cs="Times New Roman"/>
        </w:rPr>
        <w:t>I</w:t>
      </w:r>
      <w:r w:rsidR="004411B8" w:rsidRPr="00A31903">
        <w:rPr>
          <w:rFonts w:ascii="Times New Roman" w:hAnsi="Times New Roman" w:cs="Times New Roman"/>
        </w:rPr>
        <w:t>V</w:t>
      </w:r>
      <w:r w:rsidRPr="00A31903">
        <w:rPr>
          <w:rFonts w:ascii="Times New Roman" w:hAnsi="Times New Roman" w:cs="Times New Roman"/>
        </w:rPr>
        <w:t xml:space="preserve"> shows </w:t>
      </w:r>
      <w:r w:rsidR="00F16848" w:rsidRPr="00A31903">
        <w:rPr>
          <w:rFonts w:ascii="Times New Roman" w:hAnsi="Times New Roman" w:cs="Times New Roman"/>
        </w:rPr>
        <w:t xml:space="preserve">that </w:t>
      </w:r>
      <w:r w:rsidRPr="00A31903">
        <w:rPr>
          <w:rFonts w:ascii="Times New Roman" w:hAnsi="Times New Roman" w:cs="Times New Roman"/>
        </w:rPr>
        <w:t>the F-statistic of 7</w:t>
      </w:r>
      <w:r w:rsidR="00F621B2" w:rsidRPr="00A31903">
        <w:rPr>
          <w:rFonts w:ascii="Times New Roman" w:hAnsi="Times New Roman" w:cs="Times New Roman"/>
        </w:rPr>
        <w:t>.7</w:t>
      </w:r>
      <w:r w:rsidR="0078308E" w:rsidRPr="00A31903">
        <w:rPr>
          <w:rFonts w:ascii="Times New Roman" w:hAnsi="Times New Roman" w:cs="Times New Roman"/>
        </w:rPr>
        <w:t>52 is</w:t>
      </w:r>
      <w:r w:rsidR="00F621B2" w:rsidRPr="00A31903">
        <w:rPr>
          <w:rFonts w:ascii="Times New Roman" w:hAnsi="Times New Roman" w:cs="Times New Roman"/>
        </w:rPr>
        <w:t xml:space="preserve"> greater than the upper bounds </w:t>
      </w:r>
      <w:r w:rsidR="00F16848" w:rsidRPr="00A31903">
        <w:rPr>
          <w:rFonts w:ascii="Times New Roman" w:hAnsi="Times New Roman" w:cs="Times New Roman"/>
        </w:rPr>
        <w:t xml:space="preserve">values </w:t>
      </w:r>
      <w:r w:rsidR="00F621B2" w:rsidRPr="00A31903">
        <w:rPr>
          <w:rFonts w:ascii="Times New Roman" w:hAnsi="Times New Roman" w:cs="Times New Roman"/>
        </w:rPr>
        <w:t>at all significance levels</w:t>
      </w:r>
      <w:r w:rsidRPr="00A31903">
        <w:rPr>
          <w:rFonts w:ascii="Times New Roman" w:hAnsi="Times New Roman" w:cs="Times New Roman"/>
        </w:rPr>
        <w:t xml:space="preserve">. This </w:t>
      </w:r>
      <w:r w:rsidR="00F16848" w:rsidRPr="00A31903">
        <w:rPr>
          <w:rFonts w:ascii="Times New Roman" w:hAnsi="Times New Roman" w:cs="Times New Roman"/>
        </w:rPr>
        <w:t>suggests</w:t>
      </w:r>
      <w:r w:rsidR="00F621B2" w:rsidRPr="00A31903">
        <w:rPr>
          <w:rFonts w:ascii="Times New Roman" w:hAnsi="Times New Roman" w:cs="Times New Roman"/>
        </w:rPr>
        <w:t xml:space="preserve"> the existence of long-run relationship among the variables</w:t>
      </w:r>
      <w:r w:rsidRPr="00A31903">
        <w:rPr>
          <w:rFonts w:ascii="Times New Roman" w:hAnsi="Times New Roman" w:cs="Times New Roman"/>
        </w:rPr>
        <w:t xml:space="preserve"> and paves way for ARDL regression model</w:t>
      </w:r>
      <w:r w:rsidR="00F621B2" w:rsidRPr="00A31903">
        <w:rPr>
          <w:rFonts w:ascii="Times New Roman" w:hAnsi="Times New Roman" w:cs="Times New Roman"/>
        </w:rPr>
        <w:t>.</w:t>
      </w:r>
      <w:r w:rsidRPr="00A31903">
        <w:rPr>
          <w:rFonts w:ascii="Times New Roman" w:hAnsi="Times New Roman" w:cs="Times New Roman"/>
        </w:rPr>
        <w:t xml:space="preserve"> </w:t>
      </w:r>
      <w:proofErr w:type="spellStart"/>
      <w:r w:rsidR="00CE0361" w:rsidRPr="00A31903">
        <w:rPr>
          <w:rFonts w:ascii="Times New Roman" w:hAnsi="Times New Roman" w:cs="Times New Roman"/>
        </w:rPr>
        <w:t>Eviews</w:t>
      </w:r>
      <w:proofErr w:type="spellEnd"/>
      <w:r w:rsidR="00CE0361" w:rsidRPr="00A31903">
        <w:rPr>
          <w:rFonts w:ascii="Times New Roman" w:hAnsi="Times New Roman" w:cs="Times New Roman"/>
        </w:rPr>
        <w:t xml:space="preserve"> automatic selection criterion</w:t>
      </w:r>
      <w:r w:rsidR="00BB0AF1" w:rsidRPr="00A31903">
        <w:rPr>
          <w:rFonts w:ascii="Times New Roman" w:hAnsi="Times New Roman" w:cs="Times New Roman"/>
        </w:rPr>
        <w:t xml:space="preserve"> </w:t>
      </w:r>
      <w:r w:rsidR="00CE0361" w:rsidRPr="00A31903">
        <w:rPr>
          <w:rFonts w:ascii="Times New Roman" w:hAnsi="Times New Roman" w:cs="Times New Roman"/>
        </w:rPr>
        <w:t xml:space="preserve">(with a maximum of </w:t>
      </w:r>
      <w:proofErr w:type="gramStart"/>
      <w:r w:rsidR="00CE0361" w:rsidRPr="00A31903">
        <w:rPr>
          <w:rFonts w:ascii="Times New Roman" w:hAnsi="Times New Roman" w:cs="Times New Roman"/>
        </w:rPr>
        <w:t>4</w:t>
      </w:r>
      <w:proofErr w:type="gramEnd"/>
      <w:r w:rsidR="00CE0361" w:rsidRPr="00A31903">
        <w:rPr>
          <w:rFonts w:ascii="Times New Roman" w:hAnsi="Times New Roman" w:cs="Times New Roman"/>
        </w:rPr>
        <w:t xml:space="preserve"> lags) produced ARDL (4, 3, </w:t>
      </w:r>
      <w:r w:rsidR="00A660CC" w:rsidRPr="00A31903">
        <w:rPr>
          <w:rFonts w:ascii="Times New Roman" w:hAnsi="Times New Roman" w:cs="Times New Roman"/>
        </w:rPr>
        <w:t xml:space="preserve">4, 4, 2, 4, 3) as the selected </w:t>
      </w:r>
      <w:r w:rsidR="00CE0361" w:rsidRPr="00A31903">
        <w:rPr>
          <w:rFonts w:ascii="Times New Roman" w:hAnsi="Times New Roman" w:cs="Times New Roman"/>
        </w:rPr>
        <w:t>model for</w:t>
      </w:r>
      <w:r w:rsidR="005E042C" w:rsidRPr="00A31903">
        <w:rPr>
          <w:rFonts w:ascii="Times New Roman" w:hAnsi="Times New Roman" w:cs="Times New Roman"/>
        </w:rPr>
        <w:t xml:space="preserve"> further tests</w:t>
      </w:r>
      <w:r w:rsidR="00CE0361" w:rsidRPr="00A31903">
        <w:rPr>
          <w:rFonts w:ascii="Times New Roman" w:hAnsi="Times New Roman" w:cs="Times New Roman"/>
        </w:rPr>
        <w:t>.</w:t>
      </w:r>
      <w:r w:rsidR="00376275" w:rsidRPr="00A31903">
        <w:rPr>
          <w:rFonts w:ascii="Times New Roman" w:hAnsi="Times New Roman" w:cs="Times New Roman"/>
        </w:rPr>
        <w:t xml:space="preserve"> </w:t>
      </w:r>
      <w:proofErr w:type="gramStart"/>
      <w:r w:rsidR="00376275" w:rsidRPr="00A31903">
        <w:rPr>
          <w:rFonts w:ascii="Times New Roman" w:hAnsi="Times New Roman" w:cs="Times New Roman"/>
        </w:rPr>
        <w:t>The AR</w:t>
      </w:r>
      <w:r w:rsidR="005E042C" w:rsidRPr="00A31903">
        <w:rPr>
          <w:rFonts w:ascii="Times New Roman" w:hAnsi="Times New Roman" w:cs="Times New Roman"/>
        </w:rPr>
        <w:t xml:space="preserve">DL </w:t>
      </w:r>
      <w:r w:rsidR="00376275" w:rsidRPr="00A31903">
        <w:rPr>
          <w:rFonts w:ascii="Times New Roman" w:hAnsi="Times New Roman" w:cs="Times New Roman"/>
        </w:rPr>
        <w:t>model</w:t>
      </w:r>
      <w:r w:rsidR="00DA2CBB" w:rsidRPr="00A31903">
        <w:rPr>
          <w:rFonts w:ascii="Times New Roman" w:hAnsi="Times New Roman" w:cs="Times New Roman"/>
        </w:rPr>
        <w:t xml:space="preserve"> was developed by </w:t>
      </w:r>
      <w:proofErr w:type="spellStart"/>
      <w:r w:rsidR="00DA2CBB" w:rsidRPr="00A31903">
        <w:rPr>
          <w:rFonts w:ascii="Times New Roman" w:hAnsi="Times New Roman" w:cs="Times New Roman"/>
        </w:rPr>
        <w:t>Pesaran</w:t>
      </w:r>
      <w:proofErr w:type="spellEnd"/>
      <w:r w:rsidR="00DA2CBB" w:rsidRPr="00A31903">
        <w:rPr>
          <w:rFonts w:ascii="Times New Roman" w:hAnsi="Times New Roman" w:cs="Times New Roman"/>
        </w:rPr>
        <w:t xml:space="preserve"> </w:t>
      </w:r>
      <w:r w:rsidR="001E4731" w:rsidRPr="00A31903">
        <w:rPr>
          <w:rFonts w:ascii="Times New Roman" w:hAnsi="Times New Roman" w:cs="Times New Roman"/>
        </w:rPr>
        <w:t>and</w:t>
      </w:r>
      <w:r w:rsidR="005E042C" w:rsidRPr="00A31903">
        <w:rPr>
          <w:rFonts w:ascii="Times New Roman" w:hAnsi="Times New Roman" w:cs="Times New Roman"/>
        </w:rPr>
        <w:t xml:space="preserve"> Shin (1999) and </w:t>
      </w:r>
      <w:proofErr w:type="spellStart"/>
      <w:r w:rsidR="005E042C" w:rsidRPr="00A31903">
        <w:rPr>
          <w:rFonts w:ascii="Times New Roman" w:hAnsi="Times New Roman" w:cs="Times New Roman"/>
        </w:rPr>
        <w:t>Pesaran</w:t>
      </w:r>
      <w:proofErr w:type="spellEnd"/>
      <w:r w:rsidR="005E042C" w:rsidRPr="00A31903">
        <w:rPr>
          <w:rFonts w:ascii="Times New Roman" w:hAnsi="Times New Roman" w:cs="Times New Roman"/>
        </w:rPr>
        <w:t xml:space="preserve"> </w:t>
      </w:r>
      <w:r w:rsidR="005E042C" w:rsidRPr="00A31903">
        <w:rPr>
          <w:rFonts w:ascii="Times New Roman" w:hAnsi="Times New Roman" w:cs="Times New Roman"/>
          <w:i/>
        </w:rPr>
        <w:t>et al.</w:t>
      </w:r>
      <w:r w:rsidR="005E042C" w:rsidRPr="00A31903">
        <w:rPr>
          <w:rFonts w:ascii="Times New Roman" w:hAnsi="Times New Roman" w:cs="Times New Roman"/>
        </w:rPr>
        <w:t xml:space="preserve"> (2001)</w:t>
      </w:r>
      <w:proofErr w:type="gramEnd"/>
      <w:r w:rsidR="005E042C" w:rsidRPr="00A31903">
        <w:rPr>
          <w:rFonts w:ascii="Times New Roman" w:hAnsi="Times New Roman" w:cs="Times New Roman"/>
        </w:rPr>
        <w:t xml:space="preserve">.  The model </w:t>
      </w:r>
      <w:proofErr w:type="gramStart"/>
      <w:r w:rsidR="005E042C" w:rsidRPr="00A31903">
        <w:rPr>
          <w:rFonts w:ascii="Times New Roman" w:hAnsi="Times New Roman" w:cs="Times New Roman"/>
        </w:rPr>
        <w:t>is specified</w:t>
      </w:r>
      <w:proofErr w:type="gramEnd"/>
      <w:r w:rsidR="005E042C" w:rsidRPr="00A31903">
        <w:rPr>
          <w:rFonts w:ascii="Times New Roman" w:hAnsi="Times New Roman" w:cs="Times New Roman"/>
        </w:rPr>
        <w:t xml:space="preserve"> as:</w:t>
      </w:r>
    </w:p>
    <w:p w:rsidR="00EE5EE9" w:rsidRPr="00A31903" w:rsidRDefault="005E042C" w:rsidP="005E042C">
      <w:pPr>
        <w:autoSpaceDE w:val="0"/>
        <w:autoSpaceDN w:val="0"/>
        <w:adjustRightInd w:val="0"/>
        <w:rPr>
          <w:rFonts w:ascii="Times New Roman" w:hAnsi="Times New Roman" w:cs="Times New Roman"/>
        </w:rPr>
      </w:pPr>
      <w:r w:rsidRPr="00A31903">
        <w:rPr>
          <w:color w:val="FF0000"/>
        </w:rPr>
        <w:lastRenderedPageBreak/>
        <w:t xml:space="preserve"> </w:t>
      </w:r>
      <w:r w:rsidR="00EE5EE9" w:rsidRPr="00A31903">
        <w:rPr>
          <w:rFonts w:ascii="Times New Roman" w:hAnsi="Times New Roman" w:cs="Times New Roman"/>
          <w:position w:val="-84"/>
        </w:rPr>
        <w:object w:dxaOrig="7500" w:dyaOrig="2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24.5pt" o:ole="">
            <v:imagedata r:id="rId11" o:title=""/>
          </v:shape>
          <o:OLEObject Type="Embed" ProgID="Equation.3" ShapeID="_x0000_i1025" DrawAspect="Content" ObjectID="_1608575637" r:id="rId12"/>
        </w:object>
      </w:r>
      <w:r w:rsidRPr="00A31903">
        <w:rPr>
          <w:rFonts w:ascii="Times New Roman" w:hAnsi="Times New Roman" w:cs="Times New Roman"/>
          <w:position w:val="-100"/>
        </w:rPr>
        <w:t>2)</w:t>
      </w:r>
    </w:p>
    <w:p w:rsidR="0046525C" w:rsidRPr="00A31903" w:rsidRDefault="005E042C" w:rsidP="00FC542C">
      <w:pPr>
        <w:autoSpaceDE w:val="0"/>
        <w:autoSpaceDN w:val="0"/>
        <w:adjustRightInd w:val="0"/>
        <w:spacing w:after="0"/>
        <w:jc w:val="both"/>
        <w:rPr>
          <w:rFonts w:ascii="Times New Roman" w:hAnsi="Times New Roman" w:cs="Times New Roman"/>
        </w:rPr>
      </w:pPr>
      <w:proofErr w:type="gramStart"/>
      <w:r w:rsidRPr="00A31903">
        <w:rPr>
          <w:rFonts w:ascii="Times New Roman" w:hAnsi="Times New Roman" w:cs="Times New Roman"/>
        </w:rPr>
        <w:t>where</w:t>
      </w:r>
      <w:proofErr w:type="gramEnd"/>
      <w:r w:rsidRPr="00A31903">
        <w:rPr>
          <w:rFonts w:ascii="Times New Roman" w:hAnsi="Times New Roman" w:cs="Times New Roman"/>
        </w:rPr>
        <w:t xml:space="preserve"> </w:t>
      </w:r>
      <w:r w:rsidRPr="00A31903">
        <w:rPr>
          <w:rFonts w:ascii="Times New Roman" w:hAnsi="Times New Roman" w:cs="Times New Roman"/>
        </w:rPr>
        <w:sym w:font="Symbol" w:char="F044"/>
      </w:r>
      <w:r w:rsidRPr="00A31903">
        <w:rPr>
          <w:rFonts w:ascii="Times New Roman" w:hAnsi="Times New Roman" w:cs="Times New Roman"/>
        </w:rPr>
        <w:t xml:space="preserve"> is the difference operator, p is the optimal lag length,</w:t>
      </w:r>
      <w:r w:rsidR="00EE5EE9" w:rsidRPr="00A31903">
        <w:rPr>
          <w:rFonts w:ascii="Times New Roman" w:hAnsi="Times New Roman" w:cs="Times New Roman"/>
        </w:rPr>
        <w:t xml:space="preserve"> ψ representing the speed of adjustment while</w:t>
      </w:r>
      <w:r w:rsidRPr="00A31903">
        <w:rPr>
          <w:rFonts w:ascii="Times New Roman" w:hAnsi="Times New Roman" w:cs="Times New Roman"/>
        </w:rPr>
        <w:t xml:space="preserve"> </w:t>
      </w:r>
      <w:r w:rsidRPr="00A31903">
        <w:rPr>
          <w:rFonts w:ascii="Times New Roman" w:hAnsi="Times New Roman" w:cs="Times New Roman"/>
          <w:iCs/>
        </w:rPr>
        <w:t>ECMt-</w:t>
      </w:r>
      <w:r w:rsidRPr="00A31903">
        <w:rPr>
          <w:rFonts w:ascii="Times New Roman" w:hAnsi="Times New Roman" w:cs="Times New Roman"/>
          <w:iCs/>
          <w:vertAlign w:val="subscript"/>
        </w:rPr>
        <w:t>1</w:t>
      </w:r>
      <w:r w:rsidRPr="00A31903">
        <w:rPr>
          <w:rFonts w:ascii="Times New Roman" w:hAnsi="Times New Roman" w:cs="Times New Roman"/>
          <w:i/>
          <w:iCs/>
        </w:rPr>
        <w:t xml:space="preserve"> </w:t>
      </w:r>
      <w:r w:rsidRPr="00A31903">
        <w:rPr>
          <w:rFonts w:ascii="Times New Roman" w:hAnsi="Times New Roman" w:cs="Times New Roman"/>
        </w:rPr>
        <w:t>is the lagged error correction term measuring the speed of adjustment linking the short-run deviations to long-run equilibrium.</w:t>
      </w:r>
      <w:r w:rsidR="0046525C" w:rsidRPr="00A31903">
        <w:rPr>
          <w:rFonts w:ascii="Times New Roman" w:hAnsi="Times New Roman" w:cs="Times New Roman"/>
        </w:rPr>
        <w:t xml:space="preserve"> The mathematical symbols,</w:t>
      </w:r>
      <w:r w:rsidR="0046525C" w:rsidRPr="00A31903">
        <w:rPr>
          <w:rFonts w:ascii="Times New Roman" w:hAnsi="Times New Roman" w:cs="Times New Roman"/>
          <w:position w:val="-6"/>
          <w:lang w:val="en-GB"/>
        </w:rPr>
        <w:object w:dxaOrig="240" w:dyaOrig="225">
          <v:shape id="_x0000_i1026" type="#_x0000_t75" style="width:12pt;height:11.25pt" o:ole="">
            <v:imagedata r:id="rId13" o:title=""/>
          </v:shape>
          <o:OLEObject Type="Embed" ProgID="Equation.3" ShapeID="_x0000_i1026" DrawAspect="Content" ObjectID="_1608575638" r:id="rId14"/>
        </w:object>
      </w:r>
      <w:proofErr w:type="gramStart"/>
      <w:r w:rsidR="0046525C" w:rsidRPr="00A31903">
        <w:rPr>
          <w:rFonts w:ascii="Times New Roman" w:hAnsi="Times New Roman" w:cs="Times New Roman"/>
        </w:rPr>
        <w:t>,</w:t>
      </w:r>
      <w:r w:rsidR="0046525C" w:rsidRPr="00A31903">
        <w:rPr>
          <w:rFonts w:ascii="Times New Roman" w:hAnsi="Times New Roman" w:cs="Times New Roman"/>
          <w:position w:val="-10"/>
          <w:lang w:val="en-GB"/>
        </w:rPr>
        <w:object w:dxaOrig="225" w:dyaOrig="255">
          <v:shape id="_x0000_i1027" type="#_x0000_t75" style="width:11.25pt;height:12.75pt" o:ole="">
            <v:imagedata r:id="rId15" o:title=""/>
          </v:shape>
          <o:OLEObject Type="Embed" ProgID="Equation.3" ShapeID="_x0000_i1027" DrawAspect="Content" ObjectID="_1608575639" r:id="rId16"/>
        </w:object>
      </w:r>
      <w:r w:rsidR="0046525C" w:rsidRPr="00A31903">
        <w:rPr>
          <w:rFonts w:ascii="Times New Roman" w:hAnsi="Times New Roman" w:cs="Times New Roman"/>
        </w:rPr>
        <w:t>,</w:t>
      </w:r>
      <w:proofErr w:type="gramEnd"/>
      <w:r w:rsidR="0046525C" w:rsidRPr="00A31903">
        <w:rPr>
          <w:rFonts w:ascii="Times New Roman" w:hAnsi="Times New Roman" w:cs="Times New Roman"/>
        </w:rPr>
        <w:t xml:space="preserve"> and </w:t>
      </w:r>
      <w:r w:rsidR="0046525C" w:rsidRPr="00A31903">
        <w:rPr>
          <w:rFonts w:ascii="Times New Roman" w:hAnsi="Times New Roman" w:cs="Times New Roman"/>
          <w:position w:val="-6"/>
          <w:lang w:val="en-GB"/>
        </w:rPr>
        <w:object w:dxaOrig="225" w:dyaOrig="285">
          <v:shape id="_x0000_i1028" type="#_x0000_t75" style="width:11.25pt;height:14.25pt" o:ole="">
            <v:imagedata r:id="rId17" o:title=""/>
          </v:shape>
          <o:OLEObject Type="Embed" ProgID="Equation.3" ShapeID="_x0000_i1028" DrawAspect="Content" ObjectID="_1608575640" r:id="rId18"/>
        </w:object>
      </w:r>
      <w:r w:rsidR="0046525C" w:rsidRPr="00A31903">
        <w:rPr>
          <w:rFonts w:ascii="Times New Roman" w:hAnsi="Times New Roman" w:cs="Times New Roman"/>
        </w:rPr>
        <w:t xml:space="preserve">are the coefficients of the respective variables, </w:t>
      </w:r>
      <w:r w:rsidR="0046525C" w:rsidRPr="00A31903">
        <w:rPr>
          <w:rFonts w:ascii="Times New Roman" w:hAnsi="Times New Roman" w:cs="Times New Roman"/>
          <w:position w:val="-10"/>
          <w:lang w:val="en-GB"/>
        </w:rPr>
        <w:object w:dxaOrig="240" w:dyaOrig="255">
          <v:shape id="_x0000_i1029" type="#_x0000_t75" style="width:12pt;height:12.75pt" o:ole="">
            <v:imagedata r:id="rId19" o:title=""/>
          </v:shape>
          <o:OLEObject Type="Embed" ProgID="Equation.3" ShapeID="_x0000_i1029" DrawAspect="Content" ObjectID="_1608575641" r:id="rId20"/>
        </w:object>
      </w:r>
      <w:r w:rsidR="0046525C" w:rsidRPr="00A31903">
        <w:rPr>
          <w:rFonts w:ascii="Times New Roman" w:hAnsi="Times New Roman" w:cs="Times New Roman"/>
        </w:rPr>
        <w:t xml:space="preserve"> is the stochastic error term and </w:t>
      </w:r>
      <w:r w:rsidR="0046525C" w:rsidRPr="00A31903">
        <w:rPr>
          <w:rFonts w:ascii="Times New Roman" w:hAnsi="Times New Roman" w:cs="Times New Roman"/>
          <w:i/>
        </w:rPr>
        <w:t xml:space="preserve"> t  </w:t>
      </w:r>
      <w:r w:rsidR="0046525C" w:rsidRPr="00A31903">
        <w:rPr>
          <w:rFonts w:ascii="Times New Roman" w:hAnsi="Times New Roman" w:cs="Times New Roman"/>
        </w:rPr>
        <w:t xml:space="preserve">represents the time period from 1975 to 2015. </w:t>
      </w:r>
    </w:p>
    <w:p w:rsidR="006704A2" w:rsidRPr="00A31903" w:rsidRDefault="008549AE" w:rsidP="00FC542C">
      <w:pPr>
        <w:autoSpaceDE w:val="0"/>
        <w:autoSpaceDN w:val="0"/>
        <w:adjustRightInd w:val="0"/>
        <w:spacing w:after="0"/>
        <w:jc w:val="both"/>
        <w:rPr>
          <w:rFonts w:ascii="Times New Roman" w:hAnsi="Times New Roman" w:cs="Times New Roman"/>
        </w:rPr>
      </w:pPr>
      <w:r w:rsidRPr="00A31903">
        <w:rPr>
          <w:rFonts w:ascii="Times New Roman" w:hAnsi="Times New Roman" w:cs="Times New Roman"/>
        </w:rPr>
        <w:t xml:space="preserve">    The </w:t>
      </w:r>
      <w:proofErr w:type="spellStart"/>
      <w:r w:rsidRPr="00A31903">
        <w:rPr>
          <w:rFonts w:ascii="Times New Roman" w:hAnsi="Times New Roman" w:cs="Times New Roman"/>
        </w:rPr>
        <w:t>cointegrating</w:t>
      </w:r>
      <w:proofErr w:type="spellEnd"/>
      <w:r w:rsidRPr="00A31903">
        <w:rPr>
          <w:rFonts w:ascii="Times New Roman" w:hAnsi="Times New Roman" w:cs="Times New Roman"/>
        </w:rPr>
        <w:t xml:space="preserve"> equation from the ARDL</w:t>
      </w:r>
      <w:r w:rsidR="00EC6047" w:rsidRPr="00A31903">
        <w:rPr>
          <w:rFonts w:ascii="Times New Roman" w:hAnsi="Times New Roman" w:cs="Times New Roman"/>
        </w:rPr>
        <w:t xml:space="preserve"> model</w:t>
      </w:r>
      <w:r w:rsidRPr="00A31903">
        <w:rPr>
          <w:rFonts w:ascii="Times New Roman" w:hAnsi="Times New Roman" w:cs="Times New Roman"/>
        </w:rPr>
        <w:t xml:space="preserve"> </w:t>
      </w:r>
      <w:proofErr w:type="gramStart"/>
      <w:r w:rsidRPr="00A31903">
        <w:rPr>
          <w:rFonts w:ascii="Times New Roman" w:hAnsi="Times New Roman" w:cs="Times New Roman"/>
        </w:rPr>
        <w:t>is expected</w:t>
      </w:r>
      <w:proofErr w:type="gramEnd"/>
      <w:r w:rsidRPr="00A31903">
        <w:rPr>
          <w:rFonts w:ascii="Times New Roman" w:hAnsi="Times New Roman" w:cs="Times New Roman"/>
        </w:rPr>
        <w:t xml:space="preserve"> to be negati</w:t>
      </w:r>
      <w:r w:rsidR="00896074" w:rsidRPr="00A31903">
        <w:rPr>
          <w:rFonts w:ascii="Times New Roman" w:hAnsi="Times New Roman" w:cs="Times New Roman"/>
        </w:rPr>
        <w:t>ve and significant to confirm</w:t>
      </w:r>
      <w:r w:rsidRPr="00A31903">
        <w:rPr>
          <w:rFonts w:ascii="Times New Roman" w:hAnsi="Times New Roman" w:cs="Times New Roman"/>
        </w:rPr>
        <w:t xml:space="preserve"> a long-run relationship</w:t>
      </w:r>
      <w:r w:rsidR="004F67D2" w:rsidRPr="00A31903">
        <w:rPr>
          <w:rFonts w:ascii="Times New Roman" w:hAnsi="Times New Roman" w:cs="Times New Roman"/>
        </w:rPr>
        <w:t>.</w:t>
      </w:r>
      <w:r w:rsidRPr="00A31903">
        <w:rPr>
          <w:rFonts w:ascii="Times New Roman" w:hAnsi="Times New Roman" w:cs="Times New Roman"/>
        </w:rPr>
        <w:t xml:space="preserve"> A negative sign means that any shock, which occurs in the short-run, would be corrected in the </w:t>
      </w:r>
      <w:proofErr w:type="gramStart"/>
      <w:r w:rsidRPr="00A31903">
        <w:rPr>
          <w:rFonts w:ascii="Times New Roman" w:hAnsi="Times New Roman" w:cs="Times New Roman"/>
        </w:rPr>
        <w:t>long</w:t>
      </w:r>
      <w:r w:rsidR="00BB0AF1" w:rsidRPr="00A31903">
        <w:rPr>
          <w:rFonts w:ascii="Times New Roman" w:hAnsi="Times New Roman" w:cs="Times New Roman"/>
        </w:rPr>
        <w:t>-run</w:t>
      </w:r>
      <w:proofErr w:type="gramEnd"/>
      <w:r w:rsidR="00BB0AF1" w:rsidRPr="00A31903">
        <w:rPr>
          <w:rFonts w:ascii="Times New Roman" w:hAnsi="Times New Roman" w:cs="Times New Roman"/>
        </w:rPr>
        <w:t xml:space="preserve">.  However, the </w:t>
      </w:r>
      <w:r w:rsidR="0078308E" w:rsidRPr="00A31903">
        <w:rPr>
          <w:rFonts w:ascii="Times New Roman" w:hAnsi="Times New Roman" w:cs="Times New Roman"/>
        </w:rPr>
        <w:t xml:space="preserve">empirical </w:t>
      </w:r>
      <w:r w:rsidR="00BB0AF1" w:rsidRPr="00A31903">
        <w:rPr>
          <w:rFonts w:ascii="Times New Roman" w:hAnsi="Times New Roman" w:cs="Times New Roman"/>
        </w:rPr>
        <w:t>results</w:t>
      </w:r>
      <w:r w:rsidR="0078308E" w:rsidRPr="00A31903">
        <w:rPr>
          <w:rFonts w:ascii="Times New Roman" w:hAnsi="Times New Roman" w:cs="Times New Roman"/>
        </w:rPr>
        <w:t xml:space="preserve"> of</w:t>
      </w:r>
      <w:r w:rsidR="00BB0AF1" w:rsidRPr="00A31903">
        <w:rPr>
          <w:rFonts w:ascii="Times New Roman" w:hAnsi="Times New Roman" w:cs="Times New Roman"/>
        </w:rPr>
        <w:t xml:space="preserve"> </w:t>
      </w:r>
      <w:r w:rsidR="0078308E" w:rsidRPr="00A31903">
        <w:rPr>
          <w:rFonts w:ascii="Times New Roman" w:hAnsi="Times New Roman" w:cs="Times New Roman"/>
        </w:rPr>
        <w:t xml:space="preserve">ARDL (4, 3, 4, 4, 2, 4, 3) model </w:t>
      </w:r>
      <w:r w:rsidR="00BB0AF1" w:rsidRPr="00A31903">
        <w:rPr>
          <w:rFonts w:ascii="Times New Roman" w:hAnsi="Times New Roman" w:cs="Times New Roman"/>
        </w:rPr>
        <w:t>posted</w:t>
      </w:r>
      <w:r w:rsidRPr="00A31903">
        <w:rPr>
          <w:rFonts w:ascii="Times New Roman" w:hAnsi="Times New Roman" w:cs="Times New Roman"/>
        </w:rPr>
        <w:t xml:space="preserve"> a </w:t>
      </w:r>
      <w:r w:rsidR="0078308E" w:rsidRPr="00A31903">
        <w:rPr>
          <w:rFonts w:ascii="Times New Roman" w:hAnsi="Times New Roman" w:cs="Times New Roman"/>
        </w:rPr>
        <w:t>posit</w:t>
      </w:r>
      <w:r w:rsidRPr="00A31903">
        <w:rPr>
          <w:rFonts w:ascii="Times New Roman" w:hAnsi="Times New Roman" w:cs="Times New Roman"/>
        </w:rPr>
        <w:t>ive coefficient</w:t>
      </w:r>
      <w:r w:rsidR="0078308E" w:rsidRPr="00A31903">
        <w:rPr>
          <w:rFonts w:ascii="Times New Roman" w:hAnsi="Times New Roman" w:cs="Times New Roman"/>
        </w:rPr>
        <w:t xml:space="preserve"> value</w:t>
      </w:r>
      <w:r w:rsidRPr="00A31903">
        <w:rPr>
          <w:rFonts w:ascii="Times New Roman" w:hAnsi="Times New Roman" w:cs="Times New Roman"/>
        </w:rPr>
        <w:t xml:space="preserve"> of 0.417314 with a </w:t>
      </w:r>
      <w:r w:rsidR="006704A2" w:rsidRPr="00A31903">
        <w:rPr>
          <w:rFonts w:ascii="Times New Roman" w:hAnsi="Times New Roman" w:cs="Times New Roman"/>
        </w:rPr>
        <w:t xml:space="preserve">corresponding </w:t>
      </w:r>
      <w:r w:rsidRPr="00A31903">
        <w:rPr>
          <w:rFonts w:ascii="Times New Roman" w:hAnsi="Times New Roman" w:cs="Times New Roman"/>
        </w:rPr>
        <w:t xml:space="preserve">p-value of </w:t>
      </w:r>
      <w:proofErr w:type="gramStart"/>
      <w:r w:rsidRPr="00A31903">
        <w:rPr>
          <w:rFonts w:ascii="Times New Roman" w:hAnsi="Times New Roman" w:cs="Times New Roman"/>
        </w:rPr>
        <w:t>0.32</w:t>
      </w:r>
      <w:r w:rsidR="00BB0AF1" w:rsidRPr="00A31903">
        <w:rPr>
          <w:rFonts w:ascii="Times New Roman" w:hAnsi="Times New Roman" w:cs="Times New Roman"/>
        </w:rPr>
        <w:t>75 ,</w:t>
      </w:r>
      <w:proofErr w:type="gramEnd"/>
      <w:r w:rsidR="00BB0AF1" w:rsidRPr="00A31903">
        <w:rPr>
          <w:rFonts w:ascii="Times New Roman" w:hAnsi="Times New Roman" w:cs="Times New Roman"/>
        </w:rPr>
        <w:t xml:space="preserve"> failing to </w:t>
      </w:r>
      <w:r w:rsidR="00F16848" w:rsidRPr="00A31903">
        <w:rPr>
          <w:rFonts w:ascii="Times New Roman" w:hAnsi="Times New Roman" w:cs="Times New Roman"/>
        </w:rPr>
        <w:t>confirm</w:t>
      </w:r>
      <w:r w:rsidRPr="00A31903">
        <w:rPr>
          <w:rFonts w:ascii="Times New Roman" w:hAnsi="Times New Roman" w:cs="Times New Roman"/>
        </w:rPr>
        <w:t xml:space="preserve"> a long-run relationship. </w:t>
      </w:r>
    </w:p>
    <w:p w:rsidR="00B2475D" w:rsidRPr="00A31903" w:rsidRDefault="006704A2" w:rsidP="00BB0AF1">
      <w:pPr>
        <w:autoSpaceDE w:val="0"/>
        <w:autoSpaceDN w:val="0"/>
        <w:adjustRightInd w:val="0"/>
        <w:spacing w:after="0"/>
        <w:jc w:val="both"/>
        <w:rPr>
          <w:rFonts w:ascii="Times New Roman" w:hAnsi="Times New Roman" w:cs="Times New Roman"/>
        </w:rPr>
      </w:pPr>
      <w:r w:rsidRPr="00A31903">
        <w:rPr>
          <w:rFonts w:ascii="Times New Roman" w:hAnsi="Times New Roman" w:cs="Times New Roman"/>
        </w:rPr>
        <w:t xml:space="preserve">    </w:t>
      </w:r>
      <w:r w:rsidR="00BB0AF1" w:rsidRPr="00A31903">
        <w:rPr>
          <w:rFonts w:ascii="Times New Roman" w:hAnsi="Times New Roman" w:cs="Times New Roman"/>
        </w:rPr>
        <w:t>Consequently, t</w:t>
      </w:r>
      <w:r w:rsidR="008549AE" w:rsidRPr="00A31903">
        <w:rPr>
          <w:rFonts w:ascii="Times New Roman" w:hAnsi="Times New Roman" w:cs="Times New Roman"/>
        </w:rPr>
        <w:t xml:space="preserve">he study conducts a </w:t>
      </w:r>
      <w:r w:rsidR="00DE1F06" w:rsidRPr="00A31903">
        <w:rPr>
          <w:rFonts w:ascii="Times New Roman" w:hAnsi="Times New Roman" w:cs="Times New Roman"/>
        </w:rPr>
        <w:t>VAR</w:t>
      </w:r>
      <w:r w:rsidR="008549AE" w:rsidRPr="00A31903">
        <w:rPr>
          <w:rFonts w:ascii="Times New Roman" w:hAnsi="Times New Roman" w:cs="Times New Roman"/>
        </w:rPr>
        <w:t xml:space="preserve"> model</w:t>
      </w:r>
      <w:r w:rsidR="00B2475D" w:rsidRPr="00A31903">
        <w:rPr>
          <w:rFonts w:ascii="Times New Roman" w:hAnsi="Times New Roman" w:cs="Times New Roman"/>
        </w:rPr>
        <w:t xml:space="preserve"> to</w:t>
      </w:r>
      <w:r w:rsidR="008549AE" w:rsidRPr="00A31903">
        <w:rPr>
          <w:rFonts w:ascii="Times New Roman" w:hAnsi="Times New Roman" w:cs="Times New Roman"/>
        </w:rPr>
        <w:t xml:space="preserve"> </w:t>
      </w:r>
      <w:proofErr w:type="spellStart"/>
      <w:r w:rsidR="008549AE" w:rsidRPr="00A31903">
        <w:rPr>
          <w:rFonts w:ascii="Times New Roman" w:hAnsi="Times New Roman" w:cs="Times New Roman"/>
        </w:rPr>
        <w:t>analyse</w:t>
      </w:r>
      <w:proofErr w:type="spellEnd"/>
      <w:r w:rsidR="008549AE" w:rsidRPr="00A31903">
        <w:rPr>
          <w:rFonts w:ascii="Times New Roman" w:hAnsi="Times New Roman" w:cs="Times New Roman"/>
        </w:rPr>
        <w:t xml:space="preserve"> the shor</w:t>
      </w:r>
      <w:r w:rsidR="00DE1F06" w:rsidRPr="00A31903">
        <w:rPr>
          <w:rFonts w:ascii="Times New Roman" w:hAnsi="Times New Roman" w:cs="Times New Roman"/>
        </w:rPr>
        <w:t>t</w:t>
      </w:r>
      <w:r w:rsidR="008549AE" w:rsidRPr="00A31903">
        <w:rPr>
          <w:rFonts w:ascii="Times New Roman" w:hAnsi="Times New Roman" w:cs="Times New Roman"/>
        </w:rPr>
        <w:t>-run relationship</w:t>
      </w:r>
      <w:r w:rsidR="00B43210" w:rsidRPr="00A31903">
        <w:rPr>
          <w:rFonts w:ascii="Times New Roman" w:hAnsi="Times New Roman" w:cs="Times New Roman"/>
        </w:rPr>
        <w:t xml:space="preserve"> and a VAR Granger causality test to </w:t>
      </w:r>
      <w:r w:rsidRPr="00A31903">
        <w:rPr>
          <w:rFonts w:ascii="Times New Roman" w:hAnsi="Times New Roman" w:cs="Times New Roman"/>
        </w:rPr>
        <w:t>determine</w:t>
      </w:r>
      <w:r w:rsidR="00B43210" w:rsidRPr="00A31903">
        <w:rPr>
          <w:rFonts w:ascii="Times New Roman" w:hAnsi="Times New Roman" w:cs="Times New Roman"/>
        </w:rPr>
        <w:t xml:space="preserve"> </w:t>
      </w:r>
      <w:r w:rsidR="00770CB8" w:rsidRPr="00A31903">
        <w:rPr>
          <w:rFonts w:ascii="Times New Roman" w:hAnsi="Times New Roman" w:cs="Times New Roman"/>
        </w:rPr>
        <w:t>whether</w:t>
      </w:r>
      <w:r w:rsidR="00B43210" w:rsidRPr="00A31903">
        <w:rPr>
          <w:rFonts w:ascii="Times New Roman" w:hAnsi="Times New Roman" w:cs="Times New Roman"/>
        </w:rPr>
        <w:t xml:space="preserve"> </w:t>
      </w:r>
      <w:r w:rsidR="00770CB8" w:rsidRPr="00A31903">
        <w:rPr>
          <w:rFonts w:ascii="Times New Roman" w:hAnsi="Times New Roman" w:cs="Times New Roman"/>
        </w:rPr>
        <w:t>TGD</w:t>
      </w:r>
      <w:r w:rsidR="001417E2" w:rsidRPr="00A31903">
        <w:rPr>
          <w:rFonts w:ascii="Times New Roman" w:hAnsi="Times New Roman" w:cs="Times New Roman"/>
        </w:rPr>
        <w:t xml:space="preserve">P can </w:t>
      </w:r>
      <w:r w:rsidR="00EC6047" w:rsidRPr="00A31903">
        <w:rPr>
          <w:rFonts w:ascii="Times New Roman" w:hAnsi="Times New Roman" w:cs="Times New Roman"/>
        </w:rPr>
        <w:t>Granger-</w:t>
      </w:r>
      <w:r w:rsidR="001417E2" w:rsidRPr="00A31903">
        <w:rPr>
          <w:rFonts w:ascii="Times New Roman" w:hAnsi="Times New Roman" w:cs="Times New Roman"/>
        </w:rPr>
        <w:t>cause the independent variables altogether</w:t>
      </w:r>
      <w:r w:rsidR="00712A7F" w:rsidRPr="00A31903">
        <w:rPr>
          <w:rFonts w:ascii="Times New Roman" w:hAnsi="Times New Roman" w:cs="Times New Roman"/>
        </w:rPr>
        <w:t xml:space="preserve"> and the direction of the causality</w:t>
      </w:r>
      <w:r w:rsidR="008549AE" w:rsidRPr="00A31903">
        <w:rPr>
          <w:rFonts w:ascii="Times New Roman" w:hAnsi="Times New Roman" w:cs="Times New Roman"/>
        </w:rPr>
        <w:t xml:space="preserve">. </w:t>
      </w:r>
      <w:r w:rsidR="00B2475D" w:rsidRPr="00A31903">
        <w:rPr>
          <w:rFonts w:ascii="Times New Roman" w:hAnsi="Times New Roman" w:cs="Times New Roman"/>
        </w:rPr>
        <w:t>Table V displays the VAR estimates</w:t>
      </w:r>
      <w:r w:rsidR="00570517" w:rsidRPr="00A31903">
        <w:rPr>
          <w:rFonts w:ascii="Times New Roman" w:hAnsi="Times New Roman" w:cs="Times New Roman"/>
        </w:rPr>
        <w:t>.</w:t>
      </w:r>
    </w:p>
    <w:p w:rsidR="00082724" w:rsidRPr="00A31903" w:rsidRDefault="00082724" w:rsidP="00BB0AF1">
      <w:pPr>
        <w:autoSpaceDE w:val="0"/>
        <w:autoSpaceDN w:val="0"/>
        <w:adjustRightInd w:val="0"/>
        <w:spacing w:after="0"/>
        <w:jc w:val="both"/>
        <w:rPr>
          <w:rFonts w:ascii="Times New Roman" w:hAnsi="Times New Roman" w:cs="Times New Roman"/>
          <w:b/>
        </w:rPr>
      </w:pPr>
    </w:p>
    <w:p w:rsidR="00570517" w:rsidRPr="00A31903" w:rsidRDefault="00570517" w:rsidP="008549AE">
      <w:pPr>
        <w:autoSpaceDE w:val="0"/>
        <w:autoSpaceDN w:val="0"/>
        <w:adjustRightInd w:val="0"/>
        <w:jc w:val="both"/>
        <w:rPr>
          <w:rFonts w:ascii="Times New Roman" w:hAnsi="Times New Roman" w:cs="Times New Roman"/>
          <w:b/>
        </w:rPr>
      </w:pPr>
      <w:r w:rsidRPr="00A31903">
        <w:rPr>
          <w:rFonts w:ascii="Times New Roman" w:hAnsi="Times New Roman" w:cs="Times New Roman"/>
          <w:b/>
        </w:rPr>
        <w:t>Table V: Vector autoregressive</w:t>
      </w:r>
      <w:r w:rsidR="00354726" w:rsidRPr="00A31903">
        <w:rPr>
          <w:rFonts w:ascii="Times New Roman" w:hAnsi="Times New Roman" w:cs="Times New Roman"/>
          <w:b/>
        </w:rPr>
        <w:t xml:space="preserve"> (VAR) model</w:t>
      </w:r>
    </w:p>
    <w:tbl>
      <w:tblPr>
        <w:tblW w:w="0" w:type="auto"/>
        <w:tblInd w:w="30" w:type="dxa"/>
        <w:tblLayout w:type="fixed"/>
        <w:tblCellMar>
          <w:left w:w="0" w:type="dxa"/>
          <w:right w:w="0" w:type="dxa"/>
        </w:tblCellMar>
        <w:tblLook w:val="0000" w:firstRow="0" w:lastRow="0" w:firstColumn="0" w:lastColumn="0" w:noHBand="0" w:noVBand="0"/>
      </w:tblPr>
      <w:tblGrid>
        <w:gridCol w:w="2616"/>
        <w:gridCol w:w="1431"/>
        <w:gridCol w:w="1566"/>
        <w:gridCol w:w="1567"/>
        <w:gridCol w:w="1293"/>
      </w:tblGrid>
      <w:tr w:rsidR="00570517" w:rsidRPr="00A31903" w:rsidTr="00502EE0">
        <w:trPr>
          <w:trHeight w:val="365"/>
        </w:trPr>
        <w:tc>
          <w:tcPr>
            <w:tcW w:w="5613" w:type="dxa"/>
            <w:gridSpan w:val="3"/>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rPr>
                <w:rFonts w:ascii="Times New Roman" w:hAnsi="Times New Roman" w:cs="Times New Roman"/>
                <w:color w:val="000000"/>
              </w:rPr>
            </w:pPr>
            <w:r w:rsidRPr="00A31903">
              <w:rPr>
                <w:rFonts w:ascii="Times New Roman" w:hAnsi="Times New Roman" w:cs="Times New Roman"/>
                <w:color w:val="000000"/>
              </w:rPr>
              <w:t>Dependent Variable: TGDP</w:t>
            </w:r>
          </w:p>
        </w:tc>
        <w:tc>
          <w:tcPr>
            <w:tcW w:w="1567"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293"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r>
      <w:tr w:rsidR="00570517" w:rsidRPr="00A31903" w:rsidTr="00502EE0">
        <w:trPr>
          <w:trHeight w:val="365"/>
        </w:trPr>
        <w:tc>
          <w:tcPr>
            <w:tcW w:w="8473" w:type="dxa"/>
            <w:gridSpan w:val="5"/>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rPr>
                <w:rFonts w:ascii="Times New Roman" w:hAnsi="Times New Roman" w:cs="Times New Roman"/>
                <w:color w:val="000000"/>
              </w:rPr>
            </w:pPr>
            <w:r w:rsidRPr="00A31903">
              <w:rPr>
                <w:rFonts w:ascii="Times New Roman" w:hAnsi="Times New Roman" w:cs="Times New Roman"/>
                <w:color w:val="000000"/>
              </w:rPr>
              <w:t xml:space="preserve">Method: Least Squares </w:t>
            </w:r>
            <w:r w:rsidR="00FF0223" w:rsidRPr="00A31903">
              <w:rPr>
                <w:rFonts w:ascii="Times New Roman" w:hAnsi="Times New Roman" w:cs="Times New Roman"/>
              </w:rPr>
              <w:t>(4, 3, 4, 4, 2, 4, 3)</w:t>
            </w:r>
          </w:p>
        </w:tc>
      </w:tr>
      <w:tr w:rsidR="00570517" w:rsidRPr="00A31903" w:rsidTr="00082724">
        <w:trPr>
          <w:trHeight w:hRule="exact" w:val="146"/>
        </w:trPr>
        <w:tc>
          <w:tcPr>
            <w:tcW w:w="2616"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431"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6"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7"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293"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r>
      <w:tr w:rsidR="00570517" w:rsidRPr="00A31903" w:rsidTr="00082724">
        <w:trPr>
          <w:trHeight w:hRule="exact" w:val="219"/>
        </w:trPr>
        <w:tc>
          <w:tcPr>
            <w:tcW w:w="2616"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431"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6"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7"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293"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r>
      <w:tr w:rsidR="00570517" w:rsidRPr="00A31903" w:rsidTr="00502EE0">
        <w:trPr>
          <w:trHeight w:val="365"/>
        </w:trPr>
        <w:tc>
          <w:tcPr>
            <w:tcW w:w="2616" w:type="dxa"/>
            <w:tcBorders>
              <w:top w:val="nil"/>
              <w:left w:val="nil"/>
              <w:bottom w:val="nil"/>
              <w:right w:val="nil"/>
            </w:tcBorders>
            <w:vAlign w:val="bottom"/>
          </w:tcPr>
          <w:p w:rsidR="00570517" w:rsidRPr="00A31903" w:rsidRDefault="00FF0223" w:rsidP="00662CE7">
            <w:pPr>
              <w:autoSpaceDE w:val="0"/>
              <w:autoSpaceDN w:val="0"/>
              <w:adjustRightInd w:val="0"/>
              <w:spacing w:after="0" w:line="240" w:lineRule="auto"/>
              <w:jc w:val="center"/>
              <w:rPr>
                <w:rFonts w:ascii="Times New Roman" w:hAnsi="Times New Roman" w:cs="Times New Roman"/>
                <w:color w:val="000000"/>
              </w:rPr>
            </w:pPr>
            <w:r w:rsidRPr="00A31903">
              <w:rPr>
                <w:rFonts w:ascii="Times New Roman" w:hAnsi="Times New Roman" w:cs="Times New Roman"/>
                <w:color w:val="000000"/>
              </w:rPr>
              <w:t>Variable</w:t>
            </w:r>
          </w:p>
        </w:tc>
        <w:tc>
          <w:tcPr>
            <w:tcW w:w="1431"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Coefficient</w:t>
            </w:r>
          </w:p>
        </w:tc>
        <w:tc>
          <w:tcPr>
            <w:tcW w:w="1566"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Std. Error</w:t>
            </w:r>
          </w:p>
        </w:tc>
        <w:tc>
          <w:tcPr>
            <w:tcW w:w="1567"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t-Statistic</w:t>
            </w:r>
          </w:p>
        </w:tc>
        <w:tc>
          <w:tcPr>
            <w:tcW w:w="1293"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proofErr w:type="gramStart"/>
            <w:r w:rsidRPr="00A31903">
              <w:rPr>
                <w:rFonts w:ascii="Times New Roman" w:hAnsi="Times New Roman" w:cs="Times New Roman"/>
                <w:color w:val="000000"/>
              </w:rPr>
              <w:t>Prob.</w:t>
            </w:r>
            <w:proofErr w:type="gramEnd"/>
            <w:r w:rsidRPr="00A31903">
              <w:rPr>
                <w:rFonts w:ascii="Times New Roman" w:hAnsi="Times New Roman" w:cs="Times New Roman"/>
                <w:color w:val="000000"/>
              </w:rPr>
              <w:t>  </w:t>
            </w:r>
          </w:p>
        </w:tc>
      </w:tr>
      <w:tr w:rsidR="00570517" w:rsidRPr="00A31903" w:rsidTr="00082724">
        <w:trPr>
          <w:trHeight w:hRule="exact" w:val="146"/>
        </w:trPr>
        <w:tc>
          <w:tcPr>
            <w:tcW w:w="2616"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431"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6"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7"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293"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r>
      <w:tr w:rsidR="00570517" w:rsidRPr="00A31903" w:rsidTr="00082724">
        <w:trPr>
          <w:trHeight w:hRule="exact" w:val="219"/>
        </w:trPr>
        <w:tc>
          <w:tcPr>
            <w:tcW w:w="2616"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431"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6"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7"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293"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r>
      <w:tr w:rsidR="00570517" w:rsidRPr="00A31903" w:rsidTr="00502EE0">
        <w:trPr>
          <w:trHeight w:val="365"/>
        </w:trPr>
        <w:tc>
          <w:tcPr>
            <w:tcW w:w="2616" w:type="dxa"/>
            <w:tcBorders>
              <w:top w:val="nil"/>
              <w:left w:val="nil"/>
              <w:bottom w:val="nil"/>
              <w:right w:val="nil"/>
            </w:tcBorders>
            <w:vAlign w:val="bottom"/>
          </w:tcPr>
          <w:p w:rsidR="00570517" w:rsidRPr="00A31903" w:rsidRDefault="00502EE0" w:rsidP="00502EE0">
            <w:pPr>
              <w:autoSpaceDE w:val="0"/>
              <w:autoSpaceDN w:val="0"/>
              <w:adjustRightInd w:val="0"/>
              <w:spacing w:after="0" w:line="240" w:lineRule="auto"/>
              <w:jc w:val="center"/>
              <w:rPr>
                <w:rFonts w:ascii="Times New Roman" w:hAnsi="Times New Roman" w:cs="Times New Roman"/>
                <w:color w:val="000000"/>
              </w:rPr>
            </w:pPr>
            <w:r w:rsidRPr="00A31903">
              <w:rPr>
                <w:rFonts w:ascii="Times New Roman" w:hAnsi="Times New Roman" w:cs="Times New Roman"/>
                <w:color w:val="000000"/>
              </w:rPr>
              <w:t>INFL</w:t>
            </w:r>
            <w:r w:rsidR="00570517" w:rsidRPr="00A31903">
              <w:rPr>
                <w:rFonts w:ascii="Times New Roman" w:hAnsi="Times New Roman" w:cs="Times New Roman"/>
                <w:color w:val="000000"/>
              </w:rPr>
              <w:t>(</w:t>
            </w:r>
            <w:r w:rsidRPr="00A31903">
              <w:rPr>
                <w:rFonts w:ascii="Times New Roman" w:hAnsi="Times New Roman" w:cs="Times New Roman"/>
                <w:color w:val="000000"/>
              </w:rPr>
              <w:t>-</w:t>
            </w:r>
            <w:r w:rsidR="00FF0223" w:rsidRPr="00A31903">
              <w:rPr>
                <w:rFonts w:ascii="Times New Roman" w:hAnsi="Times New Roman" w:cs="Times New Roman"/>
                <w:color w:val="000000"/>
              </w:rPr>
              <w:t>3</w:t>
            </w:r>
            <w:r w:rsidR="00570517" w:rsidRPr="00A31903">
              <w:rPr>
                <w:rFonts w:ascii="Times New Roman" w:hAnsi="Times New Roman" w:cs="Times New Roman"/>
                <w:color w:val="000000"/>
              </w:rPr>
              <w:t>)</w:t>
            </w:r>
          </w:p>
        </w:tc>
        <w:tc>
          <w:tcPr>
            <w:tcW w:w="1431"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-0.039867</w:t>
            </w:r>
          </w:p>
        </w:tc>
        <w:tc>
          <w:tcPr>
            <w:tcW w:w="1566"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0.028514</w:t>
            </w:r>
          </w:p>
        </w:tc>
        <w:tc>
          <w:tcPr>
            <w:tcW w:w="1567"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-1.398139</w:t>
            </w:r>
          </w:p>
        </w:tc>
        <w:tc>
          <w:tcPr>
            <w:tcW w:w="1293"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0.1956</w:t>
            </w:r>
          </w:p>
        </w:tc>
      </w:tr>
      <w:tr w:rsidR="00570517" w:rsidRPr="00A31903" w:rsidTr="00502EE0">
        <w:trPr>
          <w:trHeight w:val="365"/>
        </w:trPr>
        <w:tc>
          <w:tcPr>
            <w:tcW w:w="2616" w:type="dxa"/>
            <w:tcBorders>
              <w:top w:val="nil"/>
              <w:left w:val="nil"/>
              <w:bottom w:val="nil"/>
              <w:right w:val="nil"/>
            </w:tcBorders>
            <w:vAlign w:val="bottom"/>
          </w:tcPr>
          <w:p w:rsidR="00570517" w:rsidRPr="00A31903" w:rsidRDefault="00502EE0" w:rsidP="00502EE0">
            <w:pPr>
              <w:autoSpaceDE w:val="0"/>
              <w:autoSpaceDN w:val="0"/>
              <w:adjustRightInd w:val="0"/>
              <w:spacing w:after="0" w:line="240" w:lineRule="auto"/>
              <w:jc w:val="center"/>
              <w:rPr>
                <w:rFonts w:ascii="Times New Roman" w:hAnsi="Times New Roman" w:cs="Times New Roman"/>
                <w:color w:val="000000"/>
              </w:rPr>
            </w:pPr>
            <w:r w:rsidRPr="00A31903">
              <w:rPr>
                <w:rFonts w:ascii="Times New Roman" w:hAnsi="Times New Roman" w:cs="Times New Roman"/>
                <w:color w:val="000000"/>
              </w:rPr>
              <w:t>POPG</w:t>
            </w:r>
            <w:r w:rsidR="00570517" w:rsidRPr="00A31903">
              <w:rPr>
                <w:rFonts w:ascii="Times New Roman" w:hAnsi="Times New Roman" w:cs="Times New Roman"/>
                <w:color w:val="000000"/>
              </w:rPr>
              <w:t>(</w:t>
            </w:r>
            <w:r w:rsidRPr="00A31903">
              <w:rPr>
                <w:rFonts w:ascii="Times New Roman" w:hAnsi="Times New Roman" w:cs="Times New Roman"/>
                <w:color w:val="000000"/>
              </w:rPr>
              <w:t>-4</w:t>
            </w:r>
            <w:r w:rsidR="00570517" w:rsidRPr="00A31903">
              <w:rPr>
                <w:rFonts w:ascii="Times New Roman" w:hAnsi="Times New Roman" w:cs="Times New Roman"/>
                <w:color w:val="000000"/>
              </w:rPr>
              <w:t>)</w:t>
            </w:r>
          </w:p>
        </w:tc>
        <w:tc>
          <w:tcPr>
            <w:tcW w:w="1431"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5</w:t>
            </w:r>
            <w:r w:rsidR="00275EB8" w:rsidRPr="00A31903">
              <w:rPr>
                <w:rFonts w:ascii="Times New Roman" w:hAnsi="Times New Roman" w:cs="Times New Roman"/>
                <w:color w:val="000000"/>
              </w:rPr>
              <w:t>.136232</w:t>
            </w:r>
          </w:p>
        </w:tc>
        <w:tc>
          <w:tcPr>
            <w:tcW w:w="1566" w:type="dxa"/>
            <w:tcBorders>
              <w:top w:val="nil"/>
              <w:left w:val="nil"/>
              <w:bottom w:val="nil"/>
              <w:right w:val="nil"/>
            </w:tcBorders>
            <w:vAlign w:val="bottom"/>
          </w:tcPr>
          <w:p w:rsidR="00570517" w:rsidRPr="00A31903" w:rsidRDefault="00275EB8"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16.70760</w:t>
            </w:r>
          </w:p>
        </w:tc>
        <w:tc>
          <w:tcPr>
            <w:tcW w:w="1567" w:type="dxa"/>
            <w:tcBorders>
              <w:top w:val="nil"/>
              <w:left w:val="nil"/>
              <w:bottom w:val="nil"/>
              <w:right w:val="nil"/>
            </w:tcBorders>
            <w:vAlign w:val="bottom"/>
          </w:tcPr>
          <w:p w:rsidR="00570517" w:rsidRPr="00A31903" w:rsidRDefault="00275EB8"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0.307419</w:t>
            </w:r>
          </w:p>
        </w:tc>
        <w:tc>
          <w:tcPr>
            <w:tcW w:w="1293" w:type="dxa"/>
            <w:tcBorders>
              <w:top w:val="nil"/>
              <w:left w:val="nil"/>
              <w:bottom w:val="nil"/>
              <w:right w:val="nil"/>
            </w:tcBorders>
            <w:vAlign w:val="bottom"/>
          </w:tcPr>
          <w:p w:rsidR="00570517" w:rsidRPr="00A31903" w:rsidRDefault="00570517" w:rsidP="00275EB8">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w:t>
            </w:r>
            <w:r w:rsidR="00275EB8" w:rsidRPr="00A31903">
              <w:rPr>
                <w:rFonts w:ascii="Times New Roman" w:hAnsi="Times New Roman" w:cs="Times New Roman"/>
                <w:color w:val="000000"/>
              </w:rPr>
              <w:t>0765</w:t>
            </w:r>
          </w:p>
        </w:tc>
      </w:tr>
      <w:tr w:rsidR="00570517" w:rsidRPr="00A31903" w:rsidTr="00502EE0">
        <w:trPr>
          <w:trHeight w:val="365"/>
        </w:trPr>
        <w:tc>
          <w:tcPr>
            <w:tcW w:w="2616" w:type="dxa"/>
            <w:tcBorders>
              <w:top w:val="nil"/>
              <w:left w:val="nil"/>
              <w:bottom w:val="nil"/>
              <w:right w:val="nil"/>
            </w:tcBorders>
            <w:vAlign w:val="bottom"/>
          </w:tcPr>
          <w:p w:rsidR="00570517" w:rsidRPr="00A31903" w:rsidRDefault="00FF0223" w:rsidP="00662CE7">
            <w:pPr>
              <w:autoSpaceDE w:val="0"/>
              <w:autoSpaceDN w:val="0"/>
              <w:adjustRightInd w:val="0"/>
              <w:spacing w:after="0" w:line="240" w:lineRule="auto"/>
              <w:jc w:val="center"/>
              <w:rPr>
                <w:rFonts w:ascii="Times New Roman" w:hAnsi="Times New Roman" w:cs="Times New Roman"/>
                <w:color w:val="000000"/>
              </w:rPr>
            </w:pPr>
            <w:r w:rsidRPr="00A31903">
              <w:rPr>
                <w:rFonts w:ascii="Times New Roman" w:hAnsi="Times New Roman" w:cs="Times New Roman"/>
                <w:color w:val="000000"/>
              </w:rPr>
              <w:t>GDPG(-4</w:t>
            </w:r>
            <w:r w:rsidR="00570517" w:rsidRPr="00A31903">
              <w:rPr>
                <w:rFonts w:ascii="Times New Roman" w:hAnsi="Times New Roman" w:cs="Times New Roman"/>
                <w:color w:val="000000"/>
              </w:rPr>
              <w:t>)</w:t>
            </w:r>
          </w:p>
        </w:tc>
        <w:tc>
          <w:tcPr>
            <w:tcW w:w="1431"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0.500577</w:t>
            </w:r>
          </w:p>
        </w:tc>
        <w:tc>
          <w:tcPr>
            <w:tcW w:w="1566"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0.189933</w:t>
            </w:r>
          </w:p>
        </w:tc>
        <w:tc>
          <w:tcPr>
            <w:tcW w:w="1567"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2.635537</w:t>
            </w:r>
          </w:p>
        </w:tc>
        <w:tc>
          <w:tcPr>
            <w:tcW w:w="1293"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0.0271</w:t>
            </w:r>
          </w:p>
        </w:tc>
      </w:tr>
      <w:tr w:rsidR="00570517" w:rsidRPr="00A31903" w:rsidTr="00502EE0">
        <w:trPr>
          <w:trHeight w:val="365"/>
        </w:trPr>
        <w:tc>
          <w:tcPr>
            <w:tcW w:w="2616" w:type="dxa"/>
            <w:tcBorders>
              <w:top w:val="nil"/>
              <w:left w:val="nil"/>
              <w:bottom w:val="nil"/>
              <w:right w:val="nil"/>
            </w:tcBorders>
            <w:vAlign w:val="bottom"/>
          </w:tcPr>
          <w:p w:rsidR="00570517" w:rsidRPr="00A31903" w:rsidRDefault="00FF0223" w:rsidP="00FF0223">
            <w:pPr>
              <w:autoSpaceDE w:val="0"/>
              <w:autoSpaceDN w:val="0"/>
              <w:adjustRightInd w:val="0"/>
              <w:spacing w:after="0" w:line="240" w:lineRule="auto"/>
              <w:jc w:val="center"/>
              <w:rPr>
                <w:rFonts w:ascii="Times New Roman" w:hAnsi="Times New Roman" w:cs="Times New Roman"/>
                <w:color w:val="000000"/>
              </w:rPr>
            </w:pPr>
            <w:r w:rsidRPr="00A31903">
              <w:rPr>
                <w:rFonts w:ascii="Times New Roman" w:hAnsi="Times New Roman" w:cs="Times New Roman"/>
                <w:color w:val="000000"/>
              </w:rPr>
              <w:t>AGRV(-2</w:t>
            </w:r>
            <w:r w:rsidR="00570517" w:rsidRPr="00A31903">
              <w:rPr>
                <w:rFonts w:ascii="Times New Roman" w:hAnsi="Times New Roman" w:cs="Times New Roman"/>
                <w:color w:val="000000"/>
              </w:rPr>
              <w:t>)</w:t>
            </w:r>
          </w:p>
        </w:tc>
        <w:tc>
          <w:tcPr>
            <w:tcW w:w="1431" w:type="dxa"/>
            <w:tcBorders>
              <w:top w:val="nil"/>
              <w:left w:val="nil"/>
              <w:bottom w:val="nil"/>
              <w:right w:val="nil"/>
            </w:tcBorders>
            <w:vAlign w:val="bottom"/>
          </w:tcPr>
          <w:p w:rsidR="00570517" w:rsidRPr="00A31903" w:rsidRDefault="00275EB8" w:rsidP="00275EB8">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w:t>
            </w:r>
            <w:r w:rsidR="00570517" w:rsidRPr="00A31903">
              <w:rPr>
                <w:rFonts w:ascii="Times New Roman" w:hAnsi="Times New Roman" w:cs="Times New Roman"/>
                <w:color w:val="000000"/>
              </w:rPr>
              <w:t>0.</w:t>
            </w:r>
            <w:r w:rsidRPr="00A31903">
              <w:rPr>
                <w:rFonts w:ascii="Times New Roman" w:hAnsi="Times New Roman" w:cs="Times New Roman"/>
                <w:color w:val="000000"/>
              </w:rPr>
              <w:t>279628</w:t>
            </w:r>
          </w:p>
        </w:tc>
        <w:tc>
          <w:tcPr>
            <w:tcW w:w="1566" w:type="dxa"/>
            <w:tcBorders>
              <w:top w:val="nil"/>
              <w:left w:val="nil"/>
              <w:bottom w:val="nil"/>
              <w:right w:val="nil"/>
            </w:tcBorders>
            <w:vAlign w:val="bottom"/>
          </w:tcPr>
          <w:p w:rsidR="00570517" w:rsidRPr="00A31903" w:rsidRDefault="00275EB8"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0.273965</w:t>
            </w:r>
          </w:p>
        </w:tc>
        <w:tc>
          <w:tcPr>
            <w:tcW w:w="1567" w:type="dxa"/>
            <w:tcBorders>
              <w:top w:val="nil"/>
              <w:left w:val="nil"/>
              <w:bottom w:val="nil"/>
              <w:right w:val="nil"/>
            </w:tcBorders>
            <w:vAlign w:val="bottom"/>
          </w:tcPr>
          <w:p w:rsidR="00570517" w:rsidRPr="00A31903" w:rsidRDefault="00275EB8"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-1.020673</w:t>
            </w:r>
          </w:p>
        </w:tc>
        <w:tc>
          <w:tcPr>
            <w:tcW w:w="1293" w:type="dxa"/>
            <w:tcBorders>
              <w:top w:val="nil"/>
              <w:left w:val="nil"/>
              <w:bottom w:val="nil"/>
              <w:right w:val="nil"/>
            </w:tcBorders>
            <w:vAlign w:val="bottom"/>
          </w:tcPr>
          <w:p w:rsidR="00570517" w:rsidRPr="00A31903" w:rsidRDefault="00275EB8"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0.3341</w:t>
            </w:r>
          </w:p>
        </w:tc>
      </w:tr>
      <w:tr w:rsidR="00570517" w:rsidRPr="00A31903" w:rsidTr="00502EE0">
        <w:trPr>
          <w:trHeight w:val="365"/>
        </w:trPr>
        <w:tc>
          <w:tcPr>
            <w:tcW w:w="2616" w:type="dxa"/>
            <w:tcBorders>
              <w:top w:val="nil"/>
              <w:left w:val="nil"/>
              <w:bottom w:val="nil"/>
              <w:right w:val="nil"/>
            </w:tcBorders>
            <w:vAlign w:val="bottom"/>
          </w:tcPr>
          <w:p w:rsidR="00570517" w:rsidRPr="00A31903" w:rsidRDefault="00FF0223" w:rsidP="00FF0223">
            <w:pPr>
              <w:autoSpaceDE w:val="0"/>
              <w:autoSpaceDN w:val="0"/>
              <w:adjustRightInd w:val="0"/>
              <w:spacing w:after="0" w:line="240" w:lineRule="auto"/>
              <w:jc w:val="center"/>
              <w:rPr>
                <w:rFonts w:ascii="Times New Roman" w:hAnsi="Times New Roman" w:cs="Times New Roman"/>
                <w:color w:val="000000"/>
              </w:rPr>
            </w:pPr>
            <w:r w:rsidRPr="00A31903">
              <w:rPr>
                <w:rFonts w:ascii="Times New Roman" w:hAnsi="Times New Roman" w:cs="Times New Roman"/>
                <w:color w:val="000000"/>
              </w:rPr>
              <w:t>DEBT</w:t>
            </w:r>
            <w:r w:rsidR="00570517" w:rsidRPr="00A31903">
              <w:rPr>
                <w:rFonts w:ascii="Times New Roman" w:hAnsi="Times New Roman" w:cs="Times New Roman"/>
                <w:color w:val="000000"/>
              </w:rPr>
              <w:t>(</w:t>
            </w:r>
            <w:r w:rsidRPr="00A31903">
              <w:rPr>
                <w:rFonts w:ascii="Times New Roman" w:hAnsi="Times New Roman" w:cs="Times New Roman"/>
                <w:color w:val="000000"/>
              </w:rPr>
              <w:t>-</w:t>
            </w:r>
            <w:r w:rsidR="00570517" w:rsidRPr="00A31903">
              <w:rPr>
                <w:rFonts w:ascii="Times New Roman" w:hAnsi="Times New Roman" w:cs="Times New Roman"/>
                <w:color w:val="000000"/>
              </w:rPr>
              <w:t>4)</w:t>
            </w:r>
          </w:p>
        </w:tc>
        <w:tc>
          <w:tcPr>
            <w:tcW w:w="1431" w:type="dxa"/>
            <w:tcBorders>
              <w:top w:val="nil"/>
              <w:left w:val="nil"/>
              <w:bottom w:val="nil"/>
              <w:right w:val="nil"/>
            </w:tcBorders>
            <w:vAlign w:val="bottom"/>
          </w:tcPr>
          <w:p w:rsidR="00570517" w:rsidRPr="00A31903" w:rsidRDefault="00275EB8"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0.045063</w:t>
            </w:r>
          </w:p>
        </w:tc>
        <w:tc>
          <w:tcPr>
            <w:tcW w:w="1566" w:type="dxa"/>
            <w:tcBorders>
              <w:top w:val="nil"/>
              <w:left w:val="nil"/>
              <w:bottom w:val="nil"/>
              <w:right w:val="nil"/>
            </w:tcBorders>
            <w:vAlign w:val="bottom"/>
          </w:tcPr>
          <w:p w:rsidR="00570517" w:rsidRPr="00A31903" w:rsidRDefault="00570517" w:rsidP="00275EB8">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0.04</w:t>
            </w:r>
            <w:r w:rsidR="00275EB8" w:rsidRPr="00A31903">
              <w:rPr>
                <w:rFonts w:ascii="Times New Roman" w:hAnsi="Times New Roman" w:cs="Times New Roman"/>
                <w:color w:val="000000"/>
              </w:rPr>
              <w:t>0146</w:t>
            </w:r>
          </w:p>
        </w:tc>
        <w:tc>
          <w:tcPr>
            <w:tcW w:w="1567" w:type="dxa"/>
            <w:tcBorders>
              <w:top w:val="nil"/>
              <w:left w:val="nil"/>
              <w:bottom w:val="nil"/>
              <w:right w:val="nil"/>
            </w:tcBorders>
            <w:vAlign w:val="bottom"/>
          </w:tcPr>
          <w:p w:rsidR="00570517" w:rsidRPr="00A31903" w:rsidRDefault="00275EB8"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1.122474</w:t>
            </w:r>
          </w:p>
        </w:tc>
        <w:tc>
          <w:tcPr>
            <w:tcW w:w="1293" w:type="dxa"/>
            <w:tcBorders>
              <w:top w:val="nil"/>
              <w:left w:val="nil"/>
              <w:bottom w:val="nil"/>
              <w:right w:val="nil"/>
            </w:tcBorders>
            <w:vAlign w:val="bottom"/>
          </w:tcPr>
          <w:p w:rsidR="00570517" w:rsidRPr="00A31903" w:rsidRDefault="00570517" w:rsidP="00275EB8">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w:t>
            </w:r>
            <w:r w:rsidR="00275EB8" w:rsidRPr="00A31903">
              <w:rPr>
                <w:rFonts w:ascii="Times New Roman" w:hAnsi="Times New Roman" w:cs="Times New Roman"/>
                <w:color w:val="000000"/>
              </w:rPr>
              <w:t>2907</w:t>
            </w:r>
          </w:p>
        </w:tc>
      </w:tr>
      <w:tr w:rsidR="00570517" w:rsidRPr="00A31903" w:rsidTr="00502EE0">
        <w:trPr>
          <w:trHeight w:val="365"/>
        </w:trPr>
        <w:tc>
          <w:tcPr>
            <w:tcW w:w="2616" w:type="dxa"/>
            <w:tcBorders>
              <w:top w:val="nil"/>
              <w:left w:val="nil"/>
              <w:bottom w:val="nil"/>
              <w:right w:val="nil"/>
            </w:tcBorders>
            <w:vAlign w:val="bottom"/>
          </w:tcPr>
          <w:p w:rsidR="00570517" w:rsidRPr="00A31903" w:rsidRDefault="00FF0223" w:rsidP="00FF0223">
            <w:pPr>
              <w:autoSpaceDE w:val="0"/>
              <w:autoSpaceDN w:val="0"/>
              <w:adjustRightInd w:val="0"/>
              <w:spacing w:after="0" w:line="240" w:lineRule="auto"/>
              <w:jc w:val="center"/>
              <w:rPr>
                <w:rFonts w:ascii="Times New Roman" w:hAnsi="Times New Roman" w:cs="Times New Roman"/>
                <w:color w:val="000000"/>
              </w:rPr>
            </w:pPr>
            <w:r w:rsidRPr="00A31903">
              <w:rPr>
                <w:rFonts w:ascii="Times New Roman" w:hAnsi="Times New Roman" w:cs="Times New Roman"/>
                <w:color w:val="000000"/>
              </w:rPr>
              <w:t>SERV(-3</w:t>
            </w:r>
            <w:r w:rsidR="00570517" w:rsidRPr="00A31903">
              <w:rPr>
                <w:rFonts w:ascii="Times New Roman" w:hAnsi="Times New Roman" w:cs="Times New Roman"/>
                <w:color w:val="000000"/>
              </w:rPr>
              <w:t>)</w:t>
            </w:r>
          </w:p>
        </w:tc>
        <w:tc>
          <w:tcPr>
            <w:tcW w:w="1431"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0.215213</w:t>
            </w:r>
          </w:p>
        </w:tc>
        <w:tc>
          <w:tcPr>
            <w:tcW w:w="1566"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0.202807</w:t>
            </w:r>
          </w:p>
        </w:tc>
        <w:tc>
          <w:tcPr>
            <w:tcW w:w="1567"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1.061170</w:t>
            </w:r>
          </w:p>
        </w:tc>
        <w:tc>
          <w:tcPr>
            <w:tcW w:w="1293"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0.3163</w:t>
            </w:r>
          </w:p>
        </w:tc>
      </w:tr>
      <w:tr w:rsidR="00570517" w:rsidRPr="00A31903" w:rsidTr="00082724">
        <w:trPr>
          <w:trHeight w:val="365"/>
        </w:trPr>
        <w:tc>
          <w:tcPr>
            <w:tcW w:w="2616" w:type="dxa"/>
            <w:tcBorders>
              <w:top w:val="nil"/>
              <w:left w:val="nil"/>
              <w:right w:val="nil"/>
            </w:tcBorders>
            <w:vAlign w:val="bottom"/>
          </w:tcPr>
          <w:p w:rsidR="00570517" w:rsidRPr="00A31903" w:rsidRDefault="00FF0223" w:rsidP="00662CE7">
            <w:pPr>
              <w:autoSpaceDE w:val="0"/>
              <w:autoSpaceDN w:val="0"/>
              <w:adjustRightInd w:val="0"/>
              <w:spacing w:after="0" w:line="240" w:lineRule="auto"/>
              <w:jc w:val="center"/>
              <w:rPr>
                <w:rFonts w:ascii="Times New Roman" w:hAnsi="Times New Roman" w:cs="Times New Roman"/>
                <w:color w:val="000000"/>
              </w:rPr>
            </w:pPr>
            <w:r w:rsidRPr="00A31903">
              <w:rPr>
                <w:rFonts w:ascii="Times New Roman" w:hAnsi="Times New Roman" w:cs="Times New Roman"/>
                <w:color w:val="000000"/>
              </w:rPr>
              <w:t>C</w:t>
            </w:r>
          </w:p>
        </w:tc>
        <w:tc>
          <w:tcPr>
            <w:tcW w:w="1431" w:type="dxa"/>
            <w:tcBorders>
              <w:top w:val="nil"/>
              <w:left w:val="nil"/>
              <w:right w:val="nil"/>
            </w:tcBorders>
            <w:vAlign w:val="bottom"/>
          </w:tcPr>
          <w:p w:rsidR="00570517" w:rsidRPr="00A31903" w:rsidRDefault="00CC2E61"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1</w:t>
            </w:r>
            <w:r w:rsidR="00570517" w:rsidRPr="00A31903">
              <w:rPr>
                <w:rFonts w:ascii="Times New Roman" w:hAnsi="Times New Roman" w:cs="Times New Roman"/>
                <w:color w:val="000000"/>
              </w:rPr>
              <w:t>1.036346</w:t>
            </w:r>
          </w:p>
        </w:tc>
        <w:tc>
          <w:tcPr>
            <w:tcW w:w="1566" w:type="dxa"/>
            <w:tcBorders>
              <w:top w:val="nil"/>
              <w:left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18.05935</w:t>
            </w:r>
          </w:p>
        </w:tc>
        <w:tc>
          <w:tcPr>
            <w:tcW w:w="1567" w:type="dxa"/>
            <w:tcBorders>
              <w:top w:val="nil"/>
              <w:left w:val="nil"/>
              <w:right w:val="nil"/>
            </w:tcBorders>
            <w:vAlign w:val="bottom"/>
          </w:tcPr>
          <w:p w:rsidR="00570517" w:rsidRPr="00A31903" w:rsidRDefault="00275EB8"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0.611111</w:t>
            </w:r>
          </w:p>
        </w:tc>
        <w:tc>
          <w:tcPr>
            <w:tcW w:w="1293" w:type="dxa"/>
            <w:tcBorders>
              <w:top w:val="nil"/>
              <w:left w:val="nil"/>
              <w:right w:val="nil"/>
            </w:tcBorders>
            <w:vAlign w:val="bottom"/>
          </w:tcPr>
          <w:p w:rsidR="00570517" w:rsidRPr="00A31903" w:rsidRDefault="00443EFA"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0.0</w:t>
            </w:r>
            <w:r w:rsidR="00570517" w:rsidRPr="00A31903">
              <w:rPr>
                <w:rFonts w:ascii="Times New Roman" w:hAnsi="Times New Roman" w:cs="Times New Roman"/>
                <w:color w:val="000000"/>
              </w:rPr>
              <w:t>555</w:t>
            </w:r>
          </w:p>
        </w:tc>
      </w:tr>
      <w:tr w:rsidR="00570517" w:rsidRPr="00A31903" w:rsidTr="00082724">
        <w:trPr>
          <w:trHeight w:hRule="exact" w:val="146"/>
        </w:trPr>
        <w:tc>
          <w:tcPr>
            <w:tcW w:w="2616"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431"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6"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7"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293"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r>
      <w:tr w:rsidR="00570517" w:rsidRPr="00A31903" w:rsidTr="00082724">
        <w:trPr>
          <w:trHeight w:hRule="exact" w:val="219"/>
        </w:trPr>
        <w:tc>
          <w:tcPr>
            <w:tcW w:w="2616"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431"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6"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7"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293"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r>
      <w:tr w:rsidR="00570517" w:rsidRPr="00A31903" w:rsidTr="00502EE0">
        <w:trPr>
          <w:trHeight w:val="365"/>
        </w:trPr>
        <w:tc>
          <w:tcPr>
            <w:tcW w:w="2616"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rPr>
                <w:rFonts w:ascii="Times New Roman" w:hAnsi="Times New Roman" w:cs="Times New Roman"/>
                <w:color w:val="000000"/>
              </w:rPr>
            </w:pPr>
            <w:r w:rsidRPr="00A31903">
              <w:rPr>
                <w:rFonts w:ascii="Times New Roman" w:hAnsi="Times New Roman" w:cs="Times New Roman"/>
                <w:color w:val="000000"/>
              </w:rPr>
              <w:t>R-squared</w:t>
            </w:r>
          </w:p>
        </w:tc>
        <w:tc>
          <w:tcPr>
            <w:tcW w:w="1431"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0.980325</w:t>
            </w:r>
          </w:p>
        </w:tc>
        <w:tc>
          <w:tcPr>
            <w:tcW w:w="3133" w:type="dxa"/>
            <w:gridSpan w:val="2"/>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rPr>
                <w:rFonts w:ascii="Times New Roman" w:hAnsi="Times New Roman" w:cs="Times New Roman"/>
                <w:color w:val="000000"/>
              </w:rPr>
            </w:pPr>
            <w:r w:rsidRPr="00A31903">
              <w:rPr>
                <w:rFonts w:ascii="Times New Roman" w:hAnsi="Times New Roman" w:cs="Times New Roman"/>
                <w:color w:val="000000"/>
              </w:rPr>
              <w:t xml:space="preserve">    Mean dependent </w:t>
            </w:r>
            <w:proofErr w:type="spellStart"/>
            <w:r w:rsidRPr="00A31903">
              <w:rPr>
                <w:rFonts w:ascii="Times New Roman" w:hAnsi="Times New Roman" w:cs="Times New Roman"/>
                <w:color w:val="000000"/>
              </w:rPr>
              <w:t>var</w:t>
            </w:r>
            <w:proofErr w:type="spellEnd"/>
          </w:p>
        </w:tc>
        <w:tc>
          <w:tcPr>
            <w:tcW w:w="1293"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14.37158</w:t>
            </w:r>
          </w:p>
        </w:tc>
      </w:tr>
      <w:tr w:rsidR="00570517" w:rsidRPr="00A31903" w:rsidTr="00502EE0">
        <w:trPr>
          <w:trHeight w:val="365"/>
        </w:trPr>
        <w:tc>
          <w:tcPr>
            <w:tcW w:w="2616"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rPr>
                <w:rFonts w:ascii="Times New Roman" w:hAnsi="Times New Roman" w:cs="Times New Roman"/>
                <w:color w:val="000000"/>
              </w:rPr>
            </w:pPr>
            <w:r w:rsidRPr="00A31903">
              <w:rPr>
                <w:rFonts w:ascii="Times New Roman" w:hAnsi="Times New Roman" w:cs="Times New Roman"/>
                <w:color w:val="000000"/>
              </w:rPr>
              <w:t>Adjusted R-squared</w:t>
            </w:r>
          </w:p>
        </w:tc>
        <w:tc>
          <w:tcPr>
            <w:tcW w:w="1431"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0.919113</w:t>
            </w:r>
          </w:p>
        </w:tc>
        <w:tc>
          <w:tcPr>
            <w:tcW w:w="3133" w:type="dxa"/>
            <w:gridSpan w:val="2"/>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rPr>
                <w:rFonts w:ascii="Times New Roman" w:hAnsi="Times New Roman" w:cs="Times New Roman"/>
                <w:color w:val="000000"/>
              </w:rPr>
            </w:pPr>
            <w:r w:rsidRPr="00A31903">
              <w:rPr>
                <w:rFonts w:ascii="Times New Roman" w:hAnsi="Times New Roman" w:cs="Times New Roman"/>
                <w:color w:val="000000"/>
              </w:rPr>
              <w:t xml:space="preserve">    S.D. dependent </w:t>
            </w:r>
            <w:proofErr w:type="spellStart"/>
            <w:r w:rsidRPr="00A31903">
              <w:rPr>
                <w:rFonts w:ascii="Times New Roman" w:hAnsi="Times New Roman" w:cs="Times New Roman"/>
                <w:color w:val="000000"/>
              </w:rPr>
              <w:t>var</w:t>
            </w:r>
            <w:proofErr w:type="spellEnd"/>
          </w:p>
        </w:tc>
        <w:tc>
          <w:tcPr>
            <w:tcW w:w="1293"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5.070190</w:t>
            </w:r>
          </w:p>
        </w:tc>
      </w:tr>
      <w:tr w:rsidR="00570517" w:rsidRPr="00A31903" w:rsidTr="00502EE0">
        <w:trPr>
          <w:trHeight w:val="365"/>
        </w:trPr>
        <w:tc>
          <w:tcPr>
            <w:tcW w:w="2616"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rPr>
                <w:rFonts w:ascii="Times New Roman" w:hAnsi="Times New Roman" w:cs="Times New Roman"/>
                <w:color w:val="000000"/>
              </w:rPr>
            </w:pPr>
            <w:r w:rsidRPr="00A31903">
              <w:rPr>
                <w:rFonts w:ascii="Times New Roman" w:hAnsi="Times New Roman" w:cs="Times New Roman"/>
                <w:color w:val="000000"/>
              </w:rPr>
              <w:t>S.E. of regression</w:t>
            </w:r>
          </w:p>
        </w:tc>
        <w:tc>
          <w:tcPr>
            <w:tcW w:w="1431"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1.441994</w:t>
            </w:r>
          </w:p>
        </w:tc>
        <w:tc>
          <w:tcPr>
            <w:tcW w:w="3133" w:type="dxa"/>
            <w:gridSpan w:val="2"/>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rPr>
                <w:rFonts w:ascii="Times New Roman" w:hAnsi="Times New Roman" w:cs="Times New Roman"/>
                <w:color w:val="000000"/>
              </w:rPr>
            </w:pPr>
            <w:r w:rsidRPr="00A31903">
              <w:rPr>
                <w:rFonts w:ascii="Times New Roman" w:hAnsi="Times New Roman" w:cs="Times New Roman"/>
                <w:color w:val="000000"/>
              </w:rPr>
              <w:t>    </w:t>
            </w:r>
            <w:proofErr w:type="spellStart"/>
            <w:r w:rsidRPr="00A31903">
              <w:rPr>
                <w:rFonts w:ascii="Times New Roman" w:hAnsi="Times New Roman" w:cs="Times New Roman"/>
                <w:color w:val="000000"/>
              </w:rPr>
              <w:t>Akaike</w:t>
            </w:r>
            <w:proofErr w:type="spellEnd"/>
            <w:r w:rsidRPr="00A31903">
              <w:rPr>
                <w:rFonts w:ascii="Times New Roman" w:hAnsi="Times New Roman" w:cs="Times New Roman"/>
                <w:color w:val="000000"/>
              </w:rPr>
              <w:t xml:space="preserve"> info criterion</w:t>
            </w:r>
          </w:p>
        </w:tc>
        <w:tc>
          <w:tcPr>
            <w:tcW w:w="1293"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3.655885</w:t>
            </w:r>
          </w:p>
        </w:tc>
      </w:tr>
      <w:tr w:rsidR="00570517" w:rsidRPr="00A31903" w:rsidTr="00502EE0">
        <w:trPr>
          <w:trHeight w:val="365"/>
        </w:trPr>
        <w:tc>
          <w:tcPr>
            <w:tcW w:w="2616"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rPr>
                <w:rFonts w:ascii="Times New Roman" w:hAnsi="Times New Roman" w:cs="Times New Roman"/>
                <w:color w:val="000000"/>
              </w:rPr>
            </w:pPr>
            <w:r w:rsidRPr="00A31903">
              <w:rPr>
                <w:rFonts w:ascii="Times New Roman" w:hAnsi="Times New Roman" w:cs="Times New Roman"/>
                <w:color w:val="000000"/>
              </w:rPr>
              <w:t xml:space="preserve">Sum squared </w:t>
            </w:r>
            <w:proofErr w:type="spellStart"/>
            <w:r w:rsidRPr="00A31903">
              <w:rPr>
                <w:rFonts w:ascii="Times New Roman" w:hAnsi="Times New Roman" w:cs="Times New Roman"/>
                <w:color w:val="000000"/>
              </w:rPr>
              <w:t>resid</w:t>
            </w:r>
            <w:proofErr w:type="spellEnd"/>
          </w:p>
        </w:tc>
        <w:tc>
          <w:tcPr>
            <w:tcW w:w="1431"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18.71412</w:t>
            </w:r>
          </w:p>
        </w:tc>
        <w:tc>
          <w:tcPr>
            <w:tcW w:w="3133" w:type="dxa"/>
            <w:gridSpan w:val="2"/>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rPr>
                <w:rFonts w:ascii="Times New Roman" w:hAnsi="Times New Roman" w:cs="Times New Roman"/>
                <w:color w:val="000000"/>
              </w:rPr>
            </w:pPr>
            <w:r w:rsidRPr="00A31903">
              <w:rPr>
                <w:rFonts w:ascii="Times New Roman" w:hAnsi="Times New Roman" w:cs="Times New Roman"/>
                <w:color w:val="000000"/>
              </w:rPr>
              <w:t>    Schwarz criterion</w:t>
            </w:r>
          </w:p>
        </w:tc>
        <w:tc>
          <w:tcPr>
            <w:tcW w:w="1293"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4.905622</w:t>
            </w:r>
          </w:p>
        </w:tc>
      </w:tr>
      <w:tr w:rsidR="00570517" w:rsidRPr="00A31903" w:rsidTr="00502EE0">
        <w:trPr>
          <w:trHeight w:val="365"/>
        </w:trPr>
        <w:tc>
          <w:tcPr>
            <w:tcW w:w="2616"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rPr>
                <w:rFonts w:ascii="Times New Roman" w:hAnsi="Times New Roman" w:cs="Times New Roman"/>
                <w:color w:val="000000"/>
              </w:rPr>
            </w:pPr>
            <w:r w:rsidRPr="00A31903">
              <w:rPr>
                <w:rFonts w:ascii="Times New Roman" w:hAnsi="Times New Roman" w:cs="Times New Roman"/>
                <w:color w:val="000000"/>
              </w:rPr>
              <w:lastRenderedPageBreak/>
              <w:t>Log likelihood</w:t>
            </w:r>
          </w:p>
        </w:tc>
        <w:tc>
          <w:tcPr>
            <w:tcW w:w="1431"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-40.46181</w:t>
            </w:r>
          </w:p>
        </w:tc>
        <w:tc>
          <w:tcPr>
            <w:tcW w:w="3133" w:type="dxa"/>
            <w:gridSpan w:val="2"/>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rPr>
                <w:rFonts w:ascii="Times New Roman" w:hAnsi="Times New Roman" w:cs="Times New Roman"/>
                <w:color w:val="000000"/>
              </w:rPr>
            </w:pPr>
            <w:r w:rsidRPr="00A31903">
              <w:rPr>
                <w:rFonts w:ascii="Times New Roman" w:hAnsi="Times New Roman" w:cs="Times New Roman"/>
                <w:color w:val="000000"/>
              </w:rPr>
              <w:t>    </w:t>
            </w:r>
            <w:proofErr w:type="spellStart"/>
            <w:proofErr w:type="gramStart"/>
            <w:r w:rsidRPr="00A31903">
              <w:rPr>
                <w:rFonts w:ascii="Times New Roman" w:hAnsi="Times New Roman" w:cs="Times New Roman"/>
                <w:color w:val="000000"/>
              </w:rPr>
              <w:t>Hannan</w:t>
            </w:r>
            <w:proofErr w:type="spellEnd"/>
            <w:r w:rsidRPr="00A31903">
              <w:rPr>
                <w:rFonts w:ascii="Times New Roman" w:hAnsi="Times New Roman" w:cs="Times New Roman"/>
                <w:color w:val="000000"/>
              </w:rPr>
              <w:t xml:space="preserve">-Quinn </w:t>
            </w:r>
            <w:proofErr w:type="spellStart"/>
            <w:r w:rsidRPr="00A31903">
              <w:rPr>
                <w:rFonts w:ascii="Times New Roman" w:hAnsi="Times New Roman" w:cs="Times New Roman"/>
                <w:color w:val="000000"/>
              </w:rPr>
              <w:t>criter</w:t>
            </w:r>
            <w:proofErr w:type="spellEnd"/>
            <w:r w:rsidRPr="00A31903">
              <w:rPr>
                <w:rFonts w:ascii="Times New Roman" w:hAnsi="Times New Roman" w:cs="Times New Roman"/>
                <w:color w:val="000000"/>
              </w:rPr>
              <w:t>.</w:t>
            </w:r>
            <w:proofErr w:type="gramEnd"/>
          </w:p>
        </w:tc>
        <w:tc>
          <w:tcPr>
            <w:tcW w:w="1293"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4.100532</w:t>
            </w:r>
          </w:p>
        </w:tc>
      </w:tr>
      <w:tr w:rsidR="00570517" w:rsidRPr="00A31903" w:rsidTr="00502EE0">
        <w:trPr>
          <w:trHeight w:val="365"/>
        </w:trPr>
        <w:tc>
          <w:tcPr>
            <w:tcW w:w="2616"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rPr>
                <w:rFonts w:ascii="Times New Roman" w:hAnsi="Times New Roman" w:cs="Times New Roman"/>
                <w:color w:val="000000"/>
              </w:rPr>
            </w:pPr>
            <w:r w:rsidRPr="00A31903">
              <w:rPr>
                <w:rFonts w:ascii="Times New Roman" w:hAnsi="Times New Roman" w:cs="Times New Roman"/>
                <w:color w:val="000000"/>
              </w:rPr>
              <w:t>F-statistic</w:t>
            </w:r>
          </w:p>
        </w:tc>
        <w:tc>
          <w:tcPr>
            <w:tcW w:w="1431"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16.01531</w:t>
            </w:r>
          </w:p>
        </w:tc>
        <w:tc>
          <w:tcPr>
            <w:tcW w:w="3133" w:type="dxa"/>
            <w:gridSpan w:val="2"/>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rPr>
                <w:rFonts w:ascii="Times New Roman" w:hAnsi="Times New Roman" w:cs="Times New Roman"/>
                <w:color w:val="000000"/>
              </w:rPr>
            </w:pPr>
            <w:r w:rsidRPr="00A31903">
              <w:rPr>
                <w:rFonts w:ascii="Times New Roman" w:hAnsi="Times New Roman" w:cs="Times New Roman"/>
                <w:color w:val="000000"/>
              </w:rPr>
              <w:t>    Durbin-Watson stat</w:t>
            </w:r>
          </w:p>
        </w:tc>
        <w:tc>
          <w:tcPr>
            <w:tcW w:w="1293" w:type="dxa"/>
            <w:tcBorders>
              <w:top w:val="nil"/>
              <w:left w:val="nil"/>
              <w:bottom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2.485002</w:t>
            </w:r>
          </w:p>
        </w:tc>
      </w:tr>
      <w:tr w:rsidR="00570517" w:rsidRPr="00A31903" w:rsidTr="00082724">
        <w:trPr>
          <w:trHeight w:val="365"/>
        </w:trPr>
        <w:tc>
          <w:tcPr>
            <w:tcW w:w="2616" w:type="dxa"/>
            <w:tcBorders>
              <w:top w:val="nil"/>
              <w:left w:val="nil"/>
              <w:right w:val="nil"/>
            </w:tcBorders>
            <w:vAlign w:val="bottom"/>
          </w:tcPr>
          <w:p w:rsidR="00570517" w:rsidRPr="00A31903" w:rsidRDefault="00570517" w:rsidP="00662CE7">
            <w:pPr>
              <w:autoSpaceDE w:val="0"/>
              <w:autoSpaceDN w:val="0"/>
              <w:adjustRightInd w:val="0"/>
              <w:spacing w:after="0" w:line="240" w:lineRule="auto"/>
              <w:rPr>
                <w:rFonts w:ascii="Times New Roman" w:hAnsi="Times New Roman" w:cs="Times New Roman"/>
                <w:color w:val="000000"/>
              </w:rPr>
            </w:pPr>
            <w:proofErr w:type="spellStart"/>
            <w:r w:rsidRPr="00A31903">
              <w:rPr>
                <w:rFonts w:ascii="Times New Roman" w:hAnsi="Times New Roman" w:cs="Times New Roman"/>
                <w:color w:val="000000"/>
              </w:rPr>
              <w:t>Prob</w:t>
            </w:r>
            <w:proofErr w:type="spellEnd"/>
            <w:r w:rsidRPr="00A31903">
              <w:rPr>
                <w:rFonts w:ascii="Times New Roman" w:hAnsi="Times New Roman" w:cs="Times New Roman"/>
                <w:color w:val="000000"/>
              </w:rPr>
              <w:t>(F-statistic)</w:t>
            </w:r>
          </w:p>
        </w:tc>
        <w:tc>
          <w:tcPr>
            <w:tcW w:w="1431" w:type="dxa"/>
            <w:tcBorders>
              <w:top w:val="nil"/>
              <w:left w:val="nil"/>
              <w:right w:val="nil"/>
            </w:tcBorders>
            <w:vAlign w:val="bottom"/>
          </w:tcPr>
          <w:p w:rsidR="00570517" w:rsidRPr="00A31903" w:rsidRDefault="00570517" w:rsidP="00662CE7">
            <w:pPr>
              <w:autoSpaceDE w:val="0"/>
              <w:autoSpaceDN w:val="0"/>
              <w:adjustRightInd w:val="0"/>
              <w:spacing w:after="0" w:line="240" w:lineRule="auto"/>
              <w:ind w:right="10"/>
              <w:jc w:val="right"/>
              <w:rPr>
                <w:rFonts w:ascii="Times New Roman" w:hAnsi="Times New Roman" w:cs="Times New Roman"/>
                <w:color w:val="000000"/>
              </w:rPr>
            </w:pPr>
            <w:r w:rsidRPr="00A31903">
              <w:rPr>
                <w:rFonts w:ascii="Times New Roman" w:hAnsi="Times New Roman" w:cs="Times New Roman"/>
                <w:color w:val="000000"/>
              </w:rPr>
              <w:t>0.000078</w:t>
            </w:r>
          </w:p>
        </w:tc>
        <w:tc>
          <w:tcPr>
            <w:tcW w:w="1566" w:type="dxa"/>
            <w:tcBorders>
              <w:top w:val="nil"/>
              <w:left w:val="nil"/>
              <w:right w:val="nil"/>
            </w:tcBorders>
            <w:vAlign w:val="bottom"/>
          </w:tcPr>
          <w:p w:rsidR="00570517" w:rsidRPr="00A31903" w:rsidRDefault="00570517" w:rsidP="00662CE7">
            <w:pPr>
              <w:autoSpaceDE w:val="0"/>
              <w:autoSpaceDN w:val="0"/>
              <w:adjustRightInd w:val="0"/>
              <w:spacing w:after="0" w:line="240" w:lineRule="auto"/>
              <w:ind w:right="10"/>
              <w:jc w:val="center"/>
              <w:rPr>
                <w:rFonts w:ascii="Times New Roman" w:hAnsi="Times New Roman" w:cs="Times New Roman"/>
                <w:color w:val="000000"/>
              </w:rPr>
            </w:pPr>
          </w:p>
        </w:tc>
        <w:tc>
          <w:tcPr>
            <w:tcW w:w="1567" w:type="dxa"/>
            <w:tcBorders>
              <w:top w:val="nil"/>
              <w:left w:val="nil"/>
              <w:right w:val="nil"/>
            </w:tcBorders>
            <w:vAlign w:val="bottom"/>
          </w:tcPr>
          <w:p w:rsidR="00570517" w:rsidRPr="00A31903" w:rsidRDefault="00570517" w:rsidP="00662CE7">
            <w:pPr>
              <w:autoSpaceDE w:val="0"/>
              <w:autoSpaceDN w:val="0"/>
              <w:adjustRightInd w:val="0"/>
              <w:spacing w:after="0" w:line="240" w:lineRule="auto"/>
              <w:ind w:right="10"/>
              <w:jc w:val="center"/>
              <w:rPr>
                <w:rFonts w:ascii="Times New Roman" w:hAnsi="Times New Roman" w:cs="Times New Roman"/>
                <w:color w:val="000000"/>
              </w:rPr>
            </w:pPr>
          </w:p>
        </w:tc>
        <w:tc>
          <w:tcPr>
            <w:tcW w:w="1293" w:type="dxa"/>
            <w:tcBorders>
              <w:top w:val="nil"/>
              <w:left w:val="nil"/>
              <w:right w:val="nil"/>
            </w:tcBorders>
            <w:vAlign w:val="bottom"/>
          </w:tcPr>
          <w:p w:rsidR="00570517" w:rsidRPr="00A31903" w:rsidRDefault="00570517" w:rsidP="00662CE7">
            <w:pPr>
              <w:autoSpaceDE w:val="0"/>
              <w:autoSpaceDN w:val="0"/>
              <w:adjustRightInd w:val="0"/>
              <w:spacing w:after="0" w:line="240" w:lineRule="auto"/>
              <w:ind w:right="10"/>
              <w:jc w:val="center"/>
              <w:rPr>
                <w:rFonts w:ascii="Times New Roman" w:hAnsi="Times New Roman" w:cs="Times New Roman"/>
                <w:color w:val="000000"/>
              </w:rPr>
            </w:pPr>
          </w:p>
        </w:tc>
      </w:tr>
      <w:tr w:rsidR="00570517" w:rsidRPr="00A31903" w:rsidTr="00082724">
        <w:trPr>
          <w:trHeight w:hRule="exact" w:val="146"/>
        </w:trPr>
        <w:tc>
          <w:tcPr>
            <w:tcW w:w="2616"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431"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6"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7"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293" w:type="dxa"/>
            <w:tcBorders>
              <w:top w:val="nil"/>
              <w:left w:val="nil"/>
              <w:bottom w:val="single" w:sz="4" w:space="0" w:color="auto"/>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r>
      <w:tr w:rsidR="00570517" w:rsidRPr="00A31903" w:rsidTr="00082724">
        <w:trPr>
          <w:trHeight w:hRule="exact" w:val="219"/>
        </w:trPr>
        <w:tc>
          <w:tcPr>
            <w:tcW w:w="2616"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431"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6"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567"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c>
          <w:tcPr>
            <w:tcW w:w="1293" w:type="dxa"/>
            <w:tcBorders>
              <w:top w:val="single" w:sz="4" w:space="0" w:color="auto"/>
              <w:left w:val="nil"/>
              <w:bottom w:val="nil"/>
              <w:right w:val="nil"/>
            </w:tcBorders>
            <w:vAlign w:val="bottom"/>
          </w:tcPr>
          <w:p w:rsidR="00570517" w:rsidRPr="00A31903" w:rsidRDefault="00570517" w:rsidP="00662CE7">
            <w:pPr>
              <w:autoSpaceDE w:val="0"/>
              <w:autoSpaceDN w:val="0"/>
              <w:adjustRightInd w:val="0"/>
              <w:spacing w:after="0" w:line="240" w:lineRule="auto"/>
              <w:jc w:val="center"/>
              <w:rPr>
                <w:rFonts w:ascii="Times New Roman" w:hAnsi="Times New Roman" w:cs="Times New Roman"/>
                <w:color w:val="000000"/>
              </w:rPr>
            </w:pPr>
          </w:p>
        </w:tc>
      </w:tr>
    </w:tbl>
    <w:p w:rsidR="004C162E" w:rsidRPr="00A31903" w:rsidRDefault="00896074" w:rsidP="004C162E">
      <w:pPr>
        <w:spacing w:after="0" w:line="240" w:lineRule="auto"/>
        <w:jc w:val="both"/>
        <w:rPr>
          <w:rFonts w:ascii="Times New Roman" w:hAnsi="Times New Roman" w:cs="Times New Roman"/>
          <w:bCs/>
        </w:rPr>
      </w:pPr>
      <w:r w:rsidRPr="00A31903">
        <w:rPr>
          <w:rFonts w:ascii="Times New Roman" w:hAnsi="Times New Roman" w:cs="Times New Roman"/>
          <w:lang w:val="en-GB"/>
        </w:rPr>
        <w:t xml:space="preserve">Table V </w:t>
      </w:r>
      <w:r w:rsidR="004C162E" w:rsidRPr="00A31903">
        <w:rPr>
          <w:rFonts w:ascii="Times New Roman" w:hAnsi="Times New Roman" w:cs="Times New Roman"/>
          <w:lang w:val="en-GB"/>
        </w:rPr>
        <w:t>s</w:t>
      </w:r>
      <w:r w:rsidRPr="00A31903">
        <w:rPr>
          <w:rFonts w:ascii="Times New Roman" w:hAnsi="Times New Roman" w:cs="Times New Roman"/>
          <w:lang w:val="en-GB"/>
        </w:rPr>
        <w:t>hows</w:t>
      </w:r>
      <w:r w:rsidR="004C162E" w:rsidRPr="00A31903">
        <w:rPr>
          <w:rFonts w:ascii="Times New Roman" w:hAnsi="Times New Roman" w:cs="Times New Roman"/>
          <w:lang w:val="en-GB"/>
        </w:rPr>
        <w:t xml:space="preserve"> estimates of regression coefficients, their standard errors, t statistics values, and the overall p-value to test the significance of the model. </w:t>
      </w:r>
      <w:r w:rsidR="004C162E" w:rsidRPr="00A31903">
        <w:rPr>
          <w:rFonts w:ascii="Times New Roman" w:hAnsi="Times New Roman" w:cs="Times New Roman"/>
          <w:bCs/>
        </w:rPr>
        <w:t>The estimated regression model is:</w:t>
      </w:r>
    </w:p>
    <w:p w:rsidR="004C162E" w:rsidRPr="00A31903" w:rsidRDefault="004C162E" w:rsidP="004C162E">
      <w:pPr>
        <w:spacing w:after="0" w:line="240" w:lineRule="auto"/>
        <w:jc w:val="both"/>
        <w:rPr>
          <w:rFonts w:ascii="Times New Roman" w:hAnsi="Times New Roman" w:cs="Times New Roman"/>
          <w:bCs/>
        </w:rPr>
      </w:pPr>
    </w:p>
    <w:p w:rsidR="004C162E" w:rsidRPr="00A31903" w:rsidRDefault="004C162E" w:rsidP="004C162E">
      <w:pPr>
        <w:spacing w:after="0" w:line="240" w:lineRule="auto"/>
        <w:rPr>
          <w:rFonts w:ascii="Times New Roman" w:eastAsia="Times New Roman" w:hAnsi="Times New Roman" w:cs="Times New Roman"/>
          <w:iCs/>
        </w:rPr>
      </w:pPr>
      <w:r w:rsidRPr="00A31903">
        <w:rPr>
          <w:rFonts w:ascii="Times New Roman" w:eastAsia="Times New Roman" w:hAnsi="Times New Roman" w:cs="Times New Roman"/>
          <w:iCs/>
        </w:rPr>
        <w:t xml:space="preserve">TGDP </w:t>
      </w:r>
      <w:r w:rsidRPr="00A31903">
        <w:rPr>
          <w:rFonts w:ascii="Times New Roman" w:eastAsia="Times New Roman" w:hAnsi="Times New Roman" w:cs="Times New Roman"/>
        </w:rPr>
        <w:t>=</w:t>
      </w:r>
      <w:r w:rsidRPr="00A31903">
        <w:rPr>
          <w:rFonts w:ascii="Times New Roman" w:eastAsia="Times New Roman" w:hAnsi="Times New Roman" w:cs="Times New Roman"/>
          <w:iCs/>
        </w:rPr>
        <w:t>11.04–</w:t>
      </w:r>
      <w:r w:rsidRPr="00A31903">
        <w:rPr>
          <w:rFonts w:ascii="Times New Roman" w:eastAsia="Times New Roman" w:hAnsi="Times New Roman" w:cs="Times New Roman"/>
        </w:rPr>
        <w:t>0.04</w:t>
      </w:r>
      <w:r w:rsidRPr="00A31903">
        <w:rPr>
          <w:rFonts w:ascii="Times New Roman" w:eastAsia="Times New Roman" w:hAnsi="Times New Roman" w:cs="Times New Roman"/>
          <w:iCs/>
        </w:rPr>
        <w:t>INFL</w:t>
      </w:r>
      <w:r w:rsidRPr="00A31903">
        <w:rPr>
          <w:rFonts w:ascii="Times New Roman" w:eastAsia="Times New Roman" w:hAnsi="Times New Roman" w:cs="Times New Roman"/>
          <w:iCs/>
          <w:vertAlign w:val="subscript"/>
        </w:rPr>
        <w:t>t</w:t>
      </w:r>
      <w:r w:rsidRPr="00A31903">
        <w:rPr>
          <w:rFonts w:ascii="Times New Roman" w:eastAsia="Times New Roman" w:hAnsi="Times New Roman" w:cs="Times New Roman"/>
          <w:iCs/>
        </w:rPr>
        <w:t>+</w:t>
      </w:r>
      <w:r w:rsidRPr="00A31903">
        <w:rPr>
          <w:rFonts w:ascii="Times New Roman" w:eastAsia="Times New Roman" w:hAnsi="Times New Roman" w:cs="Times New Roman"/>
        </w:rPr>
        <w:t>5.14</w:t>
      </w:r>
      <w:r w:rsidRPr="00A31903">
        <w:rPr>
          <w:rFonts w:ascii="Times New Roman" w:eastAsia="Times New Roman" w:hAnsi="Times New Roman" w:cs="Times New Roman"/>
          <w:iCs/>
        </w:rPr>
        <w:t>POPG</w:t>
      </w:r>
      <w:r w:rsidRPr="00A31903">
        <w:rPr>
          <w:rFonts w:ascii="Times New Roman" w:eastAsia="Times New Roman" w:hAnsi="Times New Roman" w:cs="Times New Roman"/>
          <w:iCs/>
          <w:vertAlign w:val="subscript"/>
        </w:rPr>
        <w:t>t</w:t>
      </w:r>
      <w:r w:rsidRPr="00A31903">
        <w:rPr>
          <w:rFonts w:ascii="Times New Roman" w:eastAsia="Times New Roman" w:hAnsi="Times New Roman" w:cs="Times New Roman"/>
          <w:iCs/>
        </w:rPr>
        <w:t>+ 0.50GDPG</w:t>
      </w:r>
      <w:r w:rsidRPr="00A31903">
        <w:rPr>
          <w:rFonts w:ascii="Times New Roman" w:eastAsia="Times New Roman" w:hAnsi="Times New Roman" w:cs="Times New Roman"/>
          <w:iCs/>
          <w:vertAlign w:val="subscript"/>
        </w:rPr>
        <w:t>t</w:t>
      </w:r>
      <w:r w:rsidRPr="00A31903">
        <w:rPr>
          <w:rFonts w:ascii="Times New Roman" w:eastAsia="Times New Roman" w:hAnsi="Times New Roman" w:cs="Times New Roman"/>
          <w:iCs/>
        </w:rPr>
        <w:t>–</w:t>
      </w:r>
      <w:r w:rsidRPr="00A31903">
        <w:rPr>
          <w:rFonts w:ascii="Times New Roman" w:eastAsia="Times New Roman" w:hAnsi="Times New Roman" w:cs="Times New Roman"/>
        </w:rPr>
        <w:t>0.28</w:t>
      </w:r>
      <w:r w:rsidRPr="00A31903">
        <w:rPr>
          <w:rFonts w:ascii="Times New Roman" w:eastAsia="Times New Roman" w:hAnsi="Times New Roman" w:cs="Times New Roman"/>
          <w:iCs/>
        </w:rPr>
        <w:t>AGRV</w:t>
      </w:r>
      <w:r w:rsidRPr="00A31903">
        <w:rPr>
          <w:rFonts w:ascii="Times New Roman" w:eastAsia="Times New Roman" w:hAnsi="Times New Roman" w:cs="Times New Roman"/>
          <w:iCs/>
          <w:vertAlign w:val="subscript"/>
        </w:rPr>
        <w:t>t</w:t>
      </w:r>
      <w:r w:rsidRPr="00A31903">
        <w:rPr>
          <w:rFonts w:ascii="Times New Roman" w:eastAsia="Times New Roman" w:hAnsi="Times New Roman" w:cs="Times New Roman"/>
          <w:iCs/>
        </w:rPr>
        <w:t xml:space="preserve"> </w:t>
      </w:r>
      <w:r w:rsidRPr="00A31903">
        <w:rPr>
          <w:rFonts w:ascii="Times New Roman" w:eastAsia="Times New Roman" w:hAnsi="Times New Roman" w:cs="Times New Roman"/>
        </w:rPr>
        <w:t>+ 0.05</w:t>
      </w:r>
      <w:r w:rsidRPr="00A31903">
        <w:rPr>
          <w:rFonts w:ascii="Times New Roman" w:eastAsia="Times New Roman" w:hAnsi="Times New Roman" w:cs="Times New Roman"/>
          <w:iCs/>
        </w:rPr>
        <w:t>DEBT</w:t>
      </w:r>
      <w:r w:rsidRPr="00A31903">
        <w:rPr>
          <w:rFonts w:ascii="Times New Roman" w:eastAsia="Times New Roman" w:hAnsi="Times New Roman" w:cs="Times New Roman"/>
          <w:iCs/>
          <w:vertAlign w:val="subscript"/>
        </w:rPr>
        <w:t xml:space="preserve">t </w:t>
      </w:r>
      <w:r w:rsidRPr="00A31903">
        <w:rPr>
          <w:rFonts w:ascii="Times New Roman" w:eastAsia="Times New Roman" w:hAnsi="Times New Roman" w:cs="Times New Roman"/>
        </w:rPr>
        <w:t xml:space="preserve">+ </w:t>
      </w:r>
      <w:proofErr w:type="gramStart"/>
      <w:r w:rsidRPr="00A31903">
        <w:rPr>
          <w:rFonts w:ascii="Times New Roman" w:eastAsia="Times New Roman" w:hAnsi="Times New Roman" w:cs="Times New Roman"/>
        </w:rPr>
        <w:t>0.22SERV</w:t>
      </w:r>
      <w:r w:rsidRPr="00A31903">
        <w:rPr>
          <w:rFonts w:ascii="Times New Roman" w:eastAsia="Times New Roman" w:hAnsi="Times New Roman" w:cs="Times New Roman"/>
          <w:iCs/>
          <w:vertAlign w:val="subscript"/>
        </w:rPr>
        <w:t xml:space="preserve">t </w:t>
      </w:r>
      <w:r w:rsidRPr="00A31903">
        <w:rPr>
          <w:rFonts w:ascii="Times New Roman" w:eastAsia="Times New Roman" w:hAnsi="Times New Roman" w:cs="Times New Roman"/>
          <w:iCs/>
        </w:rPr>
        <w:t xml:space="preserve"> (</w:t>
      </w:r>
      <w:proofErr w:type="gramEnd"/>
      <w:r w:rsidRPr="00A31903">
        <w:rPr>
          <w:rFonts w:ascii="Times New Roman" w:eastAsia="Times New Roman" w:hAnsi="Times New Roman" w:cs="Times New Roman"/>
          <w:iCs/>
        </w:rPr>
        <w:t>3)</w:t>
      </w:r>
    </w:p>
    <w:p w:rsidR="004C162E" w:rsidRPr="00A31903" w:rsidRDefault="00EC6047" w:rsidP="004C162E">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4C162E" w:rsidRPr="00A31903">
        <w:rPr>
          <w:rFonts w:ascii="Times New Roman" w:hAnsi="Times New Roman" w:cs="Times New Roman"/>
        </w:rPr>
        <w:t xml:space="preserve">(18.059)   (0.029)        (16.707)        (0.190)          (0.274)      </w:t>
      </w:r>
      <w:r w:rsidRPr="00A31903">
        <w:rPr>
          <w:rFonts w:ascii="Times New Roman" w:hAnsi="Times New Roman" w:cs="Times New Roman"/>
        </w:rPr>
        <w:t xml:space="preserve">    </w:t>
      </w:r>
      <w:r w:rsidR="004C162E" w:rsidRPr="00A31903">
        <w:rPr>
          <w:rFonts w:ascii="Times New Roman" w:hAnsi="Times New Roman" w:cs="Times New Roman"/>
        </w:rPr>
        <w:t xml:space="preserve"> (0.040)</w:t>
      </w:r>
      <w:r w:rsidRPr="00A31903">
        <w:rPr>
          <w:rFonts w:ascii="Times New Roman" w:hAnsi="Times New Roman" w:cs="Times New Roman"/>
        </w:rPr>
        <w:t xml:space="preserve">         (0.203)</w:t>
      </w:r>
    </w:p>
    <w:p w:rsidR="004C162E" w:rsidRPr="00A31903" w:rsidRDefault="004C162E" w:rsidP="004C162E">
      <w:pPr>
        <w:autoSpaceDE w:val="0"/>
        <w:autoSpaceDN w:val="0"/>
        <w:adjustRightInd w:val="0"/>
        <w:spacing w:after="0" w:line="240" w:lineRule="auto"/>
        <w:jc w:val="both"/>
        <w:rPr>
          <w:rFonts w:ascii="Times New Roman" w:hAnsi="Times New Roman" w:cs="Times New Roman"/>
        </w:rPr>
      </w:pPr>
    </w:p>
    <w:p w:rsidR="00EE1252" w:rsidRPr="00A31903" w:rsidRDefault="00EE1252" w:rsidP="00EE1252">
      <w:pPr>
        <w:autoSpaceDE w:val="0"/>
        <w:autoSpaceDN w:val="0"/>
        <w:adjustRightInd w:val="0"/>
        <w:spacing w:after="0"/>
        <w:jc w:val="both"/>
        <w:rPr>
          <w:rFonts w:ascii="Times New Roman" w:hAnsi="Times New Roman" w:cs="Times New Roman"/>
        </w:rPr>
      </w:pPr>
      <w:r w:rsidRPr="00A31903">
        <w:rPr>
          <w:rFonts w:ascii="Times New Roman" w:hAnsi="Times New Roman" w:cs="Times New Roman"/>
        </w:rPr>
        <w:t>The</w:t>
      </w:r>
      <w:r w:rsidR="00B43210" w:rsidRPr="00A31903">
        <w:rPr>
          <w:rFonts w:ascii="Times New Roman" w:hAnsi="Times New Roman" w:cs="Times New Roman"/>
        </w:rPr>
        <w:t xml:space="preserve"> </w:t>
      </w:r>
      <w:r w:rsidR="004C162E" w:rsidRPr="00A31903">
        <w:rPr>
          <w:rFonts w:ascii="Times New Roman" w:hAnsi="Times New Roman" w:cs="Times New Roman"/>
        </w:rPr>
        <w:t xml:space="preserve">model </w:t>
      </w:r>
      <w:r w:rsidRPr="00A31903">
        <w:rPr>
          <w:rFonts w:ascii="Times New Roman" w:hAnsi="Times New Roman" w:cs="Times New Roman"/>
        </w:rPr>
        <w:t xml:space="preserve">for the underlying equation (3) </w:t>
      </w:r>
      <w:r w:rsidR="006704A2" w:rsidRPr="00A31903">
        <w:rPr>
          <w:rFonts w:ascii="Times New Roman" w:hAnsi="Times New Roman" w:cs="Times New Roman"/>
        </w:rPr>
        <w:t xml:space="preserve">is well </w:t>
      </w:r>
      <w:r w:rsidRPr="00A31903">
        <w:rPr>
          <w:rFonts w:ascii="Times New Roman" w:hAnsi="Times New Roman" w:cs="Times New Roman"/>
        </w:rPr>
        <w:t>fi</w:t>
      </w:r>
      <w:r w:rsidR="006704A2" w:rsidRPr="00A31903">
        <w:rPr>
          <w:rFonts w:ascii="Times New Roman" w:hAnsi="Times New Roman" w:cs="Times New Roman"/>
        </w:rPr>
        <w:t>tted</w:t>
      </w:r>
      <w:r w:rsidRPr="00A31903">
        <w:rPr>
          <w:rFonts w:ascii="Times New Roman" w:hAnsi="Times New Roman" w:cs="Times New Roman"/>
        </w:rPr>
        <w:t xml:space="preserve"> </w:t>
      </w:r>
      <w:r w:rsidR="006704A2" w:rsidRPr="00A31903">
        <w:rPr>
          <w:rFonts w:ascii="Times New Roman" w:hAnsi="Times New Roman" w:cs="Times New Roman"/>
        </w:rPr>
        <w:t>and</w:t>
      </w:r>
      <w:r w:rsidRPr="00A31903">
        <w:rPr>
          <w:rFonts w:ascii="Times New Roman" w:hAnsi="Times New Roman" w:cs="Times New Roman"/>
        </w:rPr>
        <w:t xml:space="preserve"> </w:t>
      </w:r>
      <w:r w:rsidR="00B43210" w:rsidRPr="00A31903">
        <w:rPr>
          <w:rFonts w:ascii="Times New Roman" w:hAnsi="Times New Roman" w:cs="Times New Roman"/>
        </w:rPr>
        <w:t>statistically significant</w:t>
      </w:r>
      <w:r w:rsidRPr="00A31903">
        <w:rPr>
          <w:rFonts w:ascii="Times New Roman" w:hAnsi="Times New Roman" w:cs="Times New Roman"/>
        </w:rPr>
        <w:t xml:space="preserve">. </w:t>
      </w:r>
      <w:r w:rsidR="00B43210" w:rsidRPr="00A31903">
        <w:rPr>
          <w:rFonts w:ascii="Times New Roman" w:hAnsi="Times New Roman" w:cs="Times New Roman"/>
        </w:rPr>
        <w:t>It</w:t>
      </w:r>
      <w:r w:rsidRPr="00A31903">
        <w:rPr>
          <w:rFonts w:ascii="Times New Roman" w:hAnsi="Times New Roman" w:cs="Times New Roman"/>
        </w:rPr>
        <w:t xml:space="preserve"> s</w:t>
      </w:r>
      <w:r w:rsidR="001C230F" w:rsidRPr="00A31903">
        <w:rPr>
          <w:rFonts w:ascii="Times New Roman" w:hAnsi="Times New Roman" w:cs="Times New Roman"/>
        </w:rPr>
        <w:t>atisfies other specification,</w:t>
      </w:r>
      <w:r w:rsidRPr="00A31903">
        <w:rPr>
          <w:rFonts w:ascii="Times New Roman" w:hAnsi="Times New Roman" w:cs="Times New Roman"/>
        </w:rPr>
        <w:t xml:space="preserve"> diagnostic </w:t>
      </w:r>
      <w:r w:rsidR="001C230F" w:rsidRPr="00A31903">
        <w:rPr>
          <w:rFonts w:ascii="Times New Roman" w:hAnsi="Times New Roman" w:cs="Times New Roman"/>
        </w:rPr>
        <w:t xml:space="preserve">and </w:t>
      </w:r>
      <w:proofErr w:type="spellStart"/>
      <w:r w:rsidR="001C230F" w:rsidRPr="00A31903">
        <w:rPr>
          <w:rFonts w:ascii="Times New Roman" w:hAnsi="Times New Roman" w:cs="Times New Roman"/>
        </w:rPr>
        <w:t>multicollinearity</w:t>
      </w:r>
      <w:proofErr w:type="spellEnd"/>
      <w:r w:rsidR="001C230F" w:rsidRPr="00A31903">
        <w:rPr>
          <w:rFonts w:ascii="Times New Roman" w:hAnsi="Times New Roman" w:cs="Times New Roman"/>
        </w:rPr>
        <w:t xml:space="preserve"> </w:t>
      </w:r>
      <w:r w:rsidRPr="00A31903">
        <w:rPr>
          <w:rFonts w:ascii="Times New Roman" w:hAnsi="Times New Roman" w:cs="Times New Roman"/>
        </w:rPr>
        <w:t>tests</w:t>
      </w:r>
      <w:r w:rsidR="001C230F" w:rsidRPr="00A31903">
        <w:rPr>
          <w:rFonts w:ascii="Times New Roman" w:hAnsi="Times New Roman" w:cs="Times New Roman"/>
        </w:rPr>
        <w:t>.</w:t>
      </w:r>
      <w:r w:rsidR="004C162E" w:rsidRPr="00A31903">
        <w:rPr>
          <w:rFonts w:ascii="Times New Roman" w:hAnsi="Times New Roman" w:cs="Times New Roman"/>
          <w:color w:val="FF0000"/>
        </w:rPr>
        <w:t xml:space="preserve"> </w:t>
      </w:r>
      <w:r w:rsidR="004C162E" w:rsidRPr="00A31903">
        <w:rPr>
          <w:rFonts w:ascii="Times New Roman" w:hAnsi="Times New Roman" w:cs="Times New Roman"/>
        </w:rPr>
        <w:t>Its</w:t>
      </w:r>
      <w:r w:rsidRPr="00A31903">
        <w:rPr>
          <w:rFonts w:ascii="Times New Roman" w:hAnsi="Times New Roman" w:cs="Times New Roman"/>
        </w:rPr>
        <w:t xml:space="preserve"> overall statistical properties are good as indicated by adjusted R</w:t>
      </w:r>
      <w:r w:rsidRPr="00A31903">
        <w:rPr>
          <w:rFonts w:ascii="Times New Roman" w:hAnsi="Times New Roman" w:cs="Times New Roman"/>
          <w:vertAlign w:val="superscript"/>
        </w:rPr>
        <w:t>2</w:t>
      </w:r>
      <w:r w:rsidR="001C230F" w:rsidRPr="00A31903">
        <w:rPr>
          <w:rFonts w:ascii="Times New Roman" w:hAnsi="Times New Roman" w:cs="Times New Roman"/>
        </w:rPr>
        <w:t xml:space="preserve"> of 91.91</w:t>
      </w:r>
      <w:r w:rsidRPr="00A31903">
        <w:rPr>
          <w:rFonts w:ascii="Times New Roman" w:hAnsi="Times New Roman" w:cs="Times New Roman"/>
        </w:rPr>
        <w:t>%</w:t>
      </w:r>
      <w:r w:rsidR="004C162E" w:rsidRPr="00A31903">
        <w:rPr>
          <w:rFonts w:ascii="Times New Roman" w:hAnsi="Times New Roman" w:cs="Times New Roman"/>
        </w:rPr>
        <w:t>.</w:t>
      </w:r>
      <w:r w:rsidRPr="00A31903">
        <w:rPr>
          <w:rFonts w:ascii="Times New Roman" w:hAnsi="Times New Roman" w:cs="Times New Roman"/>
        </w:rPr>
        <w:t xml:space="preserve"> </w:t>
      </w:r>
    </w:p>
    <w:p w:rsidR="00385291" w:rsidRPr="00A31903" w:rsidRDefault="00EE1252" w:rsidP="00B43210">
      <w:pPr>
        <w:spacing w:after="0" w:line="240" w:lineRule="auto"/>
        <w:jc w:val="both"/>
        <w:rPr>
          <w:rFonts w:ascii="Times New Roman" w:eastAsia="Times New Roman" w:hAnsi="Times New Roman" w:cs="Times New Roman"/>
          <w:lang w:val="en-GB" w:eastAsia="en-GB"/>
        </w:rPr>
      </w:pPr>
      <w:r w:rsidRPr="00A31903">
        <w:rPr>
          <w:rFonts w:ascii="Times New Roman" w:hAnsi="Times New Roman" w:cs="Times New Roman"/>
          <w:lang w:val="en-GB"/>
        </w:rPr>
        <w:t xml:space="preserve">    </w:t>
      </w:r>
      <w:r w:rsidR="001417E2" w:rsidRPr="00A31903">
        <w:rPr>
          <w:rFonts w:ascii="Times New Roman" w:hAnsi="Times New Roman" w:cs="Times New Roman"/>
          <w:lang w:val="en-GB"/>
        </w:rPr>
        <w:t>The study proceeded to perform a</w:t>
      </w:r>
      <w:r w:rsidR="00ED6BE3" w:rsidRPr="00A31903">
        <w:rPr>
          <w:rFonts w:ascii="Times New Roman" w:hAnsi="Times New Roman" w:cs="Times New Roman"/>
        </w:rPr>
        <w:t xml:space="preserve"> Granger causality test</w:t>
      </w:r>
      <w:r w:rsidR="001417E2" w:rsidRPr="00A31903">
        <w:rPr>
          <w:rFonts w:ascii="Times New Roman" w:hAnsi="Times New Roman" w:cs="Times New Roman"/>
        </w:rPr>
        <w:t>.</w:t>
      </w:r>
      <w:r w:rsidR="003D1B25" w:rsidRPr="00A31903">
        <w:rPr>
          <w:rFonts w:ascii="Times New Roman" w:hAnsi="Times New Roman" w:cs="Times New Roman"/>
        </w:rPr>
        <w:t xml:space="preserve"> </w:t>
      </w:r>
      <w:r w:rsidR="00ED6BE3" w:rsidRPr="00A31903">
        <w:rPr>
          <w:rFonts w:ascii="Times New Roman" w:hAnsi="Times New Roman" w:cs="Times New Roman"/>
        </w:rPr>
        <w:t>Here, variable X</w:t>
      </w:r>
      <w:r w:rsidR="003D1B25" w:rsidRPr="00A31903">
        <w:rPr>
          <w:rFonts w:ascii="Times New Roman" w:hAnsi="Times New Roman" w:cs="Times New Roman"/>
        </w:rPr>
        <w:t xml:space="preserve"> </w:t>
      </w:r>
      <w:proofErr w:type="gramStart"/>
      <w:r w:rsidR="003D1B25" w:rsidRPr="00A31903">
        <w:rPr>
          <w:rFonts w:ascii="Times New Roman" w:hAnsi="Times New Roman" w:cs="Times New Roman"/>
        </w:rPr>
        <w:t xml:space="preserve">is </w:t>
      </w:r>
      <w:r w:rsidR="00ED6BE3" w:rsidRPr="00A31903">
        <w:rPr>
          <w:rFonts w:ascii="Times New Roman" w:hAnsi="Times New Roman" w:cs="Times New Roman"/>
        </w:rPr>
        <w:t>said</w:t>
      </w:r>
      <w:proofErr w:type="gramEnd"/>
      <w:r w:rsidR="00ED6BE3" w:rsidRPr="00A31903">
        <w:rPr>
          <w:rFonts w:ascii="Times New Roman" w:hAnsi="Times New Roman" w:cs="Times New Roman"/>
        </w:rPr>
        <w:t xml:space="preserve"> t</w:t>
      </w:r>
      <w:r w:rsidRPr="00A31903">
        <w:rPr>
          <w:rFonts w:ascii="Times New Roman" w:hAnsi="Times New Roman" w:cs="Times New Roman"/>
        </w:rPr>
        <w:t xml:space="preserve">o Granger cause variable Y, if </w:t>
      </w:r>
      <w:r w:rsidR="00ED6BE3" w:rsidRPr="00A31903">
        <w:rPr>
          <w:rFonts w:ascii="Times New Roman" w:hAnsi="Times New Roman" w:cs="Times New Roman"/>
        </w:rPr>
        <w:t>lag</w:t>
      </w:r>
      <w:r w:rsidRPr="00A31903">
        <w:rPr>
          <w:rFonts w:ascii="Times New Roman" w:hAnsi="Times New Roman" w:cs="Times New Roman"/>
        </w:rPr>
        <w:t>ged</w:t>
      </w:r>
      <w:r w:rsidR="00ED6BE3" w:rsidRPr="00A31903">
        <w:rPr>
          <w:rFonts w:ascii="Times New Roman" w:hAnsi="Times New Roman" w:cs="Times New Roman"/>
        </w:rPr>
        <w:t xml:space="preserve"> X</w:t>
      </w:r>
      <w:r w:rsidR="003D1B25" w:rsidRPr="00A31903">
        <w:rPr>
          <w:rFonts w:ascii="Times New Roman" w:hAnsi="Times New Roman" w:cs="Times New Roman"/>
        </w:rPr>
        <w:t xml:space="preserve"> can</w:t>
      </w:r>
      <w:r w:rsidR="003D1B25" w:rsidRPr="00A31903">
        <w:rPr>
          <w:rFonts w:ascii="Times New Roman" w:eastAsia="Times New Roman" w:hAnsi="Times New Roman" w:cs="Times New Roman"/>
          <w:color w:val="FF0000"/>
          <w:lang w:val="en-GB" w:eastAsia="en-GB"/>
        </w:rPr>
        <w:t xml:space="preserve"> </w:t>
      </w:r>
      <w:r w:rsidR="003D1B25" w:rsidRPr="00A31903">
        <w:rPr>
          <w:rFonts w:ascii="Times New Roman" w:eastAsia="Times New Roman" w:hAnsi="Times New Roman" w:cs="Times New Roman"/>
          <w:lang w:val="en-GB" w:eastAsia="en-GB"/>
        </w:rPr>
        <w:t xml:space="preserve">improve a forecast for </w:t>
      </w:r>
      <w:r w:rsidR="00ED6BE3" w:rsidRPr="00A31903">
        <w:rPr>
          <w:rFonts w:ascii="Times New Roman" w:eastAsia="Times New Roman" w:hAnsi="Times New Roman" w:cs="Times New Roman"/>
          <w:lang w:val="en-GB" w:eastAsia="en-GB"/>
        </w:rPr>
        <w:t xml:space="preserve">lagged variable Y. </w:t>
      </w:r>
      <w:proofErr w:type="gramStart"/>
      <w:r w:rsidR="00ED6BE3" w:rsidRPr="00A31903">
        <w:rPr>
          <w:rFonts w:ascii="Times New Roman" w:eastAsia="Times New Roman" w:hAnsi="Times New Roman" w:cs="Times New Roman"/>
          <w:lang w:val="en-GB" w:eastAsia="en-GB"/>
        </w:rPr>
        <w:t xml:space="preserve">The empirical results </w:t>
      </w:r>
      <w:r w:rsidR="001417E2" w:rsidRPr="00A31903">
        <w:rPr>
          <w:rFonts w:ascii="Times New Roman" w:eastAsia="Times New Roman" w:hAnsi="Times New Roman" w:cs="Times New Roman"/>
          <w:lang w:val="en-GB" w:eastAsia="en-GB"/>
        </w:rPr>
        <w:t>from the VAR Granger c</w:t>
      </w:r>
      <w:r w:rsidR="00ED6BE3" w:rsidRPr="00A31903">
        <w:rPr>
          <w:rFonts w:ascii="Times New Roman" w:eastAsia="Times New Roman" w:hAnsi="Times New Roman" w:cs="Times New Roman"/>
          <w:lang w:val="en-GB" w:eastAsia="en-GB"/>
        </w:rPr>
        <w:t xml:space="preserve">ausality report </w:t>
      </w:r>
      <w:r w:rsidR="004F67D2" w:rsidRPr="00A31903">
        <w:rPr>
          <w:rFonts w:ascii="Times New Roman" w:eastAsia="Times New Roman" w:hAnsi="Times New Roman" w:cs="Times New Roman"/>
          <w:lang w:val="en-GB" w:eastAsia="en-GB"/>
        </w:rPr>
        <w:t>that lagged TGDP Granger-</w:t>
      </w:r>
      <w:r w:rsidR="00ED6BE3" w:rsidRPr="00A31903">
        <w:rPr>
          <w:rFonts w:ascii="Times New Roman" w:eastAsia="Times New Roman" w:hAnsi="Times New Roman" w:cs="Times New Roman"/>
          <w:lang w:val="en-GB" w:eastAsia="en-GB"/>
        </w:rPr>
        <w:t xml:space="preserve">causes the lagged independent variables all together (INFL, POPG, GDPG, AGRV, DEBT, </w:t>
      </w:r>
      <w:r w:rsidR="008F7744" w:rsidRPr="00A31903">
        <w:rPr>
          <w:rFonts w:ascii="Times New Roman" w:eastAsia="Times New Roman" w:hAnsi="Times New Roman" w:cs="Times New Roman"/>
          <w:lang w:val="en-GB" w:eastAsia="en-GB"/>
        </w:rPr>
        <w:t xml:space="preserve">and </w:t>
      </w:r>
      <w:r w:rsidR="00ED6BE3" w:rsidRPr="00A31903">
        <w:rPr>
          <w:rFonts w:ascii="Times New Roman" w:eastAsia="Times New Roman" w:hAnsi="Times New Roman" w:cs="Times New Roman"/>
          <w:lang w:val="en-GB" w:eastAsia="en-GB"/>
        </w:rPr>
        <w:t>SERV).</w:t>
      </w:r>
      <w:proofErr w:type="gramEnd"/>
      <w:r w:rsidR="00ED6BE3" w:rsidRPr="00A31903">
        <w:rPr>
          <w:rFonts w:ascii="Times New Roman" w:eastAsia="Times New Roman" w:hAnsi="Times New Roman" w:cs="Times New Roman"/>
          <w:lang w:val="en-GB" w:eastAsia="en-GB"/>
        </w:rPr>
        <w:t xml:space="preserve"> Therefore, we fail to accept the null hypothesis that lagged TGDP does not </w:t>
      </w:r>
      <w:r w:rsidR="004F67D2" w:rsidRPr="00A31903">
        <w:rPr>
          <w:rFonts w:ascii="Times New Roman" w:eastAsia="Times New Roman" w:hAnsi="Times New Roman" w:cs="Times New Roman"/>
          <w:lang w:val="en-GB" w:eastAsia="en-GB"/>
        </w:rPr>
        <w:t>Granger-</w:t>
      </w:r>
      <w:r w:rsidR="00ED6BE3" w:rsidRPr="00A31903">
        <w:rPr>
          <w:rFonts w:ascii="Times New Roman" w:eastAsia="Times New Roman" w:hAnsi="Times New Roman" w:cs="Times New Roman"/>
          <w:lang w:val="en-GB" w:eastAsia="en-GB"/>
        </w:rPr>
        <w:t>cause the lagged INFL, POPG, GDPG, AGRV, DEBT, and SERV all together.</w:t>
      </w:r>
      <w:r w:rsidR="00BB0AF1" w:rsidRPr="00A31903">
        <w:rPr>
          <w:rFonts w:ascii="Times New Roman" w:eastAsia="Times New Roman" w:hAnsi="Times New Roman" w:cs="Times New Roman"/>
          <w:lang w:val="en-GB" w:eastAsia="en-GB"/>
        </w:rPr>
        <w:t xml:space="preserve"> </w:t>
      </w:r>
    </w:p>
    <w:p w:rsidR="00753332" w:rsidRPr="00A31903" w:rsidRDefault="00385291" w:rsidP="00B43210">
      <w:pPr>
        <w:spacing w:after="0" w:line="240" w:lineRule="auto"/>
        <w:jc w:val="both"/>
        <w:rPr>
          <w:rFonts w:ascii="Times New Roman" w:hAnsi="Times New Roman" w:cs="Times New Roman"/>
        </w:rPr>
      </w:pPr>
      <w:r w:rsidRPr="00A31903">
        <w:rPr>
          <w:rFonts w:ascii="Times New Roman" w:eastAsia="Times New Roman" w:hAnsi="Times New Roman" w:cs="Times New Roman"/>
          <w:lang w:val="en-GB" w:eastAsia="en-GB"/>
        </w:rPr>
        <w:t xml:space="preserve">     On the other hand, </w:t>
      </w:r>
      <w:r w:rsidR="001417E2" w:rsidRPr="00A31903">
        <w:rPr>
          <w:rFonts w:ascii="Times New Roman" w:eastAsia="Times New Roman" w:hAnsi="Times New Roman" w:cs="Times New Roman"/>
          <w:lang w:val="en-GB" w:eastAsia="en-GB"/>
        </w:rPr>
        <w:t xml:space="preserve">apart from </w:t>
      </w:r>
      <w:r w:rsidRPr="00A31903">
        <w:rPr>
          <w:rFonts w:ascii="Times New Roman" w:eastAsia="Times New Roman" w:hAnsi="Times New Roman" w:cs="Times New Roman"/>
          <w:lang w:val="en-GB" w:eastAsia="en-GB"/>
        </w:rPr>
        <w:t xml:space="preserve">lagged </w:t>
      </w:r>
      <w:r w:rsidR="00D52235" w:rsidRPr="00A31903">
        <w:rPr>
          <w:rFonts w:ascii="Times New Roman" w:eastAsia="Times New Roman" w:hAnsi="Times New Roman" w:cs="Times New Roman"/>
          <w:lang w:val="en-GB" w:eastAsia="en-GB"/>
        </w:rPr>
        <w:t>GDPG which Granger-</w:t>
      </w:r>
      <w:r w:rsidR="001417E2" w:rsidRPr="00A31903">
        <w:rPr>
          <w:rFonts w:ascii="Times New Roman" w:eastAsia="Times New Roman" w:hAnsi="Times New Roman" w:cs="Times New Roman"/>
          <w:lang w:val="en-GB" w:eastAsia="en-GB"/>
        </w:rPr>
        <w:t>cause</w:t>
      </w:r>
      <w:r w:rsidR="00D52235" w:rsidRPr="00A31903">
        <w:rPr>
          <w:rFonts w:ascii="Times New Roman" w:eastAsia="Times New Roman" w:hAnsi="Times New Roman" w:cs="Times New Roman"/>
          <w:lang w:val="en-GB" w:eastAsia="en-GB"/>
        </w:rPr>
        <w:t>s</w:t>
      </w:r>
      <w:r w:rsidR="001417E2" w:rsidRPr="00A31903">
        <w:rPr>
          <w:rFonts w:ascii="Times New Roman" w:eastAsia="Times New Roman" w:hAnsi="Times New Roman" w:cs="Times New Roman"/>
          <w:lang w:val="en-GB" w:eastAsia="en-GB"/>
        </w:rPr>
        <w:t xml:space="preserve"> </w:t>
      </w:r>
      <w:r w:rsidRPr="00A31903">
        <w:rPr>
          <w:rFonts w:ascii="Times New Roman" w:eastAsia="Times New Roman" w:hAnsi="Times New Roman" w:cs="Times New Roman"/>
          <w:lang w:val="en-GB" w:eastAsia="en-GB"/>
        </w:rPr>
        <w:t xml:space="preserve">lagged </w:t>
      </w:r>
      <w:r w:rsidR="001417E2" w:rsidRPr="00A31903">
        <w:rPr>
          <w:rFonts w:ascii="Times New Roman" w:eastAsia="Times New Roman" w:hAnsi="Times New Roman" w:cs="Times New Roman"/>
          <w:lang w:val="en-GB" w:eastAsia="en-GB"/>
        </w:rPr>
        <w:t xml:space="preserve">TGDP, </w:t>
      </w:r>
      <w:r w:rsidRPr="00A31903">
        <w:rPr>
          <w:rFonts w:ascii="Times New Roman" w:eastAsia="Times New Roman" w:hAnsi="Times New Roman" w:cs="Times New Roman"/>
          <w:lang w:val="en-GB" w:eastAsia="en-GB"/>
        </w:rPr>
        <w:t xml:space="preserve">the other lagged variables such as </w:t>
      </w:r>
      <w:r w:rsidR="001417E2" w:rsidRPr="00A31903">
        <w:rPr>
          <w:rFonts w:ascii="Times New Roman" w:eastAsia="Times New Roman" w:hAnsi="Times New Roman" w:cs="Times New Roman"/>
          <w:lang w:val="en-GB" w:eastAsia="en-GB"/>
        </w:rPr>
        <w:t>INFL, POPG, AGRV, DEBT and SERV</w:t>
      </w:r>
      <w:r w:rsidR="00EC24BE" w:rsidRPr="00A31903">
        <w:rPr>
          <w:rFonts w:ascii="Times New Roman" w:eastAsia="Times New Roman" w:hAnsi="Times New Roman" w:cs="Times New Roman"/>
          <w:lang w:val="en-GB" w:eastAsia="en-GB"/>
        </w:rPr>
        <w:t xml:space="preserve"> do not Granger-</w:t>
      </w:r>
      <w:r w:rsidRPr="00A31903">
        <w:rPr>
          <w:rFonts w:ascii="Times New Roman" w:eastAsia="Times New Roman" w:hAnsi="Times New Roman" w:cs="Times New Roman"/>
          <w:lang w:val="en-GB" w:eastAsia="en-GB"/>
        </w:rPr>
        <w:t xml:space="preserve">cause lagged TGDP. Therefore, we conclude that there is a </w:t>
      </w:r>
      <w:proofErr w:type="spellStart"/>
      <w:r w:rsidRPr="00A31903">
        <w:rPr>
          <w:rFonts w:ascii="Times New Roman" w:eastAsia="Times New Roman" w:hAnsi="Times New Roman" w:cs="Times New Roman"/>
          <w:lang w:val="en-GB" w:eastAsia="en-GB"/>
        </w:rPr>
        <w:t>uni</w:t>
      </w:r>
      <w:proofErr w:type="spellEnd"/>
      <w:r w:rsidRPr="00A31903">
        <w:rPr>
          <w:rFonts w:ascii="Times New Roman" w:eastAsia="Times New Roman" w:hAnsi="Times New Roman" w:cs="Times New Roman"/>
          <w:lang w:val="en-GB" w:eastAsia="en-GB"/>
        </w:rPr>
        <w:t>-directional causality running from lagged TGDP to lagged INFL, POPG, AGRV, DEBT and SERV and a bi-directional causality between lagged TGDP and lagged GDPG.</w:t>
      </w:r>
    </w:p>
    <w:p w:rsidR="00EC24BE" w:rsidRPr="00A31903" w:rsidRDefault="00667805" w:rsidP="005B6C29">
      <w:pPr>
        <w:tabs>
          <w:tab w:val="num" w:pos="720"/>
        </w:tabs>
        <w:autoSpaceDE w:val="0"/>
        <w:autoSpaceDN w:val="0"/>
        <w:adjustRightInd w:val="0"/>
        <w:spacing w:after="0" w:line="240" w:lineRule="auto"/>
        <w:jc w:val="both"/>
        <w:rPr>
          <w:rFonts w:ascii="Times New Roman" w:hAnsi="Times New Roman" w:cs="Times New Roman"/>
          <w:color w:val="FF0000"/>
        </w:rPr>
      </w:pPr>
      <w:r w:rsidRPr="00A31903">
        <w:rPr>
          <w:rFonts w:ascii="Times New Roman" w:hAnsi="Times New Roman" w:cs="Times New Roman"/>
          <w:color w:val="FF0000"/>
        </w:rPr>
        <w:t xml:space="preserve">    </w:t>
      </w:r>
      <w:r w:rsidR="00FC5D53" w:rsidRPr="00A31903">
        <w:rPr>
          <w:rFonts w:ascii="Times New Roman" w:hAnsi="Times New Roman" w:cs="Times New Roman"/>
        </w:rPr>
        <w:t xml:space="preserve">Relying on Equation (3) to estimate the taxable capacity, Baer </w:t>
      </w:r>
      <w:r w:rsidR="00843E1E" w:rsidRPr="00A31903">
        <w:rPr>
          <w:rFonts w:ascii="Times New Roman" w:hAnsi="Times New Roman" w:cs="Times New Roman"/>
        </w:rPr>
        <w:t>and</w:t>
      </w:r>
      <w:r w:rsidR="00CA3FCF" w:rsidRPr="00A31903">
        <w:rPr>
          <w:rFonts w:ascii="Times New Roman" w:hAnsi="Times New Roman" w:cs="Times New Roman"/>
        </w:rPr>
        <w:t xml:space="preserve"> </w:t>
      </w:r>
      <w:proofErr w:type="spellStart"/>
      <w:r w:rsidR="00CA3FCF" w:rsidRPr="00A31903">
        <w:rPr>
          <w:rFonts w:ascii="Times New Roman" w:hAnsi="Times New Roman" w:cs="Times New Roman"/>
        </w:rPr>
        <w:t>Galvao’s</w:t>
      </w:r>
      <w:proofErr w:type="spellEnd"/>
      <w:r w:rsidR="00CA3FCF" w:rsidRPr="00A31903">
        <w:rPr>
          <w:rFonts w:ascii="Times New Roman" w:hAnsi="Times New Roman" w:cs="Times New Roman"/>
        </w:rPr>
        <w:t xml:space="preserve"> (2005</w:t>
      </w:r>
      <w:r w:rsidR="00FC5D53" w:rsidRPr="00A31903">
        <w:rPr>
          <w:rFonts w:ascii="Times New Roman" w:hAnsi="Times New Roman" w:cs="Times New Roman"/>
        </w:rPr>
        <w:t>) mode</w:t>
      </w:r>
      <w:r w:rsidR="00CA3FCF" w:rsidRPr="00A31903">
        <w:rPr>
          <w:rFonts w:ascii="Times New Roman" w:hAnsi="Times New Roman" w:cs="Times New Roman"/>
        </w:rPr>
        <w:t xml:space="preserve">l for tax burden and </w:t>
      </w:r>
      <w:proofErr w:type="spellStart"/>
      <w:r w:rsidR="00CA3FCF" w:rsidRPr="00A31903">
        <w:rPr>
          <w:rFonts w:ascii="Times New Roman" w:hAnsi="Times New Roman" w:cs="Times New Roman"/>
        </w:rPr>
        <w:t>Stotsky</w:t>
      </w:r>
      <w:proofErr w:type="spellEnd"/>
      <w:r w:rsidR="00CA3FCF" w:rsidRPr="00A31903">
        <w:rPr>
          <w:rFonts w:ascii="Times New Roman" w:hAnsi="Times New Roman" w:cs="Times New Roman"/>
        </w:rPr>
        <w:t xml:space="preserve"> </w:t>
      </w:r>
      <w:r w:rsidR="00843E1E" w:rsidRPr="00A31903">
        <w:rPr>
          <w:rFonts w:ascii="Times New Roman" w:hAnsi="Times New Roman" w:cs="Times New Roman"/>
        </w:rPr>
        <w:t>and</w:t>
      </w:r>
      <w:r w:rsidR="00FC5D53" w:rsidRPr="00A31903">
        <w:rPr>
          <w:rFonts w:ascii="Times New Roman" w:hAnsi="Times New Roman" w:cs="Times New Roman"/>
        </w:rPr>
        <w:t xml:space="preserve"> </w:t>
      </w:r>
      <w:proofErr w:type="spellStart"/>
      <w:r w:rsidR="00FC5D53" w:rsidRPr="00A31903">
        <w:rPr>
          <w:rFonts w:ascii="Times New Roman" w:hAnsi="Times New Roman" w:cs="Times New Roman"/>
        </w:rPr>
        <w:t>WoldeMariam</w:t>
      </w:r>
      <w:proofErr w:type="spellEnd"/>
      <w:r w:rsidR="00FC5D53" w:rsidRPr="00A31903">
        <w:rPr>
          <w:rFonts w:ascii="Times New Roman" w:hAnsi="Times New Roman" w:cs="Times New Roman"/>
        </w:rPr>
        <w:t xml:space="preserve"> (1997) tax effort method, the empirical findings</w:t>
      </w:r>
      <w:r w:rsidR="00FC5D53" w:rsidRPr="00A31903">
        <w:rPr>
          <w:rFonts w:ascii="Times New Roman" w:hAnsi="Times New Roman" w:cs="Times New Roman"/>
          <w:color w:val="FF0000"/>
        </w:rPr>
        <w:t xml:space="preserve"> </w:t>
      </w:r>
      <w:proofErr w:type="gramStart"/>
      <w:r w:rsidR="00896074" w:rsidRPr="00A31903">
        <w:rPr>
          <w:rFonts w:ascii="Times New Roman" w:hAnsi="Times New Roman" w:cs="Times New Roman"/>
        </w:rPr>
        <w:t>are reported</w:t>
      </w:r>
      <w:proofErr w:type="gramEnd"/>
      <w:r w:rsidR="00896074" w:rsidRPr="00A31903">
        <w:rPr>
          <w:rFonts w:ascii="Times New Roman" w:hAnsi="Times New Roman" w:cs="Times New Roman"/>
        </w:rPr>
        <w:t xml:space="preserve"> in Tables VI and VII</w:t>
      </w:r>
      <w:r w:rsidR="00FC5D53" w:rsidRPr="00A31903">
        <w:rPr>
          <w:rFonts w:ascii="Times New Roman" w:hAnsi="Times New Roman" w:cs="Times New Roman"/>
        </w:rPr>
        <w:t xml:space="preserve"> for discussion</w:t>
      </w:r>
      <w:r w:rsidR="008F7744" w:rsidRPr="00A31903">
        <w:rPr>
          <w:rFonts w:ascii="Times New Roman" w:hAnsi="Times New Roman" w:cs="Times New Roman"/>
        </w:rPr>
        <w:t>.</w:t>
      </w:r>
    </w:p>
    <w:p w:rsidR="006F5584" w:rsidRPr="00A31903" w:rsidRDefault="006E2E21" w:rsidP="00896074">
      <w:pPr>
        <w:autoSpaceDE w:val="0"/>
        <w:autoSpaceDN w:val="0"/>
        <w:adjustRightInd w:val="0"/>
        <w:spacing w:after="0" w:line="240" w:lineRule="auto"/>
        <w:jc w:val="both"/>
        <w:rPr>
          <w:rFonts w:ascii="Times New Roman" w:hAnsi="Times New Roman" w:cs="Times New Roman"/>
          <w:b/>
        </w:rPr>
      </w:pPr>
      <w:r w:rsidRPr="00A31903">
        <w:rPr>
          <w:rFonts w:ascii="Times New Roman" w:hAnsi="Times New Roman" w:cs="Times New Roman"/>
          <w:noProof/>
        </w:rPr>
        <w:t xml:space="preserve">   </w:t>
      </w:r>
      <w:r w:rsidR="008F7744" w:rsidRPr="00A31903">
        <w:rPr>
          <w:rFonts w:ascii="Times New Roman" w:hAnsi="Times New Roman" w:cs="Times New Roman"/>
          <w:noProof/>
        </w:rPr>
        <w:t xml:space="preserve"> </w:t>
      </w:r>
      <w:r w:rsidR="00DB2F79" w:rsidRPr="00A31903">
        <w:rPr>
          <w:rFonts w:ascii="Times New Roman" w:hAnsi="Times New Roman" w:cs="Times New Roman"/>
          <w:color w:val="FF0000"/>
        </w:rPr>
        <w:t xml:space="preserve">    </w:t>
      </w:r>
    </w:p>
    <w:p w:rsidR="00601016" w:rsidRPr="00A31903" w:rsidRDefault="00601016" w:rsidP="00601016">
      <w:pPr>
        <w:autoSpaceDE w:val="0"/>
        <w:autoSpaceDN w:val="0"/>
        <w:adjustRightInd w:val="0"/>
        <w:spacing w:after="0" w:line="240" w:lineRule="auto"/>
        <w:jc w:val="both"/>
        <w:rPr>
          <w:rFonts w:ascii="Times New Roman" w:hAnsi="Times New Roman" w:cs="Times New Roman"/>
          <w:b/>
        </w:rPr>
      </w:pPr>
      <w:r w:rsidRPr="00A31903">
        <w:rPr>
          <w:rFonts w:ascii="Times New Roman" w:hAnsi="Times New Roman" w:cs="Times New Roman"/>
          <w:b/>
        </w:rPr>
        <w:t>Table</w:t>
      </w:r>
      <w:r w:rsidR="00E47858" w:rsidRPr="00A31903">
        <w:rPr>
          <w:rFonts w:ascii="Times New Roman" w:hAnsi="Times New Roman" w:cs="Times New Roman"/>
          <w:b/>
        </w:rPr>
        <w:t xml:space="preserve"> </w:t>
      </w:r>
      <w:r w:rsidRPr="00A31903">
        <w:rPr>
          <w:rFonts w:ascii="Times New Roman" w:hAnsi="Times New Roman" w:cs="Times New Roman"/>
          <w:b/>
        </w:rPr>
        <w:t>V</w:t>
      </w:r>
      <w:r w:rsidR="00B03E0A" w:rsidRPr="00A31903">
        <w:rPr>
          <w:rFonts w:ascii="Times New Roman" w:hAnsi="Times New Roman" w:cs="Times New Roman"/>
          <w:b/>
        </w:rPr>
        <w:t>I</w:t>
      </w:r>
      <w:r w:rsidRPr="00A31903">
        <w:rPr>
          <w:rFonts w:ascii="Times New Roman" w:hAnsi="Times New Roman" w:cs="Times New Roman"/>
          <w:b/>
        </w:rPr>
        <w:t>: Pre-tax reform analysis: Taxable capacity, tax effort and tax burden</w:t>
      </w:r>
    </w:p>
    <w:p w:rsidR="00601016" w:rsidRPr="00A31903" w:rsidRDefault="00601016" w:rsidP="00601016">
      <w:pPr>
        <w:autoSpaceDE w:val="0"/>
        <w:autoSpaceDN w:val="0"/>
        <w:adjustRightInd w:val="0"/>
        <w:spacing w:after="0" w:line="240" w:lineRule="auto"/>
        <w:jc w:val="both"/>
        <w:rPr>
          <w:rFonts w:ascii="Times New Roman" w:hAnsi="Times New Roman" w:cs="Times New Roman"/>
          <w:b/>
        </w:rPr>
      </w:pPr>
    </w:p>
    <w:tbl>
      <w:tblPr>
        <w:tblW w:w="9375" w:type="dxa"/>
        <w:tblInd w:w="103" w:type="dxa"/>
        <w:tblLook w:val="04A0" w:firstRow="1" w:lastRow="0" w:firstColumn="1" w:lastColumn="0" w:noHBand="0" w:noVBand="1"/>
      </w:tblPr>
      <w:tblGrid>
        <w:gridCol w:w="1614"/>
        <w:gridCol w:w="2492"/>
        <w:gridCol w:w="2864"/>
        <w:gridCol w:w="2405"/>
      </w:tblGrid>
      <w:tr w:rsidR="00601016" w:rsidRPr="00A31903" w:rsidTr="00F251D5">
        <w:trPr>
          <w:trHeight w:val="315"/>
        </w:trPr>
        <w:tc>
          <w:tcPr>
            <w:tcW w:w="9375" w:type="dxa"/>
            <w:gridSpan w:val="4"/>
            <w:tcBorders>
              <w:top w:val="single" w:sz="4" w:space="0" w:color="auto"/>
            </w:tcBorders>
            <w:shd w:val="clear" w:color="auto" w:fill="auto"/>
            <w:noWrap/>
            <w:vAlign w:val="bottom"/>
            <w:hideMark/>
          </w:tcPr>
          <w:p w:rsidR="00601016" w:rsidRPr="00A31903" w:rsidRDefault="00601016" w:rsidP="00F251D5">
            <w:pPr>
              <w:spacing w:after="0" w:line="240" w:lineRule="auto"/>
              <w:rPr>
                <w:rFonts w:ascii="Times New Roman" w:eastAsia="Times New Roman" w:hAnsi="Times New Roman" w:cs="Times New Roman"/>
                <w:color w:val="000000"/>
              </w:rPr>
            </w:pPr>
            <w:r w:rsidRPr="00A31903">
              <w:rPr>
                <w:rFonts w:ascii="Times New Roman" w:eastAsia="Times New Roman" w:hAnsi="Times New Roman" w:cs="Times New Roman"/>
                <w:color w:val="000000"/>
              </w:rPr>
              <w:t xml:space="preserve">Analysis of </w:t>
            </w:r>
            <w:r w:rsidR="00C757DE" w:rsidRPr="00A31903">
              <w:rPr>
                <w:rFonts w:ascii="Times New Roman" w:hAnsi="Times New Roman" w:cs="Times New Roman"/>
              </w:rPr>
              <w:t>taxable capacity, tax effort and tax b</w:t>
            </w:r>
            <w:r w:rsidRPr="00A31903">
              <w:rPr>
                <w:rFonts w:ascii="Times New Roman" w:hAnsi="Times New Roman" w:cs="Times New Roman"/>
              </w:rPr>
              <w:t>urden</w:t>
            </w:r>
            <w:r w:rsidRPr="00A31903">
              <w:rPr>
                <w:rFonts w:ascii="Times New Roman" w:eastAsia="Times New Roman" w:hAnsi="Times New Roman" w:cs="Times New Roman"/>
                <w:color w:val="000000"/>
              </w:rPr>
              <w:t> </w:t>
            </w:r>
          </w:p>
        </w:tc>
      </w:tr>
      <w:tr w:rsidR="00601016" w:rsidRPr="00A31903" w:rsidTr="00F251D5">
        <w:trPr>
          <w:trHeight w:val="315"/>
        </w:trPr>
        <w:tc>
          <w:tcPr>
            <w:tcW w:w="6970" w:type="dxa"/>
            <w:gridSpan w:val="3"/>
            <w:tcBorders>
              <w:right w:val="nil"/>
            </w:tcBorders>
            <w:shd w:val="clear" w:color="auto" w:fill="auto"/>
            <w:noWrap/>
            <w:vAlign w:val="bottom"/>
            <w:hideMark/>
          </w:tcPr>
          <w:p w:rsidR="00601016" w:rsidRPr="00A31903" w:rsidRDefault="00C757DE" w:rsidP="00F251D5">
            <w:pPr>
              <w:spacing w:after="0" w:line="240" w:lineRule="auto"/>
              <w:rPr>
                <w:rFonts w:ascii="Times New Roman" w:eastAsia="Times New Roman" w:hAnsi="Times New Roman" w:cs="Times New Roman"/>
                <w:color w:val="000000"/>
              </w:rPr>
            </w:pPr>
            <w:r w:rsidRPr="00A31903">
              <w:rPr>
                <w:rFonts w:ascii="Times New Roman" w:eastAsia="Times New Roman" w:hAnsi="Times New Roman" w:cs="Times New Roman"/>
                <w:color w:val="000000"/>
              </w:rPr>
              <w:t>Pre-tax reform p</w:t>
            </w:r>
            <w:r w:rsidR="00601016" w:rsidRPr="00A31903">
              <w:rPr>
                <w:rFonts w:ascii="Times New Roman" w:eastAsia="Times New Roman" w:hAnsi="Times New Roman" w:cs="Times New Roman"/>
                <w:color w:val="000000"/>
              </w:rPr>
              <w:t>eriod (1970 - 1984)</w:t>
            </w:r>
          </w:p>
        </w:tc>
        <w:tc>
          <w:tcPr>
            <w:tcW w:w="2405" w:type="dxa"/>
            <w:tcBorders>
              <w:top w:val="nil"/>
              <w:left w:val="nil"/>
            </w:tcBorders>
            <w:shd w:val="clear" w:color="auto" w:fill="auto"/>
            <w:noWrap/>
            <w:vAlign w:val="bottom"/>
            <w:hideMark/>
          </w:tcPr>
          <w:p w:rsidR="00601016" w:rsidRPr="00A31903" w:rsidRDefault="00601016" w:rsidP="00F251D5">
            <w:pPr>
              <w:spacing w:after="0" w:line="240" w:lineRule="auto"/>
              <w:rPr>
                <w:rFonts w:ascii="Times New Roman" w:eastAsia="Times New Roman" w:hAnsi="Times New Roman" w:cs="Times New Roman"/>
                <w:color w:val="000000"/>
              </w:rPr>
            </w:pPr>
            <w:r w:rsidRPr="00A31903">
              <w:rPr>
                <w:rFonts w:ascii="Times New Roman" w:eastAsia="Times New Roman" w:hAnsi="Times New Roman" w:cs="Times New Roman"/>
                <w:color w:val="000000"/>
              </w:rPr>
              <w:t> </w:t>
            </w:r>
          </w:p>
        </w:tc>
      </w:tr>
      <w:tr w:rsidR="00601016" w:rsidRPr="00A31903" w:rsidTr="00F251D5">
        <w:trPr>
          <w:trHeight w:val="420"/>
        </w:trPr>
        <w:tc>
          <w:tcPr>
            <w:tcW w:w="1614" w:type="dxa"/>
            <w:tcBorders>
              <w:bottom w:val="single" w:sz="4" w:space="0" w:color="auto"/>
            </w:tcBorders>
            <w:shd w:val="clear" w:color="auto" w:fill="auto"/>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Year</w:t>
            </w:r>
          </w:p>
        </w:tc>
        <w:tc>
          <w:tcPr>
            <w:tcW w:w="2492" w:type="dxa"/>
            <w:tcBorders>
              <w:bottom w:val="single" w:sz="4" w:space="0" w:color="auto"/>
            </w:tcBorders>
            <w:shd w:val="clear" w:color="auto" w:fill="auto"/>
            <w:vAlign w:val="bottom"/>
            <w:hideMark/>
          </w:tcPr>
          <w:p w:rsidR="00601016" w:rsidRPr="00A31903" w:rsidRDefault="00C757DE"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Tax b</w:t>
            </w:r>
            <w:r w:rsidR="00601016" w:rsidRPr="00A31903">
              <w:rPr>
                <w:rFonts w:ascii="Times New Roman" w:eastAsia="Times New Roman" w:hAnsi="Times New Roman" w:cs="Times New Roman"/>
                <w:color w:val="000000"/>
              </w:rPr>
              <w:t>urden</w:t>
            </w:r>
          </w:p>
        </w:tc>
        <w:tc>
          <w:tcPr>
            <w:tcW w:w="2864" w:type="dxa"/>
            <w:tcBorders>
              <w:bottom w:val="single" w:sz="4" w:space="0" w:color="auto"/>
            </w:tcBorders>
            <w:shd w:val="clear" w:color="auto" w:fill="auto"/>
            <w:vAlign w:val="bottom"/>
            <w:hideMark/>
          </w:tcPr>
          <w:p w:rsidR="00601016" w:rsidRPr="00A31903" w:rsidRDefault="00C757DE"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Taxable c</w:t>
            </w:r>
            <w:r w:rsidR="00601016" w:rsidRPr="00A31903">
              <w:rPr>
                <w:rFonts w:ascii="Times New Roman" w:eastAsia="Times New Roman" w:hAnsi="Times New Roman" w:cs="Times New Roman"/>
                <w:color w:val="000000"/>
              </w:rPr>
              <w:t>apacity</w:t>
            </w:r>
          </w:p>
        </w:tc>
        <w:tc>
          <w:tcPr>
            <w:tcW w:w="2405" w:type="dxa"/>
            <w:tcBorders>
              <w:bottom w:val="single" w:sz="4" w:space="0" w:color="auto"/>
            </w:tcBorders>
            <w:shd w:val="clear" w:color="auto" w:fill="auto"/>
            <w:vAlign w:val="bottom"/>
            <w:hideMark/>
          </w:tcPr>
          <w:p w:rsidR="00601016" w:rsidRPr="00A31903" w:rsidRDefault="00C757DE"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Tax e</w:t>
            </w:r>
            <w:r w:rsidR="00601016" w:rsidRPr="00A31903">
              <w:rPr>
                <w:rFonts w:ascii="Times New Roman" w:eastAsia="Times New Roman" w:hAnsi="Times New Roman" w:cs="Times New Roman"/>
                <w:color w:val="000000"/>
              </w:rPr>
              <w:t>ffort</w:t>
            </w:r>
          </w:p>
        </w:tc>
      </w:tr>
      <w:tr w:rsidR="00601016" w:rsidRPr="00A31903" w:rsidTr="00F251D5">
        <w:trPr>
          <w:trHeight w:val="315"/>
        </w:trPr>
        <w:tc>
          <w:tcPr>
            <w:tcW w:w="1614" w:type="dxa"/>
            <w:tcBorders>
              <w:top w:val="single" w:sz="4" w:space="0" w:color="auto"/>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1970</w:t>
            </w:r>
          </w:p>
        </w:tc>
        <w:tc>
          <w:tcPr>
            <w:tcW w:w="2492" w:type="dxa"/>
            <w:tcBorders>
              <w:top w:val="single" w:sz="4" w:space="0" w:color="auto"/>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19.63</w:t>
            </w:r>
          </w:p>
        </w:tc>
        <w:tc>
          <w:tcPr>
            <w:tcW w:w="2864" w:type="dxa"/>
            <w:tcBorders>
              <w:top w:val="single" w:sz="4" w:space="0" w:color="auto"/>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18.05</w:t>
            </w:r>
          </w:p>
        </w:tc>
        <w:tc>
          <w:tcPr>
            <w:tcW w:w="2405" w:type="dxa"/>
            <w:tcBorders>
              <w:top w:val="single" w:sz="4" w:space="0" w:color="auto"/>
            </w:tcBorders>
            <w:shd w:val="clear" w:color="auto" w:fill="auto"/>
            <w:noWrap/>
            <w:vAlign w:val="bottom"/>
            <w:hideMark/>
          </w:tcPr>
          <w:p w:rsidR="00601016" w:rsidRPr="00A31903" w:rsidRDefault="00F4486C"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1.09</w:t>
            </w:r>
          </w:p>
        </w:tc>
      </w:tr>
      <w:tr w:rsidR="00601016" w:rsidRPr="00A31903" w:rsidTr="00F251D5">
        <w:trPr>
          <w:trHeight w:val="315"/>
        </w:trPr>
        <w:tc>
          <w:tcPr>
            <w:tcW w:w="161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1971</w:t>
            </w:r>
          </w:p>
        </w:tc>
        <w:tc>
          <w:tcPr>
            <w:tcW w:w="2492"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14.81</w:t>
            </w:r>
          </w:p>
        </w:tc>
        <w:tc>
          <w:tcPr>
            <w:tcW w:w="2864" w:type="dxa"/>
            <w:tcBorders>
              <w:top w:val="nil"/>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18.85</w:t>
            </w:r>
          </w:p>
        </w:tc>
        <w:tc>
          <w:tcPr>
            <w:tcW w:w="2405" w:type="dxa"/>
            <w:tcBorders>
              <w:top w:val="nil"/>
            </w:tcBorders>
            <w:shd w:val="clear" w:color="auto" w:fill="auto"/>
            <w:noWrap/>
            <w:vAlign w:val="bottom"/>
            <w:hideMark/>
          </w:tcPr>
          <w:p w:rsidR="00601016" w:rsidRPr="00A31903" w:rsidRDefault="00F4486C"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0.79</w:t>
            </w:r>
          </w:p>
        </w:tc>
      </w:tr>
      <w:tr w:rsidR="00601016" w:rsidRPr="00A31903" w:rsidTr="00F251D5">
        <w:trPr>
          <w:trHeight w:val="315"/>
        </w:trPr>
        <w:tc>
          <w:tcPr>
            <w:tcW w:w="161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1972</w:t>
            </w:r>
          </w:p>
        </w:tc>
        <w:tc>
          <w:tcPr>
            <w:tcW w:w="2492"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12.4</w:t>
            </w:r>
          </w:p>
        </w:tc>
        <w:tc>
          <w:tcPr>
            <w:tcW w:w="2864" w:type="dxa"/>
            <w:tcBorders>
              <w:top w:val="nil"/>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15.15</w:t>
            </w:r>
          </w:p>
        </w:tc>
        <w:tc>
          <w:tcPr>
            <w:tcW w:w="2405" w:type="dxa"/>
            <w:tcBorders>
              <w:top w:val="nil"/>
            </w:tcBorders>
            <w:shd w:val="clear" w:color="auto" w:fill="auto"/>
            <w:noWrap/>
            <w:vAlign w:val="bottom"/>
            <w:hideMark/>
          </w:tcPr>
          <w:p w:rsidR="00601016" w:rsidRPr="00A31903" w:rsidRDefault="00F4486C"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0.82</w:t>
            </w:r>
          </w:p>
        </w:tc>
      </w:tr>
      <w:tr w:rsidR="00601016" w:rsidRPr="00A31903" w:rsidTr="00F251D5">
        <w:trPr>
          <w:trHeight w:val="315"/>
        </w:trPr>
        <w:tc>
          <w:tcPr>
            <w:tcW w:w="161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1973</w:t>
            </w:r>
          </w:p>
        </w:tc>
        <w:tc>
          <w:tcPr>
            <w:tcW w:w="2492"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14.45</w:t>
            </w:r>
          </w:p>
        </w:tc>
        <w:tc>
          <w:tcPr>
            <w:tcW w:w="2864" w:type="dxa"/>
            <w:tcBorders>
              <w:top w:val="nil"/>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17.21</w:t>
            </w:r>
          </w:p>
        </w:tc>
        <w:tc>
          <w:tcPr>
            <w:tcW w:w="2405" w:type="dxa"/>
            <w:tcBorders>
              <w:top w:val="nil"/>
            </w:tcBorders>
            <w:shd w:val="clear" w:color="auto" w:fill="auto"/>
            <w:noWrap/>
            <w:vAlign w:val="bottom"/>
            <w:hideMark/>
          </w:tcPr>
          <w:p w:rsidR="00601016" w:rsidRPr="00A31903" w:rsidRDefault="00F4486C"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0.84</w:t>
            </w:r>
          </w:p>
        </w:tc>
      </w:tr>
      <w:tr w:rsidR="00601016" w:rsidRPr="00A31903" w:rsidTr="00F251D5">
        <w:trPr>
          <w:trHeight w:val="315"/>
        </w:trPr>
        <w:tc>
          <w:tcPr>
            <w:tcW w:w="161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1974</w:t>
            </w:r>
          </w:p>
        </w:tc>
        <w:tc>
          <w:tcPr>
            <w:tcW w:w="2492"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15.64</w:t>
            </w:r>
          </w:p>
        </w:tc>
        <w:tc>
          <w:tcPr>
            <w:tcW w:w="2864" w:type="dxa"/>
            <w:tcBorders>
              <w:top w:val="nil"/>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16.39</w:t>
            </w:r>
          </w:p>
        </w:tc>
        <w:tc>
          <w:tcPr>
            <w:tcW w:w="2405" w:type="dxa"/>
            <w:tcBorders>
              <w:top w:val="nil"/>
            </w:tcBorders>
            <w:shd w:val="clear" w:color="auto" w:fill="auto"/>
            <w:noWrap/>
            <w:vAlign w:val="bottom"/>
            <w:hideMark/>
          </w:tcPr>
          <w:p w:rsidR="00601016" w:rsidRPr="00A31903" w:rsidRDefault="00F4486C"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0.95</w:t>
            </w:r>
          </w:p>
        </w:tc>
      </w:tr>
      <w:tr w:rsidR="00601016" w:rsidRPr="00A31903" w:rsidTr="00F251D5">
        <w:trPr>
          <w:trHeight w:val="315"/>
        </w:trPr>
        <w:tc>
          <w:tcPr>
            <w:tcW w:w="161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1975</w:t>
            </w:r>
          </w:p>
        </w:tc>
        <w:tc>
          <w:tcPr>
            <w:tcW w:w="2492"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13.21</w:t>
            </w:r>
          </w:p>
        </w:tc>
        <w:tc>
          <w:tcPr>
            <w:tcW w:w="2864" w:type="dxa"/>
            <w:tcBorders>
              <w:top w:val="nil"/>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6.02</w:t>
            </w:r>
          </w:p>
        </w:tc>
        <w:tc>
          <w:tcPr>
            <w:tcW w:w="2405" w:type="dxa"/>
            <w:tcBorders>
              <w:top w:val="nil"/>
            </w:tcBorders>
            <w:shd w:val="clear" w:color="auto" w:fill="auto"/>
            <w:noWrap/>
            <w:vAlign w:val="bottom"/>
            <w:hideMark/>
          </w:tcPr>
          <w:p w:rsidR="00601016" w:rsidRPr="00A31903" w:rsidRDefault="00F4486C"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2.20</w:t>
            </w:r>
          </w:p>
        </w:tc>
      </w:tr>
      <w:tr w:rsidR="00601016" w:rsidRPr="00A31903" w:rsidTr="00F251D5">
        <w:trPr>
          <w:trHeight w:val="315"/>
        </w:trPr>
        <w:tc>
          <w:tcPr>
            <w:tcW w:w="161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1976</w:t>
            </w:r>
          </w:p>
        </w:tc>
        <w:tc>
          <w:tcPr>
            <w:tcW w:w="2492"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14.62</w:t>
            </w:r>
          </w:p>
        </w:tc>
        <w:tc>
          <w:tcPr>
            <w:tcW w:w="2864" w:type="dxa"/>
            <w:tcBorders>
              <w:top w:val="nil"/>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7.31</w:t>
            </w:r>
          </w:p>
        </w:tc>
        <w:tc>
          <w:tcPr>
            <w:tcW w:w="2405" w:type="dxa"/>
            <w:tcBorders>
              <w:top w:val="nil"/>
            </w:tcBorders>
            <w:shd w:val="clear" w:color="auto" w:fill="auto"/>
            <w:noWrap/>
            <w:vAlign w:val="bottom"/>
            <w:hideMark/>
          </w:tcPr>
          <w:p w:rsidR="00601016" w:rsidRPr="00A31903" w:rsidRDefault="00F4486C"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2.00</w:t>
            </w:r>
          </w:p>
        </w:tc>
      </w:tr>
      <w:tr w:rsidR="00601016" w:rsidRPr="00A31903" w:rsidTr="00F251D5">
        <w:trPr>
          <w:trHeight w:val="315"/>
        </w:trPr>
        <w:tc>
          <w:tcPr>
            <w:tcW w:w="161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1977</w:t>
            </w:r>
          </w:p>
        </w:tc>
        <w:tc>
          <w:tcPr>
            <w:tcW w:w="2492"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15.52</w:t>
            </w:r>
          </w:p>
        </w:tc>
        <w:tc>
          <w:tcPr>
            <w:tcW w:w="2864" w:type="dxa"/>
            <w:tcBorders>
              <w:top w:val="nil"/>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6.31</w:t>
            </w:r>
          </w:p>
        </w:tc>
        <w:tc>
          <w:tcPr>
            <w:tcW w:w="2405" w:type="dxa"/>
            <w:tcBorders>
              <w:top w:val="nil"/>
            </w:tcBorders>
            <w:shd w:val="clear" w:color="auto" w:fill="auto"/>
            <w:noWrap/>
            <w:vAlign w:val="bottom"/>
            <w:hideMark/>
          </w:tcPr>
          <w:p w:rsidR="00601016" w:rsidRPr="00A31903" w:rsidRDefault="00F4486C"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2.46</w:t>
            </w:r>
          </w:p>
        </w:tc>
      </w:tr>
      <w:tr w:rsidR="00601016" w:rsidRPr="00A31903" w:rsidTr="00F251D5">
        <w:trPr>
          <w:trHeight w:val="315"/>
        </w:trPr>
        <w:tc>
          <w:tcPr>
            <w:tcW w:w="161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1978</w:t>
            </w:r>
          </w:p>
        </w:tc>
        <w:tc>
          <w:tcPr>
            <w:tcW w:w="2492"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5.21</w:t>
            </w:r>
          </w:p>
        </w:tc>
        <w:tc>
          <w:tcPr>
            <w:tcW w:w="2864" w:type="dxa"/>
            <w:tcBorders>
              <w:top w:val="nil"/>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7.85</w:t>
            </w:r>
          </w:p>
        </w:tc>
        <w:tc>
          <w:tcPr>
            <w:tcW w:w="2405" w:type="dxa"/>
            <w:tcBorders>
              <w:top w:val="nil"/>
            </w:tcBorders>
            <w:shd w:val="clear" w:color="auto" w:fill="auto"/>
            <w:noWrap/>
            <w:vAlign w:val="bottom"/>
            <w:hideMark/>
          </w:tcPr>
          <w:p w:rsidR="00601016" w:rsidRPr="00A31903" w:rsidRDefault="00F4486C"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0.66</w:t>
            </w:r>
          </w:p>
        </w:tc>
      </w:tr>
      <w:tr w:rsidR="00601016" w:rsidRPr="00A31903" w:rsidTr="00F251D5">
        <w:trPr>
          <w:trHeight w:val="315"/>
        </w:trPr>
        <w:tc>
          <w:tcPr>
            <w:tcW w:w="161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1979</w:t>
            </w:r>
          </w:p>
        </w:tc>
        <w:tc>
          <w:tcPr>
            <w:tcW w:w="2492"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5.1</w:t>
            </w:r>
          </w:p>
        </w:tc>
        <w:tc>
          <w:tcPr>
            <w:tcW w:w="2864" w:type="dxa"/>
            <w:tcBorders>
              <w:top w:val="nil"/>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5.81</w:t>
            </w:r>
          </w:p>
        </w:tc>
        <w:tc>
          <w:tcPr>
            <w:tcW w:w="2405" w:type="dxa"/>
            <w:tcBorders>
              <w:top w:val="nil"/>
            </w:tcBorders>
            <w:shd w:val="clear" w:color="auto" w:fill="auto"/>
            <w:noWrap/>
            <w:vAlign w:val="bottom"/>
            <w:hideMark/>
          </w:tcPr>
          <w:p w:rsidR="00601016" w:rsidRPr="00A31903" w:rsidRDefault="00F4486C"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0.88</w:t>
            </w:r>
          </w:p>
        </w:tc>
      </w:tr>
      <w:tr w:rsidR="00601016" w:rsidRPr="00A31903" w:rsidTr="00F251D5">
        <w:trPr>
          <w:trHeight w:val="315"/>
        </w:trPr>
        <w:tc>
          <w:tcPr>
            <w:tcW w:w="161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1980</w:t>
            </w:r>
          </w:p>
        </w:tc>
        <w:tc>
          <w:tcPr>
            <w:tcW w:w="2492"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5.44</w:t>
            </w:r>
          </w:p>
        </w:tc>
        <w:tc>
          <w:tcPr>
            <w:tcW w:w="2864" w:type="dxa"/>
            <w:tcBorders>
              <w:top w:val="nil"/>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10.71</w:t>
            </w:r>
          </w:p>
        </w:tc>
        <w:tc>
          <w:tcPr>
            <w:tcW w:w="2405" w:type="dxa"/>
            <w:tcBorders>
              <w:top w:val="nil"/>
            </w:tcBorders>
            <w:shd w:val="clear" w:color="auto" w:fill="auto"/>
            <w:noWrap/>
            <w:vAlign w:val="bottom"/>
            <w:hideMark/>
          </w:tcPr>
          <w:p w:rsidR="00601016" w:rsidRPr="00A31903" w:rsidRDefault="00F4486C"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0.51</w:t>
            </w:r>
          </w:p>
        </w:tc>
      </w:tr>
      <w:tr w:rsidR="00601016" w:rsidRPr="00A31903" w:rsidTr="00F251D5">
        <w:trPr>
          <w:trHeight w:val="315"/>
        </w:trPr>
        <w:tc>
          <w:tcPr>
            <w:tcW w:w="161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1981</w:t>
            </w:r>
          </w:p>
        </w:tc>
        <w:tc>
          <w:tcPr>
            <w:tcW w:w="2492"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4.38</w:t>
            </w:r>
          </w:p>
        </w:tc>
        <w:tc>
          <w:tcPr>
            <w:tcW w:w="2864" w:type="dxa"/>
            <w:tcBorders>
              <w:top w:val="nil"/>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13.46</w:t>
            </w:r>
          </w:p>
        </w:tc>
        <w:tc>
          <w:tcPr>
            <w:tcW w:w="2405" w:type="dxa"/>
            <w:tcBorders>
              <w:top w:val="nil"/>
            </w:tcBorders>
            <w:shd w:val="clear" w:color="auto" w:fill="auto"/>
            <w:noWrap/>
            <w:vAlign w:val="bottom"/>
            <w:hideMark/>
          </w:tcPr>
          <w:p w:rsidR="00601016" w:rsidRPr="00A31903" w:rsidRDefault="00F4486C"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0.33</w:t>
            </w:r>
          </w:p>
        </w:tc>
      </w:tr>
      <w:tr w:rsidR="00601016" w:rsidRPr="00A31903" w:rsidTr="00F251D5">
        <w:trPr>
          <w:trHeight w:val="315"/>
        </w:trPr>
        <w:tc>
          <w:tcPr>
            <w:tcW w:w="161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1982</w:t>
            </w:r>
          </w:p>
        </w:tc>
        <w:tc>
          <w:tcPr>
            <w:tcW w:w="2492"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4.02</w:t>
            </w:r>
          </w:p>
        </w:tc>
        <w:tc>
          <w:tcPr>
            <w:tcW w:w="2864" w:type="dxa"/>
            <w:tcBorders>
              <w:top w:val="nil"/>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14.22</w:t>
            </w:r>
          </w:p>
        </w:tc>
        <w:tc>
          <w:tcPr>
            <w:tcW w:w="2405" w:type="dxa"/>
            <w:tcBorders>
              <w:top w:val="nil"/>
            </w:tcBorders>
            <w:shd w:val="clear" w:color="auto" w:fill="auto"/>
            <w:noWrap/>
            <w:vAlign w:val="bottom"/>
            <w:hideMark/>
          </w:tcPr>
          <w:p w:rsidR="00601016" w:rsidRPr="00A31903" w:rsidRDefault="00BB2137"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w:t>
            </w:r>
            <w:r w:rsidR="00F4486C" w:rsidRPr="00A31903">
              <w:rPr>
                <w:rFonts w:ascii="Times New Roman" w:eastAsia="Times New Roman" w:hAnsi="Times New Roman" w:cs="Times New Roman"/>
                <w:color w:val="000000"/>
              </w:rPr>
              <w:t>28</w:t>
            </w:r>
          </w:p>
        </w:tc>
      </w:tr>
      <w:tr w:rsidR="00601016" w:rsidRPr="00A31903" w:rsidTr="00F251D5">
        <w:trPr>
          <w:trHeight w:val="315"/>
        </w:trPr>
        <w:tc>
          <w:tcPr>
            <w:tcW w:w="161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1983</w:t>
            </w:r>
          </w:p>
        </w:tc>
        <w:tc>
          <w:tcPr>
            <w:tcW w:w="2492"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4.46</w:t>
            </w:r>
          </w:p>
        </w:tc>
        <w:tc>
          <w:tcPr>
            <w:tcW w:w="2864" w:type="dxa"/>
            <w:tcBorders>
              <w:top w:val="nil"/>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21.95</w:t>
            </w:r>
          </w:p>
        </w:tc>
        <w:tc>
          <w:tcPr>
            <w:tcW w:w="2405" w:type="dxa"/>
            <w:tcBorders>
              <w:top w:val="nil"/>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0.20</w:t>
            </w:r>
          </w:p>
        </w:tc>
      </w:tr>
      <w:tr w:rsidR="00601016" w:rsidRPr="00A31903" w:rsidTr="00F251D5">
        <w:trPr>
          <w:trHeight w:val="315"/>
        </w:trPr>
        <w:tc>
          <w:tcPr>
            <w:tcW w:w="161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1984</w:t>
            </w:r>
          </w:p>
        </w:tc>
        <w:tc>
          <w:tcPr>
            <w:tcW w:w="2492"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6.63</w:t>
            </w:r>
          </w:p>
        </w:tc>
        <w:tc>
          <w:tcPr>
            <w:tcW w:w="2864" w:type="dxa"/>
            <w:tcBorders>
              <w:top w:val="nil"/>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23.70</w:t>
            </w:r>
          </w:p>
        </w:tc>
        <w:tc>
          <w:tcPr>
            <w:tcW w:w="2405" w:type="dxa"/>
            <w:tcBorders>
              <w:top w:val="nil"/>
            </w:tcBorders>
            <w:shd w:val="clear" w:color="auto" w:fill="auto"/>
            <w:noWrap/>
            <w:vAlign w:val="bottom"/>
            <w:hideMark/>
          </w:tcPr>
          <w:p w:rsidR="00601016" w:rsidRPr="00A31903" w:rsidRDefault="00F4486C"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0.26</w:t>
            </w:r>
          </w:p>
        </w:tc>
      </w:tr>
      <w:tr w:rsidR="00601016" w:rsidRPr="00A31903" w:rsidTr="00F251D5">
        <w:trPr>
          <w:trHeight w:val="315"/>
        </w:trPr>
        <w:tc>
          <w:tcPr>
            <w:tcW w:w="1614" w:type="dxa"/>
            <w:tcBorders>
              <w:top w:val="nil"/>
              <w:bottom w:val="single" w:sz="4" w:space="0" w:color="auto"/>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lastRenderedPageBreak/>
              <w:t>Average</w:t>
            </w:r>
          </w:p>
        </w:tc>
        <w:tc>
          <w:tcPr>
            <w:tcW w:w="2492" w:type="dxa"/>
            <w:tcBorders>
              <w:top w:val="nil"/>
              <w:bottom w:val="single" w:sz="4" w:space="0" w:color="auto"/>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10.37</w:t>
            </w:r>
          </w:p>
        </w:tc>
        <w:tc>
          <w:tcPr>
            <w:tcW w:w="2864" w:type="dxa"/>
            <w:tcBorders>
              <w:top w:val="nil"/>
              <w:bottom w:val="single" w:sz="4" w:space="0" w:color="auto"/>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13.64</w:t>
            </w:r>
          </w:p>
        </w:tc>
        <w:tc>
          <w:tcPr>
            <w:tcW w:w="2405" w:type="dxa"/>
            <w:tcBorders>
              <w:top w:val="nil"/>
              <w:bottom w:val="single" w:sz="4" w:space="0" w:color="auto"/>
            </w:tcBorders>
            <w:shd w:val="clear" w:color="auto" w:fill="auto"/>
            <w:noWrap/>
            <w:vAlign w:val="bottom"/>
            <w:hideMark/>
          </w:tcPr>
          <w:p w:rsidR="00601016" w:rsidRPr="00A31903" w:rsidRDefault="008510B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0.95</w:t>
            </w:r>
          </w:p>
        </w:tc>
      </w:tr>
    </w:tbl>
    <w:p w:rsidR="00EC7C04" w:rsidRPr="00A31903" w:rsidRDefault="008F7744" w:rsidP="00C722F0">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b/>
        </w:rPr>
        <w:t>Source:</w:t>
      </w:r>
      <w:r w:rsidRPr="00A31903">
        <w:rPr>
          <w:rFonts w:ascii="Times New Roman" w:hAnsi="Times New Roman" w:cs="Times New Roman"/>
        </w:rPr>
        <w:t xml:space="preserve"> Authors’ computations</w:t>
      </w:r>
    </w:p>
    <w:p w:rsidR="008F7744" w:rsidRPr="00A31903" w:rsidRDefault="008F7744" w:rsidP="00C722F0">
      <w:pPr>
        <w:autoSpaceDE w:val="0"/>
        <w:autoSpaceDN w:val="0"/>
        <w:adjustRightInd w:val="0"/>
        <w:spacing w:after="0" w:line="240" w:lineRule="auto"/>
        <w:jc w:val="both"/>
        <w:rPr>
          <w:rFonts w:ascii="Times New Roman" w:hAnsi="Times New Roman" w:cs="Times New Roman"/>
          <w:color w:val="FF0000"/>
        </w:rPr>
      </w:pPr>
    </w:p>
    <w:p w:rsidR="002866A8" w:rsidRDefault="00DA0C4B" w:rsidP="00A31903">
      <w:pPr>
        <w:pStyle w:val="Heading3"/>
        <w:shd w:val="clear" w:color="auto" w:fill="FFFFFF"/>
        <w:spacing w:before="0" w:line="240" w:lineRule="auto"/>
        <w:jc w:val="both"/>
        <w:rPr>
          <w:rFonts w:ascii="Times New Roman" w:hAnsi="Times New Roman" w:cs="Times New Roman"/>
        </w:rPr>
      </w:pPr>
      <w:r w:rsidRPr="00A31903">
        <w:rPr>
          <w:rFonts w:ascii="Times New Roman" w:hAnsi="Times New Roman" w:cs="Times New Roman"/>
        </w:rPr>
        <w:t xml:space="preserve">    </w:t>
      </w:r>
      <w:r w:rsidR="00B03E0A" w:rsidRPr="00A31903">
        <w:rPr>
          <w:rFonts w:ascii="Times New Roman" w:hAnsi="Times New Roman" w:cs="Times New Roman"/>
          <w:b w:val="0"/>
          <w:color w:val="auto"/>
        </w:rPr>
        <w:t>Table VI</w:t>
      </w:r>
      <w:r w:rsidR="00AE76F2" w:rsidRPr="00A31903">
        <w:rPr>
          <w:rFonts w:ascii="Times New Roman" w:hAnsi="Times New Roman" w:cs="Times New Roman"/>
          <w:b w:val="0"/>
          <w:color w:val="auto"/>
        </w:rPr>
        <w:t xml:space="preserve"> </w:t>
      </w:r>
      <w:r w:rsidRPr="00A31903">
        <w:rPr>
          <w:rFonts w:ascii="Times New Roman" w:hAnsi="Times New Roman" w:cs="Times New Roman"/>
          <w:b w:val="0"/>
          <w:color w:val="auto"/>
        </w:rPr>
        <w:t xml:space="preserve">shows that </w:t>
      </w:r>
      <w:r w:rsidR="002B1243" w:rsidRPr="00A31903">
        <w:rPr>
          <w:rFonts w:ascii="Times New Roman" w:hAnsi="Times New Roman" w:cs="Times New Roman"/>
          <w:b w:val="0"/>
          <w:color w:val="auto"/>
        </w:rPr>
        <w:t>from 1975 to 1977</w:t>
      </w:r>
      <w:r w:rsidR="00AE76F2" w:rsidRPr="00A31903">
        <w:rPr>
          <w:rFonts w:ascii="Times New Roman" w:hAnsi="Times New Roman" w:cs="Times New Roman"/>
          <w:b w:val="0"/>
          <w:color w:val="auto"/>
        </w:rPr>
        <w:t>,</w:t>
      </w:r>
      <w:r w:rsidR="002B1243" w:rsidRPr="00A31903">
        <w:rPr>
          <w:rFonts w:ascii="Times New Roman" w:hAnsi="Times New Roman" w:cs="Times New Roman"/>
          <w:b w:val="0"/>
          <w:color w:val="auto"/>
        </w:rPr>
        <w:t xml:space="preserve"> Ghana recorded high tax efforts in tax revenue generation. However, the four years preceding the tax reform perio</w:t>
      </w:r>
      <w:r w:rsidR="00B3612A" w:rsidRPr="00A31903">
        <w:rPr>
          <w:rFonts w:ascii="Times New Roman" w:hAnsi="Times New Roman" w:cs="Times New Roman"/>
          <w:b w:val="0"/>
          <w:color w:val="auto"/>
        </w:rPr>
        <w:t>d (1981 to 1984) recorded</w:t>
      </w:r>
      <w:r w:rsidR="00BE699F" w:rsidRPr="00A31903">
        <w:rPr>
          <w:rFonts w:ascii="Times New Roman" w:hAnsi="Times New Roman" w:cs="Times New Roman"/>
          <w:b w:val="0"/>
          <w:color w:val="auto"/>
        </w:rPr>
        <w:t xml:space="preserve"> low</w:t>
      </w:r>
      <w:r w:rsidR="002B1243" w:rsidRPr="00A31903">
        <w:rPr>
          <w:rFonts w:ascii="Times New Roman" w:hAnsi="Times New Roman" w:cs="Times New Roman"/>
          <w:b w:val="0"/>
          <w:color w:val="auto"/>
        </w:rPr>
        <w:t xml:space="preserve"> tax efforts. </w:t>
      </w:r>
      <w:r w:rsidR="00727A04" w:rsidRPr="00A31903">
        <w:rPr>
          <w:rFonts w:ascii="Times New Roman" w:hAnsi="Times New Roman" w:cs="Times New Roman"/>
          <w:b w:val="0"/>
          <w:color w:val="auto"/>
        </w:rPr>
        <w:t xml:space="preserve"> </w:t>
      </w:r>
      <w:r w:rsidR="002B1243" w:rsidRPr="00A31903">
        <w:rPr>
          <w:rFonts w:ascii="Times New Roman" w:hAnsi="Times New Roman" w:cs="Times New Roman"/>
          <w:b w:val="0"/>
          <w:color w:val="auto"/>
        </w:rPr>
        <w:t xml:space="preserve">This </w:t>
      </w:r>
      <w:proofErr w:type="gramStart"/>
      <w:r w:rsidR="002B1243" w:rsidRPr="00A31903">
        <w:rPr>
          <w:rFonts w:ascii="Times New Roman" w:hAnsi="Times New Roman" w:cs="Times New Roman"/>
          <w:b w:val="0"/>
          <w:color w:val="auto"/>
        </w:rPr>
        <w:t>could be attributed</w:t>
      </w:r>
      <w:proofErr w:type="gramEnd"/>
      <w:r w:rsidR="002B1243" w:rsidRPr="00A31903">
        <w:rPr>
          <w:rFonts w:ascii="Times New Roman" w:hAnsi="Times New Roman" w:cs="Times New Roman"/>
          <w:b w:val="0"/>
          <w:color w:val="auto"/>
        </w:rPr>
        <w:t xml:space="preserve"> to the harsh economic </w:t>
      </w:r>
      <w:r w:rsidR="002577F3" w:rsidRPr="00A31903">
        <w:rPr>
          <w:rFonts w:ascii="Times New Roman" w:hAnsi="Times New Roman" w:cs="Times New Roman"/>
          <w:b w:val="0"/>
          <w:color w:val="auto"/>
        </w:rPr>
        <w:t>conditions</w:t>
      </w:r>
      <w:r w:rsidR="002B1243" w:rsidRPr="00A31903">
        <w:rPr>
          <w:rFonts w:ascii="Times New Roman" w:hAnsi="Times New Roman" w:cs="Times New Roman"/>
          <w:b w:val="0"/>
          <w:color w:val="auto"/>
        </w:rPr>
        <w:t xml:space="preserve"> </w:t>
      </w:r>
      <w:r w:rsidR="00896074" w:rsidRPr="00A31903">
        <w:rPr>
          <w:rFonts w:ascii="Times New Roman" w:hAnsi="Times New Roman" w:cs="Times New Roman"/>
          <w:b w:val="0"/>
          <w:color w:val="auto"/>
        </w:rPr>
        <w:t>from</w:t>
      </w:r>
      <w:r w:rsidR="002577F3" w:rsidRPr="00A31903">
        <w:rPr>
          <w:rFonts w:ascii="Times New Roman" w:hAnsi="Times New Roman" w:cs="Times New Roman"/>
          <w:b w:val="0"/>
          <w:color w:val="auto"/>
        </w:rPr>
        <w:t xml:space="preserve"> 1980 to 1983 </w:t>
      </w:r>
      <w:r w:rsidR="00E42E6B" w:rsidRPr="00A31903">
        <w:rPr>
          <w:rFonts w:ascii="Times New Roman" w:hAnsi="Times New Roman" w:cs="Times New Roman"/>
          <w:b w:val="0"/>
          <w:color w:val="auto"/>
        </w:rPr>
        <w:t xml:space="preserve">coupled with </w:t>
      </w:r>
      <w:r w:rsidR="00B81B2C" w:rsidRPr="00A31903">
        <w:rPr>
          <w:rFonts w:ascii="Times New Roman" w:hAnsi="Times New Roman" w:cs="Times New Roman"/>
          <w:b w:val="0"/>
          <w:color w:val="auto"/>
        </w:rPr>
        <w:t xml:space="preserve">the </w:t>
      </w:r>
      <w:r w:rsidR="004F67D2" w:rsidRPr="00A31903">
        <w:rPr>
          <w:rFonts w:ascii="Times New Roman" w:hAnsi="Times New Roman" w:cs="Times New Roman"/>
          <w:b w:val="0"/>
          <w:color w:val="auto"/>
        </w:rPr>
        <w:t>political instability</w:t>
      </w:r>
      <w:r w:rsidR="00E42E6B" w:rsidRPr="00A31903">
        <w:rPr>
          <w:rFonts w:ascii="Times New Roman" w:hAnsi="Times New Roman" w:cs="Times New Roman"/>
          <w:b w:val="0"/>
          <w:bCs w:val="0"/>
          <w:color w:val="auto"/>
        </w:rPr>
        <w:t xml:space="preserve"> </w:t>
      </w:r>
      <w:r w:rsidR="002B1243" w:rsidRPr="00A31903">
        <w:rPr>
          <w:rFonts w:ascii="Times New Roman" w:hAnsi="Times New Roman" w:cs="Times New Roman"/>
          <w:b w:val="0"/>
          <w:color w:val="auto"/>
        </w:rPr>
        <w:t>of 1981</w:t>
      </w:r>
      <w:r w:rsidR="004F67D2" w:rsidRPr="00A31903">
        <w:rPr>
          <w:rFonts w:ascii="Times New Roman" w:hAnsi="Times New Roman" w:cs="Times New Roman"/>
          <w:b w:val="0"/>
          <w:color w:val="auto"/>
        </w:rPr>
        <w:t>.</w:t>
      </w:r>
      <w:r w:rsidR="002B1243" w:rsidRPr="00A31903">
        <w:rPr>
          <w:rFonts w:ascii="Times New Roman" w:hAnsi="Times New Roman" w:cs="Times New Roman"/>
          <w:b w:val="0"/>
          <w:color w:val="auto"/>
        </w:rPr>
        <w:t xml:space="preserve"> </w:t>
      </w:r>
      <w:r w:rsidR="00105638" w:rsidRPr="00A31903">
        <w:rPr>
          <w:rFonts w:ascii="Times New Roman" w:hAnsi="Times New Roman" w:cs="Times New Roman"/>
        </w:rPr>
        <w:t xml:space="preserve">  </w:t>
      </w:r>
    </w:p>
    <w:p w:rsidR="00A67249" w:rsidRDefault="00A67249" w:rsidP="00A67249">
      <w:pPr>
        <w:rPr>
          <w:lang w:val="en-GB"/>
        </w:rPr>
      </w:pPr>
    </w:p>
    <w:p w:rsidR="00A67249" w:rsidRDefault="00A67249" w:rsidP="00A67249">
      <w:pPr>
        <w:rPr>
          <w:lang w:val="en-GB"/>
        </w:rPr>
      </w:pPr>
    </w:p>
    <w:p w:rsidR="00A67249" w:rsidRPr="00A67249" w:rsidRDefault="00A67249" w:rsidP="00A67249">
      <w:pPr>
        <w:rPr>
          <w:lang w:val="en-GB"/>
        </w:rPr>
      </w:pPr>
    </w:p>
    <w:p w:rsidR="00D535D3" w:rsidRPr="00A31903" w:rsidRDefault="00D535D3" w:rsidP="00235037">
      <w:pPr>
        <w:autoSpaceDE w:val="0"/>
        <w:autoSpaceDN w:val="0"/>
        <w:adjustRightInd w:val="0"/>
        <w:spacing w:after="0" w:line="240" w:lineRule="auto"/>
        <w:jc w:val="both"/>
        <w:rPr>
          <w:rFonts w:ascii="Times New Roman" w:hAnsi="Times New Roman" w:cs="Times New Roman"/>
          <w:lang w:val="en-GB"/>
        </w:rPr>
      </w:pPr>
    </w:p>
    <w:p w:rsidR="00601016" w:rsidRPr="00A31903" w:rsidRDefault="00CF5C29" w:rsidP="00601016">
      <w:pPr>
        <w:autoSpaceDE w:val="0"/>
        <w:autoSpaceDN w:val="0"/>
        <w:adjustRightInd w:val="0"/>
        <w:spacing w:after="0" w:line="240" w:lineRule="auto"/>
        <w:jc w:val="both"/>
        <w:rPr>
          <w:rFonts w:ascii="Times New Roman" w:hAnsi="Times New Roman" w:cs="Times New Roman"/>
          <w:b/>
        </w:rPr>
      </w:pPr>
      <w:r w:rsidRPr="00A31903">
        <w:rPr>
          <w:rFonts w:ascii="Times New Roman" w:hAnsi="Times New Roman" w:cs="Times New Roman"/>
          <w:b/>
        </w:rPr>
        <w:t>Table</w:t>
      </w:r>
      <w:r w:rsidR="008B6065" w:rsidRPr="00A31903">
        <w:rPr>
          <w:rFonts w:ascii="Times New Roman" w:hAnsi="Times New Roman" w:cs="Times New Roman"/>
          <w:b/>
        </w:rPr>
        <w:t xml:space="preserve"> V</w:t>
      </w:r>
      <w:r w:rsidR="00B03E0A" w:rsidRPr="00A31903">
        <w:rPr>
          <w:rFonts w:ascii="Times New Roman" w:hAnsi="Times New Roman" w:cs="Times New Roman"/>
          <w:b/>
        </w:rPr>
        <w:t>II</w:t>
      </w:r>
      <w:r w:rsidR="00B34FD0" w:rsidRPr="00A31903">
        <w:rPr>
          <w:rFonts w:ascii="Times New Roman" w:hAnsi="Times New Roman" w:cs="Times New Roman"/>
          <w:b/>
        </w:rPr>
        <w:t>: Post-tax reform analysis: Taxable capacity, tax effort and tax b</w:t>
      </w:r>
      <w:r w:rsidRPr="00A31903">
        <w:rPr>
          <w:rFonts w:ascii="Times New Roman" w:hAnsi="Times New Roman" w:cs="Times New Roman"/>
          <w:b/>
        </w:rPr>
        <w:t>urden</w:t>
      </w:r>
    </w:p>
    <w:p w:rsidR="00601016" w:rsidRPr="00A31903" w:rsidRDefault="00601016" w:rsidP="00601016">
      <w:pPr>
        <w:autoSpaceDE w:val="0"/>
        <w:autoSpaceDN w:val="0"/>
        <w:adjustRightInd w:val="0"/>
        <w:spacing w:after="0" w:line="240" w:lineRule="auto"/>
        <w:jc w:val="both"/>
        <w:rPr>
          <w:rFonts w:ascii="Times New Roman" w:hAnsi="Times New Roman" w:cs="Times New Roman"/>
          <w:b/>
        </w:rPr>
      </w:pPr>
    </w:p>
    <w:tbl>
      <w:tblPr>
        <w:tblW w:w="9255" w:type="dxa"/>
        <w:tblInd w:w="103" w:type="dxa"/>
        <w:tblLook w:val="04A0" w:firstRow="1" w:lastRow="0" w:firstColumn="1" w:lastColumn="0" w:noHBand="0" w:noVBand="1"/>
      </w:tblPr>
      <w:tblGrid>
        <w:gridCol w:w="1594"/>
        <w:gridCol w:w="2460"/>
        <w:gridCol w:w="2827"/>
        <w:gridCol w:w="2374"/>
      </w:tblGrid>
      <w:tr w:rsidR="00601016" w:rsidRPr="00A31903" w:rsidTr="00FC33A5">
        <w:trPr>
          <w:trHeight w:val="652"/>
        </w:trPr>
        <w:tc>
          <w:tcPr>
            <w:tcW w:w="9255" w:type="dxa"/>
            <w:gridSpan w:val="4"/>
            <w:tcBorders>
              <w:top w:val="single" w:sz="4" w:space="0" w:color="auto"/>
            </w:tcBorders>
            <w:shd w:val="clear" w:color="auto" w:fill="auto"/>
            <w:noWrap/>
            <w:vAlign w:val="bottom"/>
            <w:hideMark/>
          </w:tcPr>
          <w:p w:rsidR="00601016" w:rsidRPr="00A31903" w:rsidRDefault="00601016" w:rsidP="00F251D5">
            <w:pPr>
              <w:spacing w:after="0" w:line="240" w:lineRule="auto"/>
              <w:rPr>
                <w:rFonts w:ascii="Times New Roman" w:eastAsia="Times New Roman" w:hAnsi="Times New Roman" w:cs="Times New Roman"/>
                <w:color w:val="000000"/>
              </w:rPr>
            </w:pPr>
            <w:r w:rsidRPr="00A31903">
              <w:rPr>
                <w:rFonts w:ascii="Times New Roman" w:eastAsia="Times New Roman" w:hAnsi="Times New Roman" w:cs="Times New Roman"/>
                <w:color w:val="000000"/>
              </w:rPr>
              <w:t xml:space="preserve">Analysis of </w:t>
            </w:r>
            <w:r w:rsidR="009871DC" w:rsidRPr="00A31903">
              <w:rPr>
                <w:rFonts w:ascii="Times New Roman" w:hAnsi="Times New Roman" w:cs="Times New Roman"/>
              </w:rPr>
              <w:t>taxable capacity, tax effort and tax b</w:t>
            </w:r>
            <w:r w:rsidRPr="00A31903">
              <w:rPr>
                <w:rFonts w:ascii="Times New Roman" w:hAnsi="Times New Roman" w:cs="Times New Roman"/>
              </w:rPr>
              <w:t>urden</w:t>
            </w:r>
          </w:p>
        </w:tc>
      </w:tr>
      <w:tr w:rsidR="00601016" w:rsidRPr="00A31903" w:rsidTr="00FC33A5">
        <w:trPr>
          <w:trHeight w:val="309"/>
        </w:trPr>
        <w:tc>
          <w:tcPr>
            <w:tcW w:w="6881" w:type="dxa"/>
            <w:gridSpan w:val="3"/>
            <w:shd w:val="clear" w:color="auto" w:fill="auto"/>
            <w:noWrap/>
            <w:vAlign w:val="bottom"/>
            <w:hideMark/>
          </w:tcPr>
          <w:p w:rsidR="00601016" w:rsidRPr="00A31903" w:rsidRDefault="00601016" w:rsidP="00F251D5">
            <w:pPr>
              <w:spacing w:after="0" w:line="240" w:lineRule="auto"/>
              <w:rPr>
                <w:rFonts w:ascii="Times New Roman" w:eastAsia="Times New Roman" w:hAnsi="Times New Roman" w:cs="Times New Roman"/>
                <w:color w:val="000000"/>
              </w:rPr>
            </w:pPr>
            <w:r w:rsidRPr="00A31903">
              <w:rPr>
                <w:rFonts w:ascii="Times New Roman" w:eastAsia="Times New Roman" w:hAnsi="Times New Roman" w:cs="Times New Roman"/>
                <w:color w:val="000000"/>
              </w:rPr>
              <w:t>Po</w:t>
            </w:r>
            <w:r w:rsidR="00C757DE" w:rsidRPr="00A31903">
              <w:rPr>
                <w:rFonts w:ascii="Times New Roman" w:eastAsia="Times New Roman" w:hAnsi="Times New Roman" w:cs="Times New Roman"/>
                <w:color w:val="000000"/>
              </w:rPr>
              <w:t>st-Tax Reform Period (1985- 2015</w:t>
            </w:r>
            <w:r w:rsidRPr="00A31903">
              <w:rPr>
                <w:rFonts w:ascii="Times New Roman" w:eastAsia="Times New Roman" w:hAnsi="Times New Roman" w:cs="Times New Roman"/>
                <w:color w:val="000000"/>
              </w:rPr>
              <w:t>)</w:t>
            </w:r>
          </w:p>
        </w:tc>
        <w:tc>
          <w:tcPr>
            <w:tcW w:w="2374" w:type="dxa"/>
            <w:shd w:val="clear" w:color="auto" w:fill="auto"/>
            <w:noWrap/>
            <w:vAlign w:val="bottom"/>
            <w:hideMark/>
          </w:tcPr>
          <w:p w:rsidR="00601016" w:rsidRPr="00A31903" w:rsidRDefault="00601016" w:rsidP="00F251D5">
            <w:pPr>
              <w:spacing w:after="0" w:line="240" w:lineRule="auto"/>
              <w:rPr>
                <w:rFonts w:ascii="Times New Roman" w:eastAsia="Times New Roman" w:hAnsi="Times New Roman" w:cs="Times New Roman"/>
                <w:color w:val="000000"/>
              </w:rPr>
            </w:pPr>
            <w:r w:rsidRPr="00A31903">
              <w:rPr>
                <w:rFonts w:ascii="Times New Roman" w:eastAsia="Times New Roman" w:hAnsi="Times New Roman" w:cs="Times New Roman"/>
                <w:color w:val="000000"/>
              </w:rPr>
              <w:t> </w:t>
            </w:r>
          </w:p>
        </w:tc>
      </w:tr>
      <w:tr w:rsidR="00601016" w:rsidRPr="00A31903" w:rsidTr="00F251D5">
        <w:trPr>
          <w:trHeight w:val="323"/>
        </w:trPr>
        <w:tc>
          <w:tcPr>
            <w:tcW w:w="1594" w:type="dxa"/>
            <w:tcBorders>
              <w:bottom w:val="single" w:sz="4" w:space="0" w:color="auto"/>
            </w:tcBorders>
            <w:shd w:val="clear" w:color="auto" w:fill="auto"/>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Year</w:t>
            </w:r>
          </w:p>
        </w:tc>
        <w:tc>
          <w:tcPr>
            <w:tcW w:w="2460" w:type="dxa"/>
            <w:tcBorders>
              <w:bottom w:val="single" w:sz="4" w:space="0" w:color="auto"/>
            </w:tcBorders>
            <w:shd w:val="clear" w:color="auto" w:fill="auto"/>
            <w:vAlign w:val="bottom"/>
            <w:hideMark/>
          </w:tcPr>
          <w:p w:rsidR="00601016" w:rsidRPr="00A31903" w:rsidRDefault="00C757DE"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Tax b</w:t>
            </w:r>
            <w:r w:rsidR="00601016" w:rsidRPr="00A31903">
              <w:rPr>
                <w:rFonts w:ascii="Times New Roman" w:eastAsia="Times New Roman" w:hAnsi="Times New Roman" w:cs="Times New Roman"/>
                <w:color w:val="000000"/>
              </w:rPr>
              <w:t>urden</w:t>
            </w:r>
          </w:p>
        </w:tc>
        <w:tc>
          <w:tcPr>
            <w:tcW w:w="2827" w:type="dxa"/>
            <w:tcBorders>
              <w:bottom w:val="single" w:sz="4" w:space="0" w:color="auto"/>
            </w:tcBorders>
            <w:shd w:val="clear" w:color="auto" w:fill="auto"/>
            <w:vAlign w:val="bottom"/>
            <w:hideMark/>
          </w:tcPr>
          <w:p w:rsidR="00601016" w:rsidRPr="00A31903" w:rsidRDefault="00C757DE"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Taxable c</w:t>
            </w:r>
            <w:r w:rsidR="00601016" w:rsidRPr="00A31903">
              <w:rPr>
                <w:rFonts w:ascii="Times New Roman" w:eastAsia="Times New Roman" w:hAnsi="Times New Roman" w:cs="Times New Roman"/>
                <w:color w:val="000000"/>
              </w:rPr>
              <w:t>apacity</w:t>
            </w:r>
          </w:p>
        </w:tc>
        <w:tc>
          <w:tcPr>
            <w:tcW w:w="2374" w:type="dxa"/>
            <w:tcBorders>
              <w:bottom w:val="single" w:sz="4" w:space="0" w:color="auto"/>
            </w:tcBorders>
            <w:shd w:val="clear" w:color="auto" w:fill="auto"/>
            <w:vAlign w:val="bottom"/>
            <w:hideMark/>
          </w:tcPr>
          <w:p w:rsidR="00601016" w:rsidRPr="00A31903" w:rsidRDefault="00C757DE"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Tax e</w:t>
            </w:r>
            <w:r w:rsidR="00601016" w:rsidRPr="00A31903">
              <w:rPr>
                <w:rFonts w:ascii="Times New Roman" w:eastAsia="Times New Roman" w:hAnsi="Times New Roman" w:cs="Times New Roman"/>
                <w:color w:val="000000"/>
              </w:rPr>
              <w:t>ffort</w:t>
            </w:r>
          </w:p>
        </w:tc>
      </w:tr>
      <w:tr w:rsidR="00601016" w:rsidRPr="00A31903" w:rsidTr="00FC33A5">
        <w:trPr>
          <w:trHeight w:val="185"/>
        </w:trPr>
        <w:tc>
          <w:tcPr>
            <w:tcW w:w="1594" w:type="dxa"/>
            <w:tcBorders>
              <w:top w:val="single" w:sz="4" w:space="0" w:color="auto"/>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1985</w:t>
            </w:r>
          </w:p>
        </w:tc>
        <w:tc>
          <w:tcPr>
            <w:tcW w:w="2460" w:type="dxa"/>
            <w:tcBorders>
              <w:top w:val="single" w:sz="4" w:space="0" w:color="auto"/>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9.37</w:t>
            </w:r>
          </w:p>
        </w:tc>
        <w:tc>
          <w:tcPr>
            <w:tcW w:w="2827" w:type="dxa"/>
            <w:tcBorders>
              <w:top w:val="single" w:sz="4" w:space="0" w:color="auto"/>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23.70</w:t>
            </w:r>
          </w:p>
        </w:tc>
        <w:tc>
          <w:tcPr>
            <w:tcW w:w="2374" w:type="dxa"/>
            <w:tcBorders>
              <w:top w:val="single" w:sz="4" w:space="0" w:color="auto"/>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0.40</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1986</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12.15</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22.08</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0.55</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1987</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12.72</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20.86</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0.61</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1988</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12.29</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21.14</w:t>
            </w:r>
          </w:p>
        </w:tc>
        <w:tc>
          <w:tcPr>
            <w:tcW w:w="2374" w:type="dxa"/>
            <w:tcBorders>
              <w:top w:val="nil"/>
            </w:tcBorders>
            <w:shd w:val="clear" w:color="auto" w:fill="auto"/>
            <w:noWrap/>
            <w:vAlign w:val="bottom"/>
          </w:tcPr>
          <w:p w:rsidR="00601016" w:rsidRPr="00A31903" w:rsidRDefault="00B4015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w:t>
            </w:r>
            <w:r w:rsidR="007555A1" w:rsidRPr="00A31903">
              <w:rPr>
                <w:rFonts w:ascii="Times New Roman" w:eastAsia="Times New Roman" w:hAnsi="Times New Roman" w:cs="Times New Roman"/>
                <w:color w:val="000000"/>
              </w:rPr>
              <w:t>.58</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1989</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12.31</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21.30</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0.58</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1990</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10.81</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22.64</w:t>
            </w:r>
          </w:p>
        </w:tc>
        <w:tc>
          <w:tcPr>
            <w:tcW w:w="2374" w:type="dxa"/>
            <w:tcBorders>
              <w:top w:val="nil"/>
            </w:tcBorders>
            <w:shd w:val="clear" w:color="auto" w:fill="auto"/>
            <w:noWrap/>
            <w:vAlign w:val="bottom"/>
          </w:tcPr>
          <w:p w:rsidR="00601016" w:rsidRPr="00A31903" w:rsidRDefault="00FC33A5" w:rsidP="00FC33A5">
            <w:pPr>
              <w:spacing w:after="0" w:line="240" w:lineRule="auto"/>
              <w:rPr>
                <w:rFonts w:ascii="Times New Roman" w:eastAsia="Times New Roman" w:hAnsi="Times New Roman" w:cs="Times New Roman"/>
                <w:color w:val="000000"/>
              </w:rPr>
            </w:pPr>
            <w:r w:rsidRPr="00A31903">
              <w:rPr>
                <w:rFonts w:ascii="Times New Roman" w:eastAsia="Times New Roman" w:hAnsi="Times New Roman" w:cs="Times New Roman"/>
                <w:color w:val="000000"/>
              </w:rPr>
              <w:t xml:space="preserve">               </w:t>
            </w:r>
            <w:r w:rsidR="007555A1" w:rsidRPr="00A31903">
              <w:rPr>
                <w:rFonts w:ascii="Times New Roman" w:eastAsia="Times New Roman" w:hAnsi="Times New Roman" w:cs="Times New Roman"/>
                <w:color w:val="000000"/>
              </w:rPr>
              <w:t>0.48</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1991</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13.16</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23.97</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0.55</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1992</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10.77</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24.07</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0.45</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1993</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13.15</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23.63</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0.56</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1994</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16.16</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22.99</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0.70</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1995</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14.69</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21.71</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0.68</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1996</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15.09</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20.82</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0.72</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1997</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14.67</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22.32</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0.66</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1998</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15.78</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22.52</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0.70</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1999</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15.01</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22.80</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0.66</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2000</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16.26</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24.50</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0.66</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2001</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17.25</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24.69</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0.70</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2002</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18.23</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25.49</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0.72</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2003</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21.02</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24.79</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0.85</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2004</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21.81</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24.25</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0.90</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2005</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20.76</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23.79</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0.87</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2006</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20.25</w:t>
            </w:r>
          </w:p>
        </w:tc>
        <w:tc>
          <w:tcPr>
            <w:tcW w:w="2827" w:type="dxa"/>
            <w:tcBorders>
              <w:top w:val="nil"/>
            </w:tcBorders>
            <w:shd w:val="clear" w:color="auto" w:fill="auto"/>
            <w:noWrap/>
            <w:vAlign w:val="bottom"/>
          </w:tcPr>
          <w:p w:rsidR="00601016" w:rsidRPr="00A31903" w:rsidRDefault="00ED3F4A"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25.37</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0.80</w:t>
            </w:r>
          </w:p>
        </w:tc>
      </w:tr>
      <w:tr w:rsidR="00601016" w:rsidRPr="00A31903" w:rsidTr="00FC33A5">
        <w:trPr>
          <w:trHeight w:val="309"/>
        </w:trPr>
        <w:tc>
          <w:tcPr>
            <w:tcW w:w="1594"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2007</w:t>
            </w:r>
          </w:p>
        </w:tc>
        <w:tc>
          <w:tcPr>
            <w:tcW w:w="2460" w:type="dxa"/>
            <w:tcBorders>
              <w:top w:val="nil"/>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22.05</w:t>
            </w:r>
          </w:p>
        </w:tc>
        <w:tc>
          <w:tcPr>
            <w:tcW w:w="2827"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27.60</w:t>
            </w:r>
          </w:p>
        </w:tc>
        <w:tc>
          <w:tcPr>
            <w:tcW w:w="2374" w:type="dxa"/>
            <w:tcBorders>
              <w:top w:val="nil"/>
            </w:tcBorders>
            <w:shd w:val="clear" w:color="auto" w:fill="auto"/>
            <w:noWrap/>
            <w:vAlign w:val="bottom"/>
          </w:tcPr>
          <w:p w:rsidR="00601016" w:rsidRPr="00A31903" w:rsidRDefault="007555A1"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0.80</w:t>
            </w:r>
          </w:p>
        </w:tc>
      </w:tr>
      <w:tr w:rsidR="00FC33A5" w:rsidRPr="00A31903" w:rsidTr="00F33579">
        <w:trPr>
          <w:trHeight w:val="309"/>
        </w:trPr>
        <w:tc>
          <w:tcPr>
            <w:tcW w:w="1594"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2008</w:t>
            </w:r>
          </w:p>
        </w:tc>
        <w:tc>
          <w:tcPr>
            <w:tcW w:w="2460"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15.90</w:t>
            </w:r>
          </w:p>
        </w:tc>
        <w:tc>
          <w:tcPr>
            <w:tcW w:w="2827"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28.92</w:t>
            </w:r>
          </w:p>
        </w:tc>
        <w:tc>
          <w:tcPr>
            <w:tcW w:w="2374"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0.55</w:t>
            </w:r>
          </w:p>
        </w:tc>
      </w:tr>
      <w:tr w:rsidR="00FC33A5" w:rsidRPr="00A31903" w:rsidTr="00F33579">
        <w:trPr>
          <w:trHeight w:val="309"/>
        </w:trPr>
        <w:tc>
          <w:tcPr>
            <w:tcW w:w="1594"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2009</w:t>
            </w:r>
          </w:p>
        </w:tc>
        <w:tc>
          <w:tcPr>
            <w:tcW w:w="2460"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15.40</w:t>
            </w:r>
          </w:p>
        </w:tc>
        <w:tc>
          <w:tcPr>
            <w:tcW w:w="2827"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26.26</w:t>
            </w:r>
          </w:p>
        </w:tc>
        <w:tc>
          <w:tcPr>
            <w:tcW w:w="2374"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0.57</w:t>
            </w:r>
          </w:p>
        </w:tc>
      </w:tr>
      <w:tr w:rsidR="00FC33A5" w:rsidRPr="00A31903" w:rsidTr="00F33579">
        <w:trPr>
          <w:trHeight w:val="309"/>
        </w:trPr>
        <w:tc>
          <w:tcPr>
            <w:tcW w:w="1594"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2010</w:t>
            </w:r>
          </w:p>
        </w:tc>
        <w:tc>
          <w:tcPr>
            <w:tcW w:w="2460"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16.70</w:t>
            </w:r>
          </w:p>
        </w:tc>
        <w:tc>
          <w:tcPr>
            <w:tcW w:w="2827"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29.26</w:t>
            </w:r>
          </w:p>
        </w:tc>
        <w:tc>
          <w:tcPr>
            <w:tcW w:w="2374"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0.57</w:t>
            </w:r>
          </w:p>
        </w:tc>
      </w:tr>
      <w:tr w:rsidR="00FC33A5" w:rsidRPr="00A31903" w:rsidTr="00F33579">
        <w:trPr>
          <w:trHeight w:val="309"/>
        </w:trPr>
        <w:tc>
          <w:tcPr>
            <w:tcW w:w="1594"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2011</w:t>
            </w:r>
          </w:p>
        </w:tc>
        <w:tc>
          <w:tcPr>
            <w:tcW w:w="2460"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20.80</w:t>
            </w:r>
          </w:p>
        </w:tc>
        <w:tc>
          <w:tcPr>
            <w:tcW w:w="2827"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33.17</w:t>
            </w:r>
          </w:p>
        </w:tc>
        <w:tc>
          <w:tcPr>
            <w:tcW w:w="2374"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0.63</w:t>
            </w:r>
          </w:p>
        </w:tc>
      </w:tr>
      <w:tr w:rsidR="00FC33A5" w:rsidRPr="00A31903" w:rsidTr="00F33579">
        <w:trPr>
          <w:trHeight w:val="309"/>
        </w:trPr>
        <w:tc>
          <w:tcPr>
            <w:tcW w:w="1594"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lastRenderedPageBreak/>
              <w:t>2012</w:t>
            </w:r>
          </w:p>
        </w:tc>
        <w:tc>
          <w:tcPr>
            <w:tcW w:w="2460"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17.10</w:t>
            </w:r>
          </w:p>
        </w:tc>
        <w:tc>
          <w:tcPr>
            <w:tcW w:w="2827"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31.33</w:t>
            </w:r>
          </w:p>
        </w:tc>
        <w:tc>
          <w:tcPr>
            <w:tcW w:w="2374"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0.55</w:t>
            </w:r>
          </w:p>
        </w:tc>
      </w:tr>
      <w:tr w:rsidR="00FC33A5" w:rsidRPr="00A31903" w:rsidTr="00F33579">
        <w:trPr>
          <w:trHeight w:val="309"/>
        </w:trPr>
        <w:tc>
          <w:tcPr>
            <w:tcW w:w="1594"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2013</w:t>
            </w:r>
          </w:p>
        </w:tc>
        <w:tc>
          <w:tcPr>
            <w:tcW w:w="2460"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15.10</w:t>
            </w:r>
          </w:p>
        </w:tc>
        <w:tc>
          <w:tcPr>
            <w:tcW w:w="2827"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30.52</w:t>
            </w:r>
          </w:p>
        </w:tc>
        <w:tc>
          <w:tcPr>
            <w:tcW w:w="2374"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0.49</w:t>
            </w:r>
          </w:p>
        </w:tc>
      </w:tr>
      <w:tr w:rsidR="00FC33A5" w:rsidRPr="00A31903" w:rsidTr="00F33579">
        <w:trPr>
          <w:trHeight w:val="309"/>
        </w:trPr>
        <w:tc>
          <w:tcPr>
            <w:tcW w:w="1594"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2014</w:t>
            </w:r>
          </w:p>
        </w:tc>
        <w:tc>
          <w:tcPr>
            <w:tcW w:w="2460"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16.70</w:t>
            </w:r>
          </w:p>
        </w:tc>
        <w:tc>
          <w:tcPr>
            <w:tcW w:w="2827"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29.86</w:t>
            </w:r>
          </w:p>
        </w:tc>
        <w:tc>
          <w:tcPr>
            <w:tcW w:w="2374"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0.56</w:t>
            </w:r>
          </w:p>
        </w:tc>
      </w:tr>
      <w:tr w:rsidR="00FC33A5" w:rsidRPr="00A31903" w:rsidTr="00F33579">
        <w:trPr>
          <w:trHeight w:val="309"/>
        </w:trPr>
        <w:tc>
          <w:tcPr>
            <w:tcW w:w="1594"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2015</w:t>
            </w:r>
          </w:p>
        </w:tc>
        <w:tc>
          <w:tcPr>
            <w:tcW w:w="2460" w:type="dxa"/>
            <w:tcBorders>
              <w:top w:val="nil"/>
            </w:tcBorders>
            <w:shd w:val="clear" w:color="auto" w:fill="auto"/>
            <w:noWrap/>
            <w:vAlign w:val="bottom"/>
          </w:tcPr>
          <w:p w:rsidR="00FC33A5" w:rsidRPr="00A31903" w:rsidRDefault="00FC33A5"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19.30</w:t>
            </w:r>
          </w:p>
        </w:tc>
        <w:tc>
          <w:tcPr>
            <w:tcW w:w="2827"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28.28</w:t>
            </w:r>
          </w:p>
        </w:tc>
        <w:tc>
          <w:tcPr>
            <w:tcW w:w="2374" w:type="dxa"/>
            <w:tcBorders>
              <w:top w:val="nil"/>
            </w:tcBorders>
            <w:shd w:val="clear" w:color="auto" w:fill="auto"/>
            <w:noWrap/>
            <w:vAlign w:val="bottom"/>
          </w:tcPr>
          <w:p w:rsidR="00FC33A5" w:rsidRPr="00A31903" w:rsidRDefault="007555A1" w:rsidP="00CE0492">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0.68</w:t>
            </w:r>
          </w:p>
        </w:tc>
      </w:tr>
      <w:tr w:rsidR="00601016" w:rsidRPr="00A31903" w:rsidTr="00F251D5">
        <w:trPr>
          <w:trHeight w:val="309"/>
        </w:trPr>
        <w:tc>
          <w:tcPr>
            <w:tcW w:w="1594" w:type="dxa"/>
            <w:tcBorders>
              <w:top w:val="nil"/>
              <w:bottom w:val="single" w:sz="4" w:space="0" w:color="auto"/>
            </w:tcBorders>
            <w:shd w:val="clear" w:color="auto" w:fill="auto"/>
            <w:noWrap/>
            <w:vAlign w:val="bottom"/>
            <w:hideMark/>
          </w:tcPr>
          <w:p w:rsidR="00601016" w:rsidRPr="00A31903" w:rsidRDefault="00601016"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Average</w:t>
            </w:r>
          </w:p>
        </w:tc>
        <w:tc>
          <w:tcPr>
            <w:tcW w:w="2460" w:type="dxa"/>
            <w:tcBorders>
              <w:top w:val="nil"/>
              <w:bottom w:val="single" w:sz="4" w:space="0" w:color="auto"/>
            </w:tcBorders>
            <w:shd w:val="clear" w:color="auto" w:fill="auto"/>
            <w:noWrap/>
            <w:vAlign w:val="bottom"/>
            <w:hideMark/>
          </w:tcPr>
          <w:p w:rsidR="00601016" w:rsidRPr="00A31903" w:rsidRDefault="00F33579"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15.90</w:t>
            </w:r>
          </w:p>
        </w:tc>
        <w:tc>
          <w:tcPr>
            <w:tcW w:w="2827" w:type="dxa"/>
            <w:tcBorders>
              <w:top w:val="nil"/>
              <w:bottom w:val="single" w:sz="4" w:space="0" w:color="auto"/>
            </w:tcBorders>
            <w:shd w:val="clear" w:color="auto" w:fill="auto"/>
            <w:noWrap/>
            <w:vAlign w:val="bottom"/>
            <w:hideMark/>
          </w:tcPr>
          <w:p w:rsidR="00601016" w:rsidRPr="00A31903" w:rsidRDefault="0050273B"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25.01</w:t>
            </w:r>
          </w:p>
        </w:tc>
        <w:tc>
          <w:tcPr>
            <w:tcW w:w="2374" w:type="dxa"/>
            <w:tcBorders>
              <w:top w:val="nil"/>
              <w:bottom w:val="single" w:sz="4" w:space="0" w:color="auto"/>
            </w:tcBorders>
            <w:shd w:val="clear" w:color="auto" w:fill="auto"/>
            <w:noWrap/>
            <w:vAlign w:val="bottom"/>
            <w:hideMark/>
          </w:tcPr>
          <w:p w:rsidR="00601016" w:rsidRPr="00A31903" w:rsidRDefault="0050273B" w:rsidP="00F251D5">
            <w:pPr>
              <w:spacing w:after="0" w:line="240" w:lineRule="auto"/>
              <w:jc w:val="center"/>
              <w:rPr>
                <w:rFonts w:ascii="Times New Roman" w:eastAsia="Times New Roman" w:hAnsi="Times New Roman" w:cs="Times New Roman"/>
                <w:color w:val="000000"/>
              </w:rPr>
            </w:pPr>
            <w:r w:rsidRPr="00A31903">
              <w:rPr>
                <w:rFonts w:ascii="Times New Roman" w:eastAsia="Times New Roman" w:hAnsi="Times New Roman" w:cs="Times New Roman"/>
                <w:color w:val="000000"/>
              </w:rPr>
              <w:t>0.64</w:t>
            </w:r>
          </w:p>
        </w:tc>
      </w:tr>
    </w:tbl>
    <w:p w:rsidR="001B2B91" w:rsidRPr="00A31903" w:rsidRDefault="001B2B91" w:rsidP="001B2B91">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b/>
        </w:rPr>
        <w:t>Source:</w:t>
      </w:r>
      <w:r w:rsidRPr="00A31903">
        <w:rPr>
          <w:rFonts w:ascii="Times New Roman" w:hAnsi="Times New Roman" w:cs="Times New Roman"/>
        </w:rPr>
        <w:t xml:space="preserve"> Authors’ computations</w:t>
      </w:r>
    </w:p>
    <w:p w:rsidR="001B2B91" w:rsidRPr="00A31903" w:rsidRDefault="001B2B91" w:rsidP="00C722F0">
      <w:pPr>
        <w:autoSpaceDE w:val="0"/>
        <w:autoSpaceDN w:val="0"/>
        <w:adjustRightInd w:val="0"/>
        <w:spacing w:after="0" w:line="240" w:lineRule="auto"/>
        <w:jc w:val="both"/>
        <w:rPr>
          <w:rFonts w:ascii="Times New Roman" w:hAnsi="Times New Roman" w:cs="Times New Roman"/>
        </w:rPr>
      </w:pPr>
    </w:p>
    <w:p w:rsidR="002866A8" w:rsidRPr="00A31903" w:rsidRDefault="00AE76F2" w:rsidP="00C722F0">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Figure </w:t>
      </w:r>
      <w:proofErr w:type="gramStart"/>
      <w:r w:rsidRPr="00A31903">
        <w:rPr>
          <w:rFonts w:ascii="Times New Roman" w:hAnsi="Times New Roman" w:cs="Times New Roman"/>
        </w:rPr>
        <w:t>1</w:t>
      </w:r>
      <w:proofErr w:type="gramEnd"/>
      <w:r w:rsidR="00AC450D" w:rsidRPr="00A31903">
        <w:rPr>
          <w:rFonts w:ascii="Times New Roman" w:hAnsi="Times New Roman" w:cs="Times New Roman"/>
        </w:rPr>
        <w:t xml:space="preserve"> </w:t>
      </w:r>
      <w:r w:rsidR="002866A8" w:rsidRPr="00A31903">
        <w:rPr>
          <w:rFonts w:ascii="Times New Roman" w:hAnsi="Times New Roman" w:cs="Times New Roman"/>
        </w:rPr>
        <w:t>shows that taxable capacity moves</w:t>
      </w:r>
      <w:r w:rsidR="00B3612A" w:rsidRPr="00A31903">
        <w:rPr>
          <w:rFonts w:ascii="Times New Roman" w:hAnsi="Times New Roman" w:cs="Times New Roman"/>
        </w:rPr>
        <w:t xml:space="preserve"> in</w:t>
      </w:r>
      <w:r w:rsidR="002866A8" w:rsidRPr="00A31903">
        <w:rPr>
          <w:rFonts w:ascii="Times New Roman" w:hAnsi="Times New Roman" w:cs="Times New Roman"/>
        </w:rPr>
        <w:t xml:space="preserve"> </w:t>
      </w:r>
      <w:r w:rsidR="00B3612A" w:rsidRPr="00A31903">
        <w:rPr>
          <w:rFonts w:ascii="Times New Roman" w:hAnsi="Times New Roman" w:cs="Times New Roman"/>
        </w:rPr>
        <w:t>lockstep</w:t>
      </w:r>
      <w:r w:rsidR="00896074" w:rsidRPr="00A31903">
        <w:rPr>
          <w:rFonts w:ascii="Times New Roman" w:hAnsi="Times New Roman" w:cs="Times New Roman"/>
        </w:rPr>
        <w:t xml:space="preserve"> with </w:t>
      </w:r>
      <w:r w:rsidR="00AC450D" w:rsidRPr="00A31903">
        <w:rPr>
          <w:rFonts w:ascii="Times New Roman" w:hAnsi="Times New Roman" w:cs="Times New Roman"/>
        </w:rPr>
        <w:t>tax burden.</w:t>
      </w:r>
      <w:r w:rsidR="002866A8" w:rsidRPr="00A31903">
        <w:rPr>
          <w:rFonts w:ascii="Times New Roman" w:hAnsi="Times New Roman" w:cs="Times New Roman"/>
        </w:rPr>
        <w:t xml:space="preserve"> </w:t>
      </w:r>
      <w:r w:rsidR="00C80A88" w:rsidRPr="00A31903">
        <w:rPr>
          <w:rFonts w:ascii="Times New Roman" w:hAnsi="Times New Roman" w:cs="Times New Roman"/>
        </w:rPr>
        <w:t xml:space="preserve">Apart from the main </w:t>
      </w:r>
      <w:r w:rsidR="0060072D" w:rsidRPr="00A31903">
        <w:rPr>
          <w:rFonts w:ascii="Times New Roman" w:hAnsi="Times New Roman" w:cs="Times New Roman"/>
        </w:rPr>
        <w:t>decline</w:t>
      </w:r>
      <w:r w:rsidR="00C80A88" w:rsidRPr="00A31903">
        <w:rPr>
          <w:rFonts w:ascii="Times New Roman" w:hAnsi="Times New Roman" w:cs="Times New Roman"/>
        </w:rPr>
        <w:t xml:space="preserve"> that</w:t>
      </w:r>
      <w:r w:rsidR="00CA5382" w:rsidRPr="00A31903">
        <w:rPr>
          <w:rFonts w:ascii="Times New Roman" w:hAnsi="Times New Roman" w:cs="Times New Roman"/>
        </w:rPr>
        <w:t xml:space="preserve"> occurred</w:t>
      </w:r>
      <w:r w:rsidR="002866A8" w:rsidRPr="00A31903">
        <w:rPr>
          <w:rFonts w:ascii="Times New Roman" w:hAnsi="Times New Roman" w:cs="Times New Roman"/>
        </w:rPr>
        <w:t xml:space="preserve"> during the political </w:t>
      </w:r>
      <w:r w:rsidR="00452C25" w:rsidRPr="00A31903">
        <w:rPr>
          <w:rFonts w:ascii="Times New Roman" w:hAnsi="Times New Roman" w:cs="Times New Roman"/>
        </w:rPr>
        <w:t>instability period</w:t>
      </w:r>
      <w:r w:rsidR="002866A8" w:rsidRPr="00A31903">
        <w:rPr>
          <w:rFonts w:ascii="Times New Roman" w:hAnsi="Times New Roman" w:cs="Times New Roman"/>
        </w:rPr>
        <w:t xml:space="preserve"> in Ghana</w:t>
      </w:r>
      <w:r w:rsidR="00C80A88" w:rsidRPr="00A31903">
        <w:rPr>
          <w:rFonts w:ascii="Times New Roman" w:hAnsi="Times New Roman" w:cs="Times New Roman"/>
        </w:rPr>
        <w:t xml:space="preserve">, taxable capacity and tax burden </w:t>
      </w:r>
      <w:r w:rsidR="00235037" w:rsidRPr="00A31903">
        <w:rPr>
          <w:rFonts w:ascii="Times New Roman" w:hAnsi="Times New Roman" w:cs="Times New Roman"/>
        </w:rPr>
        <w:t>have</w:t>
      </w:r>
      <w:r w:rsidR="00D76E4C" w:rsidRPr="00A31903">
        <w:rPr>
          <w:rFonts w:ascii="Times New Roman" w:hAnsi="Times New Roman" w:cs="Times New Roman"/>
        </w:rPr>
        <w:t xml:space="preserve"> </w:t>
      </w:r>
      <w:r w:rsidR="00C80A88" w:rsidRPr="00A31903">
        <w:rPr>
          <w:rFonts w:ascii="Times New Roman" w:hAnsi="Times New Roman" w:cs="Times New Roman"/>
        </w:rPr>
        <w:t>witnessed</w:t>
      </w:r>
      <w:r w:rsidR="00CA5382" w:rsidRPr="00A31903">
        <w:rPr>
          <w:rFonts w:ascii="Times New Roman" w:hAnsi="Times New Roman" w:cs="Times New Roman"/>
        </w:rPr>
        <w:t xml:space="preserve"> steady</w:t>
      </w:r>
      <w:r w:rsidR="00C80A88" w:rsidRPr="00A31903">
        <w:rPr>
          <w:rFonts w:ascii="Times New Roman" w:hAnsi="Times New Roman" w:cs="Times New Roman"/>
        </w:rPr>
        <w:t xml:space="preserve"> growth</w:t>
      </w:r>
      <w:r w:rsidR="00DC10AF" w:rsidRPr="00A31903">
        <w:rPr>
          <w:rFonts w:ascii="Times New Roman" w:hAnsi="Times New Roman" w:cs="Times New Roman"/>
        </w:rPr>
        <w:t xml:space="preserve"> </w:t>
      </w:r>
      <w:r w:rsidR="00235037" w:rsidRPr="00A31903">
        <w:rPr>
          <w:rFonts w:ascii="Times New Roman" w:hAnsi="Times New Roman" w:cs="Times New Roman"/>
        </w:rPr>
        <w:t xml:space="preserve">rates </w:t>
      </w:r>
      <w:r w:rsidR="00DC10AF" w:rsidRPr="00A31903">
        <w:rPr>
          <w:rFonts w:ascii="Times New Roman" w:hAnsi="Times New Roman" w:cs="Times New Roman"/>
        </w:rPr>
        <w:t xml:space="preserve">whiles the tax effort has been </w:t>
      </w:r>
      <w:r w:rsidR="00F0623C" w:rsidRPr="00A31903">
        <w:rPr>
          <w:rFonts w:ascii="Times New Roman" w:hAnsi="Times New Roman" w:cs="Times New Roman"/>
        </w:rPr>
        <w:t>stable</w:t>
      </w:r>
      <w:r w:rsidR="00C80A88" w:rsidRPr="00A31903">
        <w:rPr>
          <w:rFonts w:ascii="Times New Roman" w:hAnsi="Times New Roman" w:cs="Times New Roman"/>
        </w:rPr>
        <w:t>.</w:t>
      </w:r>
      <w:r w:rsidR="00235037" w:rsidRPr="00A31903">
        <w:rPr>
          <w:rFonts w:ascii="Times New Roman" w:hAnsi="Times New Roman" w:cs="Times New Roman"/>
        </w:rPr>
        <w:t xml:space="preserve"> The taxable capacity clearly lies above the tax burden, an indication that the tax burden is low resulting from the low tax efforts</w:t>
      </w:r>
      <w:r w:rsidR="00153738" w:rsidRPr="00A31903">
        <w:rPr>
          <w:rFonts w:ascii="Times New Roman" w:hAnsi="Times New Roman" w:cs="Times New Roman"/>
        </w:rPr>
        <w:t xml:space="preserve"> averaging</w:t>
      </w:r>
      <w:r w:rsidR="00235037" w:rsidRPr="00A31903">
        <w:rPr>
          <w:rFonts w:ascii="Times New Roman" w:hAnsi="Times New Roman" w:cs="Times New Roman"/>
        </w:rPr>
        <w:t xml:space="preserve"> </w:t>
      </w:r>
      <w:r w:rsidR="00153738" w:rsidRPr="00A31903">
        <w:rPr>
          <w:rFonts w:ascii="Times New Roman" w:hAnsi="Times New Roman" w:cs="Times New Roman"/>
        </w:rPr>
        <w:t>0.64</w:t>
      </w:r>
      <w:r w:rsidR="00235037" w:rsidRPr="00A31903">
        <w:rPr>
          <w:rFonts w:ascii="Times New Roman" w:hAnsi="Times New Roman" w:cs="Times New Roman"/>
        </w:rPr>
        <w:t xml:space="preserve">. </w:t>
      </w:r>
    </w:p>
    <w:p w:rsidR="002866A8" w:rsidRDefault="002866A8" w:rsidP="00C722F0">
      <w:pPr>
        <w:autoSpaceDE w:val="0"/>
        <w:autoSpaceDN w:val="0"/>
        <w:adjustRightInd w:val="0"/>
        <w:spacing w:after="0" w:line="240" w:lineRule="auto"/>
        <w:jc w:val="both"/>
        <w:rPr>
          <w:rFonts w:ascii="Times New Roman" w:hAnsi="Times New Roman" w:cs="Times New Roman"/>
          <w:b/>
        </w:rPr>
      </w:pPr>
    </w:p>
    <w:p w:rsidR="00A67249" w:rsidRPr="00A31903" w:rsidRDefault="00A67249" w:rsidP="00C722F0">
      <w:pPr>
        <w:autoSpaceDE w:val="0"/>
        <w:autoSpaceDN w:val="0"/>
        <w:adjustRightInd w:val="0"/>
        <w:spacing w:after="0" w:line="240" w:lineRule="auto"/>
        <w:jc w:val="both"/>
        <w:rPr>
          <w:rFonts w:ascii="Times New Roman" w:hAnsi="Times New Roman" w:cs="Times New Roman"/>
          <w:b/>
        </w:rPr>
      </w:pPr>
    </w:p>
    <w:p w:rsidR="003468F6" w:rsidRPr="00A31903" w:rsidRDefault="003468F6" w:rsidP="00C722F0">
      <w:pPr>
        <w:autoSpaceDE w:val="0"/>
        <w:autoSpaceDN w:val="0"/>
        <w:adjustRightInd w:val="0"/>
        <w:spacing w:after="0" w:line="240" w:lineRule="auto"/>
        <w:jc w:val="both"/>
        <w:rPr>
          <w:rFonts w:ascii="Times New Roman" w:hAnsi="Times New Roman" w:cs="Times New Roman"/>
          <w:b/>
          <w:u w:val="single"/>
        </w:rPr>
      </w:pPr>
      <w:r w:rsidRPr="00A31903">
        <w:rPr>
          <w:rFonts w:ascii="Times New Roman" w:hAnsi="Times New Roman" w:cs="Times New Roman"/>
          <w:b/>
        </w:rPr>
        <w:t xml:space="preserve"> </w:t>
      </w:r>
      <w:r w:rsidR="000B2401" w:rsidRPr="00A31903">
        <w:rPr>
          <w:rFonts w:ascii="Times New Roman" w:hAnsi="Times New Roman" w:cs="Times New Roman"/>
          <w:b/>
        </w:rPr>
        <w:t xml:space="preserve">Figure </w:t>
      </w:r>
      <w:r w:rsidR="00103275" w:rsidRPr="00A31903">
        <w:rPr>
          <w:rFonts w:ascii="Times New Roman" w:hAnsi="Times New Roman" w:cs="Times New Roman"/>
          <w:b/>
        </w:rPr>
        <w:t>1</w:t>
      </w:r>
      <w:r w:rsidR="00CF5C29" w:rsidRPr="00A31903">
        <w:rPr>
          <w:rFonts w:ascii="Times New Roman" w:hAnsi="Times New Roman" w:cs="Times New Roman"/>
          <w:b/>
        </w:rPr>
        <w:t xml:space="preserve">: </w:t>
      </w:r>
      <w:r w:rsidR="00B34FD0" w:rsidRPr="00A31903">
        <w:rPr>
          <w:rFonts w:ascii="Times New Roman" w:hAnsi="Times New Roman" w:cs="Times New Roman"/>
          <w:b/>
        </w:rPr>
        <w:t>Trend a</w:t>
      </w:r>
      <w:r w:rsidRPr="00A31903">
        <w:rPr>
          <w:rFonts w:ascii="Times New Roman" w:hAnsi="Times New Roman" w:cs="Times New Roman"/>
          <w:b/>
        </w:rPr>
        <w:t>nalysis</w:t>
      </w:r>
      <w:r w:rsidR="004E1E4B" w:rsidRPr="00A31903">
        <w:rPr>
          <w:rFonts w:ascii="Times New Roman" w:hAnsi="Times New Roman" w:cs="Times New Roman"/>
          <w:b/>
        </w:rPr>
        <w:t xml:space="preserve"> of </w:t>
      </w:r>
      <w:r w:rsidR="00B34FD0" w:rsidRPr="00A31903">
        <w:rPr>
          <w:rFonts w:ascii="Times New Roman" w:hAnsi="Times New Roman" w:cs="Times New Roman"/>
          <w:b/>
        </w:rPr>
        <w:t>tax b</w:t>
      </w:r>
      <w:r w:rsidR="001371E0" w:rsidRPr="00A31903">
        <w:rPr>
          <w:rFonts w:ascii="Times New Roman" w:hAnsi="Times New Roman" w:cs="Times New Roman"/>
          <w:b/>
        </w:rPr>
        <w:t xml:space="preserve">urden, </w:t>
      </w:r>
      <w:r w:rsidR="00B34FD0" w:rsidRPr="00A31903">
        <w:rPr>
          <w:rFonts w:ascii="Times New Roman" w:hAnsi="Times New Roman" w:cs="Times New Roman"/>
          <w:b/>
        </w:rPr>
        <w:t>taxable c</w:t>
      </w:r>
      <w:r w:rsidR="004E1E4B" w:rsidRPr="00A31903">
        <w:rPr>
          <w:rFonts w:ascii="Times New Roman" w:hAnsi="Times New Roman" w:cs="Times New Roman"/>
          <w:b/>
        </w:rPr>
        <w:t>apacity</w:t>
      </w:r>
      <w:r w:rsidR="001371E0" w:rsidRPr="00A31903">
        <w:rPr>
          <w:rFonts w:ascii="Times New Roman" w:hAnsi="Times New Roman" w:cs="Times New Roman"/>
          <w:b/>
        </w:rPr>
        <w:t xml:space="preserve"> and tax effort</w:t>
      </w:r>
    </w:p>
    <w:p w:rsidR="00B708F7" w:rsidRPr="00A31903" w:rsidRDefault="00B708F7" w:rsidP="00C722F0">
      <w:pPr>
        <w:autoSpaceDE w:val="0"/>
        <w:autoSpaceDN w:val="0"/>
        <w:adjustRightInd w:val="0"/>
        <w:spacing w:after="0" w:line="240" w:lineRule="auto"/>
        <w:jc w:val="both"/>
        <w:rPr>
          <w:noProof/>
          <w:lang w:val="en-GB" w:eastAsia="en-GB"/>
        </w:rPr>
      </w:pPr>
    </w:p>
    <w:p w:rsidR="001371E0" w:rsidRPr="00A31903" w:rsidRDefault="001371E0" w:rsidP="00C722F0">
      <w:pPr>
        <w:autoSpaceDE w:val="0"/>
        <w:autoSpaceDN w:val="0"/>
        <w:adjustRightInd w:val="0"/>
        <w:spacing w:after="0" w:line="240" w:lineRule="auto"/>
        <w:jc w:val="both"/>
        <w:rPr>
          <w:rFonts w:ascii="Times New Roman" w:hAnsi="Times New Roman" w:cs="Times New Roman"/>
          <w:b/>
          <w:u w:val="single"/>
        </w:rPr>
      </w:pPr>
      <w:r w:rsidRPr="00A31903">
        <w:rPr>
          <w:noProof/>
          <w:lang w:val="en-GB" w:eastAsia="en-GB"/>
        </w:rPr>
        <w:drawing>
          <wp:inline distT="0" distB="0" distL="0" distR="0" wp14:anchorId="5DA1741D" wp14:editId="15F05E3D">
            <wp:extent cx="5876925" cy="34861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708F7" w:rsidRPr="00A31903" w:rsidRDefault="00B708F7" w:rsidP="00C722F0">
      <w:pPr>
        <w:autoSpaceDE w:val="0"/>
        <w:autoSpaceDN w:val="0"/>
        <w:adjustRightInd w:val="0"/>
        <w:spacing w:after="0" w:line="240" w:lineRule="auto"/>
        <w:jc w:val="both"/>
        <w:rPr>
          <w:rFonts w:ascii="Times New Roman" w:hAnsi="Times New Roman" w:cs="Times New Roman"/>
          <w:b/>
          <w:u w:val="single"/>
        </w:rPr>
      </w:pPr>
    </w:p>
    <w:p w:rsidR="00AE7540" w:rsidRPr="00A31903" w:rsidRDefault="00AE7540" w:rsidP="00AE7540">
      <w:pPr>
        <w:jc w:val="both"/>
        <w:rPr>
          <w:rFonts w:ascii="Times New Roman" w:hAnsi="Times New Roman" w:cs="Times New Roman"/>
          <w:color w:val="000000"/>
          <w:shd w:val="clear" w:color="auto" w:fill="FFFFFF"/>
        </w:rPr>
      </w:pPr>
      <w:r w:rsidRPr="00A31903">
        <w:rPr>
          <w:rFonts w:ascii="Times New Roman" w:hAnsi="Times New Roman" w:cs="Times New Roman"/>
          <w:color w:val="000000"/>
          <w:shd w:val="clear" w:color="auto" w:fill="FFFFFF"/>
        </w:rPr>
        <w:t xml:space="preserve">     </w:t>
      </w:r>
    </w:p>
    <w:p w:rsidR="009B175A" w:rsidRPr="00A31903" w:rsidRDefault="00FD121B" w:rsidP="00AE7540">
      <w:pPr>
        <w:jc w:val="both"/>
        <w:rPr>
          <w:rFonts w:ascii="Times New Roman" w:hAnsi="Times New Roman" w:cs="Times New Roman"/>
        </w:rPr>
      </w:pPr>
      <w:r w:rsidRPr="00A31903">
        <w:rPr>
          <w:rFonts w:ascii="Times New Roman" w:hAnsi="Times New Roman" w:cs="Times New Roman"/>
        </w:rPr>
        <w:t xml:space="preserve"> </w:t>
      </w:r>
      <w:r w:rsidRPr="00A31903">
        <w:rPr>
          <w:rFonts w:ascii="Times New Roman" w:hAnsi="Times New Roman" w:cs="Times New Roman"/>
          <w:b/>
          <w:bCs/>
        </w:rPr>
        <w:t xml:space="preserve"> </w:t>
      </w:r>
      <w:r w:rsidR="005C75E6" w:rsidRPr="00A31903">
        <w:rPr>
          <w:rFonts w:ascii="Times New Roman" w:hAnsi="Times New Roman" w:cs="Times New Roman"/>
          <w:b/>
          <w:bCs/>
        </w:rPr>
        <w:t>4</w:t>
      </w:r>
      <w:r w:rsidRPr="00A31903">
        <w:rPr>
          <w:rFonts w:ascii="Times New Roman" w:hAnsi="Times New Roman" w:cs="Times New Roman"/>
          <w:b/>
          <w:bCs/>
        </w:rPr>
        <w:t xml:space="preserve">. </w:t>
      </w:r>
      <w:r w:rsidR="001B4FA2" w:rsidRPr="00A31903">
        <w:rPr>
          <w:rFonts w:ascii="Times New Roman" w:hAnsi="Times New Roman" w:cs="Times New Roman"/>
          <w:b/>
          <w:bCs/>
        </w:rPr>
        <w:t>DISCUSSION OF EMPIRICAL RESULTS</w:t>
      </w:r>
    </w:p>
    <w:p w:rsidR="00961D91" w:rsidRPr="00A31903" w:rsidRDefault="00961D91" w:rsidP="00793F36">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lang w:val="en-GB"/>
        </w:rPr>
        <w:t xml:space="preserve">    </w:t>
      </w:r>
      <w:r w:rsidR="00BE3A5E" w:rsidRPr="00A31903">
        <w:rPr>
          <w:rFonts w:ascii="Times New Roman" w:hAnsi="Times New Roman" w:cs="Times New Roman"/>
          <w:lang w:val="en-GB"/>
        </w:rPr>
        <w:t xml:space="preserve">The order of integration of the variables are </w:t>
      </w:r>
      <w:proofErr w:type="gramStart"/>
      <w:r w:rsidR="00BE3A5E" w:rsidRPr="00A31903">
        <w:rPr>
          <w:rFonts w:ascii="Times New Roman" w:hAnsi="Times New Roman" w:cs="Times New Roman"/>
          <w:lang w:val="en-GB"/>
        </w:rPr>
        <w:t>I(</w:t>
      </w:r>
      <w:proofErr w:type="gramEnd"/>
      <w:r w:rsidR="00BE3A5E" w:rsidRPr="00A31903">
        <w:rPr>
          <w:rFonts w:ascii="Times New Roman" w:hAnsi="Times New Roman" w:cs="Times New Roman"/>
          <w:lang w:val="en-GB"/>
        </w:rPr>
        <w:t>0) and I(1) after conducting unit roots test</w:t>
      </w:r>
      <w:r w:rsidR="00F27D3B" w:rsidRPr="00A31903">
        <w:rPr>
          <w:rFonts w:ascii="Times New Roman" w:hAnsi="Times New Roman" w:cs="Times New Roman"/>
          <w:lang w:val="en-GB"/>
        </w:rPr>
        <w:t>s</w:t>
      </w:r>
      <w:r w:rsidR="00BE3A5E" w:rsidRPr="00A31903">
        <w:rPr>
          <w:rFonts w:ascii="Times New Roman" w:hAnsi="Times New Roman" w:cs="Times New Roman"/>
          <w:lang w:val="en-GB"/>
        </w:rPr>
        <w:t xml:space="preserve"> using the ADF and PP test statistics. The ARDL bounds testing indicated a long-run relationship but the </w:t>
      </w:r>
      <w:r w:rsidR="00BE3A5E" w:rsidRPr="00A31903">
        <w:rPr>
          <w:rFonts w:ascii="Times New Roman" w:hAnsi="Times New Roman" w:cs="Times New Roman"/>
        </w:rPr>
        <w:t>selected ARDL</w:t>
      </w:r>
      <w:r w:rsidR="00071FDD" w:rsidRPr="00A31903">
        <w:rPr>
          <w:rFonts w:ascii="Times New Roman" w:hAnsi="Times New Roman" w:cs="Times New Roman"/>
        </w:rPr>
        <w:t xml:space="preserve"> model (4, 3, 4, 4, 2, 4, </w:t>
      </w:r>
      <w:proofErr w:type="gramStart"/>
      <w:r w:rsidR="00071FDD" w:rsidRPr="00A31903">
        <w:rPr>
          <w:rFonts w:ascii="Times New Roman" w:hAnsi="Times New Roman" w:cs="Times New Roman"/>
        </w:rPr>
        <w:t>3</w:t>
      </w:r>
      <w:proofErr w:type="gramEnd"/>
      <w:r w:rsidR="00071FDD" w:rsidRPr="00A31903">
        <w:rPr>
          <w:rFonts w:ascii="Times New Roman" w:hAnsi="Times New Roman" w:cs="Times New Roman"/>
        </w:rPr>
        <w:t>)</w:t>
      </w:r>
      <w:r w:rsidR="00BE3A5E" w:rsidRPr="00A31903">
        <w:rPr>
          <w:rFonts w:ascii="Times New Roman" w:hAnsi="Times New Roman" w:cs="Times New Roman"/>
          <w:lang w:val="en-GB"/>
        </w:rPr>
        <w:t xml:space="preserve"> failed to confirm the long-run relationship necessitating the use of VAR model</w:t>
      </w:r>
      <w:r w:rsidR="00F27D3B" w:rsidRPr="00A31903">
        <w:rPr>
          <w:rFonts w:ascii="Times New Roman" w:hAnsi="Times New Roman" w:cs="Times New Roman"/>
          <w:lang w:val="en-GB"/>
        </w:rPr>
        <w:t xml:space="preserve">. </w:t>
      </w:r>
      <w:r w:rsidR="00577172" w:rsidRPr="00A31903">
        <w:rPr>
          <w:rFonts w:ascii="Times New Roman" w:hAnsi="Times New Roman" w:cs="Times New Roman"/>
          <w:lang w:val="en-GB"/>
        </w:rPr>
        <w:t xml:space="preserve">Consequently, </w:t>
      </w:r>
      <w:r w:rsidR="00F27D3B" w:rsidRPr="00A31903">
        <w:rPr>
          <w:rFonts w:ascii="Times New Roman" w:hAnsi="Times New Roman" w:cs="Times New Roman"/>
          <w:lang w:val="en-GB"/>
        </w:rPr>
        <w:t xml:space="preserve">VAR Granger causality </w:t>
      </w:r>
      <w:proofErr w:type="gramStart"/>
      <w:r w:rsidR="00F27D3B" w:rsidRPr="00A31903">
        <w:rPr>
          <w:rFonts w:ascii="Times New Roman" w:hAnsi="Times New Roman" w:cs="Times New Roman"/>
          <w:lang w:val="en-GB"/>
        </w:rPr>
        <w:t>was conducted</w:t>
      </w:r>
      <w:proofErr w:type="gramEnd"/>
      <w:r w:rsidR="00F27D3B" w:rsidRPr="00A31903">
        <w:rPr>
          <w:rFonts w:ascii="Times New Roman" w:hAnsi="Times New Roman" w:cs="Times New Roman"/>
          <w:lang w:val="en-GB"/>
        </w:rPr>
        <w:t xml:space="preserve"> to test the short-run relationships </w:t>
      </w:r>
      <w:r w:rsidR="00577172" w:rsidRPr="00A31903">
        <w:rPr>
          <w:rFonts w:ascii="Times New Roman" w:hAnsi="Times New Roman" w:cs="Times New Roman"/>
          <w:lang w:val="en-GB"/>
        </w:rPr>
        <w:t>running from TGDP to INFL, POPG, AGRV, GDPG, DEBT and SERV</w:t>
      </w:r>
      <w:r w:rsidR="00F27D3B" w:rsidRPr="00A31903">
        <w:rPr>
          <w:rFonts w:ascii="Times New Roman" w:hAnsi="Times New Roman" w:cs="Times New Roman"/>
          <w:lang w:val="en-GB"/>
        </w:rPr>
        <w:t>.</w:t>
      </w:r>
    </w:p>
    <w:p w:rsidR="0054687E" w:rsidRPr="00A31903" w:rsidRDefault="0054687E" w:rsidP="00793F36">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rPr>
        <w:t xml:space="preserve">    The study found an inverse relationship between the taxable capacity and agriculture value added as percentage of GDP and inflatio</w:t>
      </w:r>
      <w:r w:rsidR="00452C25" w:rsidRPr="00A31903">
        <w:rPr>
          <w:rFonts w:ascii="Times New Roman" w:hAnsi="Times New Roman" w:cs="Times New Roman"/>
        </w:rPr>
        <w:t>n rate in Ghana.  T</w:t>
      </w:r>
      <w:r w:rsidRPr="00A31903">
        <w:rPr>
          <w:rFonts w:ascii="Times New Roman" w:hAnsi="Times New Roman" w:cs="Times New Roman"/>
        </w:rPr>
        <w:t xml:space="preserve">he coefficients of the GDP growth rate, population growth rate, </w:t>
      </w:r>
      <w:proofErr w:type="gramStart"/>
      <w:r w:rsidRPr="00A31903">
        <w:rPr>
          <w:rFonts w:ascii="Times New Roman" w:hAnsi="Times New Roman" w:cs="Times New Roman"/>
        </w:rPr>
        <w:t>service</w:t>
      </w:r>
      <w:proofErr w:type="gramEnd"/>
      <w:r w:rsidRPr="00A31903">
        <w:rPr>
          <w:rFonts w:ascii="Times New Roman" w:hAnsi="Times New Roman" w:cs="Times New Roman"/>
        </w:rPr>
        <w:t xml:space="preserve"> value added as percentage of GDP and external debt st</w:t>
      </w:r>
      <w:r w:rsidR="00896074" w:rsidRPr="00A31903">
        <w:rPr>
          <w:rFonts w:ascii="Times New Roman" w:hAnsi="Times New Roman" w:cs="Times New Roman"/>
        </w:rPr>
        <w:t xml:space="preserve">ocks are positive, suggesting </w:t>
      </w:r>
      <w:r w:rsidRPr="00A31903">
        <w:rPr>
          <w:rFonts w:ascii="Times New Roman" w:hAnsi="Times New Roman" w:cs="Times New Roman"/>
        </w:rPr>
        <w:t>positive relationship</w:t>
      </w:r>
      <w:r w:rsidR="00896074" w:rsidRPr="00A31903">
        <w:rPr>
          <w:rFonts w:ascii="Times New Roman" w:hAnsi="Times New Roman" w:cs="Times New Roman"/>
        </w:rPr>
        <w:t>s</w:t>
      </w:r>
      <w:r w:rsidRPr="00A31903">
        <w:rPr>
          <w:rFonts w:ascii="Times New Roman" w:hAnsi="Times New Roman" w:cs="Times New Roman"/>
        </w:rPr>
        <w:t xml:space="preserve"> with the tax/GDP ratio.</w:t>
      </w:r>
    </w:p>
    <w:p w:rsidR="00CB2A45" w:rsidRPr="00A31903" w:rsidRDefault="0054687E" w:rsidP="00CB2A45">
      <w:pPr>
        <w:tabs>
          <w:tab w:val="num" w:pos="720"/>
        </w:tabs>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rPr>
        <w:t xml:space="preserve">    </w:t>
      </w:r>
      <w:r w:rsidR="00CB2A45" w:rsidRPr="00A31903">
        <w:rPr>
          <w:rFonts w:ascii="Times New Roman" w:hAnsi="Times New Roman" w:cs="Times New Roman"/>
        </w:rPr>
        <w:t xml:space="preserve">These negative coefficients results are consistent with </w:t>
      </w:r>
      <w:r w:rsidR="00CB2A45" w:rsidRPr="00A31903">
        <w:rPr>
          <w:rFonts w:ascii="Times New Roman" w:hAnsi="Times New Roman" w:cs="Times New Roman"/>
          <w:noProof/>
        </w:rPr>
        <w:t>literature</w:t>
      </w:r>
      <w:r w:rsidR="00CB2A45" w:rsidRPr="00A31903">
        <w:rPr>
          <w:rFonts w:ascii="Times New Roman" w:hAnsi="Times New Roman" w:cs="Times New Roman"/>
        </w:rPr>
        <w:t xml:space="preserve"> </w:t>
      </w:r>
      <w:r w:rsidR="00CB2A45" w:rsidRPr="00A31903">
        <w:rPr>
          <w:rFonts w:ascii="Times New Roman" w:hAnsi="Times New Roman" w:cs="Times New Roman"/>
          <w:iCs/>
        </w:rPr>
        <w:t>(</w:t>
      </w:r>
      <w:proofErr w:type="spellStart"/>
      <w:r w:rsidR="00CB2A45" w:rsidRPr="00A31903">
        <w:rPr>
          <w:rFonts w:ascii="Times New Roman" w:hAnsi="Times New Roman" w:cs="Times New Roman"/>
          <w:iCs/>
        </w:rPr>
        <w:t>Ghura</w:t>
      </w:r>
      <w:proofErr w:type="spellEnd"/>
      <w:r w:rsidR="00CB2A45" w:rsidRPr="00A31903">
        <w:rPr>
          <w:rFonts w:ascii="Times New Roman" w:hAnsi="Times New Roman" w:cs="Times New Roman"/>
          <w:iCs/>
        </w:rPr>
        <w:t>, 1998</w:t>
      </w:r>
      <w:r w:rsidR="00CB2A45" w:rsidRPr="00A31903">
        <w:rPr>
          <w:rFonts w:ascii="Times New Roman" w:hAnsi="Times New Roman" w:cs="Times New Roman"/>
        </w:rPr>
        <w:t>;</w:t>
      </w:r>
      <w:r w:rsidR="00CB2A45" w:rsidRPr="00A31903">
        <w:rPr>
          <w:rFonts w:ascii="Times New Roman" w:hAnsi="Times New Roman" w:cs="Times New Roman"/>
          <w:lang w:val="en-GB"/>
        </w:rPr>
        <w:t xml:space="preserve"> </w:t>
      </w:r>
      <w:proofErr w:type="spellStart"/>
      <w:r w:rsidR="00CB2A45" w:rsidRPr="00A31903">
        <w:rPr>
          <w:rFonts w:ascii="Times New Roman" w:hAnsi="Times New Roman" w:cs="Times New Roman"/>
          <w:lang w:val="en-GB"/>
        </w:rPr>
        <w:t>Piancastell</w:t>
      </w:r>
      <w:proofErr w:type="spellEnd"/>
      <w:r w:rsidR="00CB2A45" w:rsidRPr="00A31903">
        <w:rPr>
          <w:rFonts w:ascii="Times New Roman" w:hAnsi="Times New Roman" w:cs="Times New Roman"/>
          <w:lang w:val="en-GB"/>
        </w:rPr>
        <w:t>, 2001;</w:t>
      </w:r>
      <w:r w:rsidR="00245B81" w:rsidRPr="00A31903">
        <w:rPr>
          <w:rFonts w:ascii="Times New Roman" w:hAnsi="Times New Roman" w:cs="Times New Roman"/>
          <w:lang w:val="en-GB"/>
        </w:rPr>
        <w:t xml:space="preserve"> </w:t>
      </w:r>
      <w:proofErr w:type="spellStart"/>
      <w:r w:rsidR="00CB2A45" w:rsidRPr="00A31903">
        <w:rPr>
          <w:rFonts w:ascii="Times New Roman" w:hAnsi="Times New Roman" w:cs="Times New Roman"/>
          <w:lang w:val="en-GB"/>
        </w:rPr>
        <w:t>Eltony</w:t>
      </w:r>
      <w:proofErr w:type="spellEnd"/>
      <w:r w:rsidR="00CB2A45" w:rsidRPr="00A31903">
        <w:rPr>
          <w:rFonts w:ascii="Times New Roman" w:hAnsi="Times New Roman" w:cs="Times New Roman"/>
          <w:lang w:val="en-GB"/>
        </w:rPr>
        <w:t xml:space="preserve">, 2002). In addition, the coefficient result of public debt stocks </w:t>
      </w:r>
      <w:r w:rsidR="00BF26CD" w:rsidRPr="00A31903">
        <w:rPr>
          <w:rFonts w:ascii="Times New Roman" w:hAnsi="Times New Roman" w:cs="Times New Roman"/>
          <w:lang w:val="en-GB"/>
        </w:rPr>
        <w:t>showing</w:t>
      </w:r>
      <w:r w:rsidR="00896074" w:rsidRPr="00A31903">
        <w:rPr>
          <w:rFonts w:ascii="Times New Roman" w:hAnsi="Times New Roman" w:cs="Times New Roman"/>
          <w:lang w:val="en-GB"/>
        </w:rPr>
        <w:t xml:space="preserve"> positive is </w:t>
      </w:r>
      <w:r w:rsidR="00CB2A45" w:rsidRPr="00A31903">
        <w:rPr>
          <w:rFonts w:ascii="Times New Roman" w:hAnsi="Times New Roman" w:cs="Times New Roman"/>
          <w:lang w:val="en-GB"/>
        </w:rPr>
        <w:t xml:space="preserve">consistent </w:t>
      </w:r>
      <w:r w:rsidR="00CB2A45" w:rsidRPr="00A31903">
        <w:rPr>
          <w:rFonts w:ascii="Times New Roman" w:hAnsi="Times New Roman" w:cs="Times New Roman"/>
          <w:lang w:val="en-GB"/>
        </w:rPr>
        <w:lastRenderedPageBreak/>
        <w:t xml:space="preserve">with prior literature </w:t>
      </w:r>
      <w:r w:rsidR="00CB2A45" w:rsidRPr="00A31903">
        <w:rPr>
          <w:rFonts w:ascii="Times New Roman" w:hAnsi="Times New Roman" w:cs="Times New Roman"/>
          <w:iCs/>
        </w:rPr>
        <w:t>(</w:t>
      </w:r>
      <w:proofErr w:type="spellStart"/>
      <w:r w:rsidR="00245B81" w:rsidRPr="00A31903">
        <w:rPr>
          <w:rFonts w:ascii="Times New Roman" w:hAnsi="Times New Roman" w:cs="Times New Roman"/>
          <w:lang w:val="en-GB"/>
        </w:rPr>
        <w:t>Ghura</w:t>
      </w:r>
      <w:proofErr w:type="spellEnd"/>
      <w:r w:rsidR="00245B81" w:rsidRPr="00A31903">
        <w:rPr>
          <w:rFonts w:ascii="Times New Roman" w:hAnsi="Times New Roman" w:cs="Times New Roman"/>
          <w:lang w:val="en-GB"/>
        </w:rPr>
        <w:t>, 1998;</w:t>
      </w:r>
      <w:r w:rsidR="00CB2A45" w:rsidRPr="00A31903">
        <w:rPr>
          <w:rFonts w:ascii="Times New Roman" w:hAnsi="Times New Roman" w:cs="Times New Roman"/>
          <w:lang w:val="en-GB"/>
        </w:rPr>
        <w:t xml:space="preserve"> </w:t>
      </w:r>
      <w:r w:rsidR="00CB2A45" w:rsidRPr="00A31903">
        <w:rPr>
          <w:rFonts w:ascii="Times New Roman" w:hAnsi="Times New Roman" w:cs="Times New Roman"/>
          <w:noProof/>
          <w:lang w:val="en-GB"/>
        </w:rPr>
        <w:t>Eltony</w:t>
      </w:r>
      <w:r w:rsidR="00CB2A45" w:rsidRPr="00A31903">
        <w:rPr>
          <w:rFonts w:ascii="Times New Roman" w:hAnsi="Times New Roman" w:cs="Times New Roman"/>
          <w:lang w:val="en-GB"/>
        </w:rPr>
        <w:t xml:space="preserve">, 2002). </w:t>
      </w:r>
      <w:r w:rsidR="00CB2A45" w:rsidRPr="00A31903">
        <w:rPr>
          <w:rFonts w:ascii="Times New Roman" w:hAnsi="Times New Roman" w:cs="Times New Roman"/>
        </w:rPr>
        <w:t xml:space="preserve">GDP per capita growth and services value added also positively impacts the taxable capacity and is consistent with prior </w:t>
      </w:r>
      <w:r w:rsidR="00CB2A45" w:rsidRPr="00A31903">
        <w:rPr>
          <w:rFonts w:ascii="Times New Roman" w:hAnsi="Times New Roman" w:cs="Times New Roman"/>
          <w:noProof/>
        </w:rPr>
        <w:t>literature</w:t>
      </w:r>
      <w:r w:rsidR="00CB2A45" w:rsidRPr="00A31903">
        <w:rPr>
          <w:rFonts w:ascii="Times New Roman" w:hAnsi="Times New Roman" w:cs="Times New Roman"/>
        </w:rPr>
        <w:t xml:space="preserve"> (</w:t>
      </w:r>
      <w:proofErr w:type="spellStart"/>
      <w:r w:rsidR="007471DF" w:rsidRPr="00A31903">
        <w:rPr>
          <w:rFonts w:ascii="Times New Roman" w:hAnsi="Times New Roman" w:cs="Times New Roman"/>
          <w:lang w:val="en-GB"/>
        </w:rPr>
        <w:t>Piancastelli</w:t>
      </w:r>
      <w:proofErr w:type="spellEnd"/>
      <w:r w:rsidR="007471DF" w:rsidRPr="00A31903">
        <w:rPr>
          <w:rFonts w:ascii="Times New Roman" w:hAnsi="Times New Roman" w:cs="Times New Roman"/>
          <w:lang w:val="en-GB"/>
        </w:rPr>
        <w:t xml:space="preserve">, 2001). </w:t>
      </w:r>
      <w:r w:rsidR="00CB2A45" w:rsidRPr="00A31903">
        <w:rPr>
          <w:rFonts w:ascii="Times New Roman" w:hAnsi="Times New Roman" w:cs="Times New Roman"/>
        </w:rPr>
        <w:t xml:space="preserve">On the other hand, a growing population of the working class could shore up tax revenues. </w:t>
      </w:r>
    </w:p>
    <w:p w:rsidR="00CB2A45" w:rsidRPr="00A31903" w:rsidRDefault="00CB2A45" w:rsidP="00CB2A45">
      <w:pPr>
        <w:tabs>
          <w:tab w:val="num" w:pos="720"/>
        </w:tabs>
        <w:autoSpaceDE w:val="0"/>
        <w:autoSpaceDN w:val="0"/>
        <w:adjustRightInd w:val="0"/>
        <w:spacing w:after="0" w:line="240" w:lineRule="auto"/>
        <w:jc w:val="both"/>
        <w:rPr>
          <w:rFonts w:ascii="Times New Roman" w:hAnsi="Times New Roman" w:cs="Times New Roman"/>
          <w:color w:val="000000"/>
          <w:shd w:val="clear" w:color="auto" w:fill="FFFFFF"/>
        </w:rPr>
      </w:pPr>
      <w:r w:rsidRPr="00A31903">
        <w:rPr>
          <w:rFonts w:ascii="Times New Roman" w:hAnsi="Times New Roman" w:cs="Times New Roman"/>
          <w:color w:val="FF0000"/>
        </w:rPr>
        <w:t xml:space="preserve">     </w:t>
      </w:r>
      <w:r w:rsidRPr="00A31903">
        <w:rPr>
          <w:rFonts w:ascii="Times New Roman" w:hAnsi="Times New Roman" w:cs="Times New Roman"/>
          <w:color w:val="000000"/>
          <w:shd w:val="clear" w:color="auto" w:fill="FFFFFF"/>
        </w:rPr>
        <w:t xml:space="preserve">The 1985 tax </w:t>
      </w:r>
      <w:r w:rsidR="002E1397" w:rsidRPr="00A31903">
        <w:rPr>
          <w:rFonts w:ascii="Times New Roman" w:hAnsi="Times New Roman" w:cs="Times New Roman"/>
          <w:color w:val="000000"/>
          <w:shd w:val="clear" w:color="auto" w:fill="FFFFFF"/>
        </w:rPr>
        <w:t xml:space="preserve">reforms in Ghana </w:t>
      </w:r>
      <w:proofErr w:type="gramStart"/>
      <w:r w:rsidR="002E1397" w:rsidRPr="00A31903">
        <w:rPr>
          <w:rFonts w:ascii="Times New Roman" w:hAnsi="Times New Roman" w:cs="Times New Roman"/>
          <w:color w:val="000000"/>
          <w:shd w:val="clear" w:color="auto" w:fill="FFFFFF"/>
        </w:rPr>
        <w:t>were</w:t>
      </w:r>
      <w:r w:rsidRPr="00A31903">
        <w:rPr>
          <w:rFonts w:ascii="Times New Roman" w:hAnsi="Times New Roman" w:cs="Times New Roman"/>
          <w:color w:val="000000"/>
          <w:shd w:val="clear" w:color="auto" w:fill="FFFFFF"/>
        </w:rPr>
        <w:t xml:space="preserve"> seen</w:t>
      </w:r>
      <w:proofErr w:type="gramEnd"/>
      <w:r w:rsidRPr="00A31903">
        <w:rPr>
          <w:rFonts w:ascii="Times New Roman" w:hAnsi="Times New Roman" w:cs="Times New Roman"/>
          <w:color w:val="000000"/>
          <w:shd w:val="clear" w:color="auto" w:fill="FFFFFF"/>
        </w:rPr>
        <w:t xml:space="preserve"> as a tool for accelerating growth, reducing poverty and reducing Ghana’s dependence on foreign aid. It </w:t>
      </w:r>
      <w:proofErr w:type="gramStart"/>
      <w:r w:rsidRPr="00A31903">
        <w:rPr>
          <w:rFonts w:ascii="Times New Roman" w:hAnsi="Times New Roman" w:cs="Times New Roman"/>
          <w:color w:val="000000"/>
          <w:shd w:val="clear" w:color="auto" w:fill="FFFFFF"/>
        </w:rPr>
        <w:t>was based</w:t>
      </w:r>
      <w:proofErr w:type="gramEnd"/>
      <w:r w:rsidRPr="00A31903">
        <w:rPr>
          <w:rFonts w:ascii="Times New Roman" w:hAnsi="Times New Roman" w:cs="Times New Roman"/>
          <w:color w:val="000000"/>
          <w:shd w:val="clear" w:color="auto" w:fill="FFFFFF"/>
        </w:rPr>
        <w:t xml:space="preserve"> on four key areas: taxes on income and property, taxes on domestic goods and services, international trade taxes and value-added tax (VAT). To ensure the achievement of its objectives multiple and some nuisance taxes were introduced (</w:t>
      </w:r>
      <w:proofErr w:type="spellStart"/>
      <w:r w:rsidRPr="00A31903">
        <w:rPr>
          <w:rFonts w:ascii="Times New Roman" w:hAnsi="Times New Roman" w:cs="Times New Roman"/>
          <w:color w:val="000000"/>
          <w:shd w:val="clear" w:color="auto" w:fill="FFFFFF"/>
        </w:rPr>
        <w:t>Owusu-Afriyie</w:t>
      </w:r>
      <w:proofErr w:type="spellEnd"/>
      <w:r w:rsidRPr="00A31903">
        <w:rPr>
          <w:rFonts w:ascii="Times New Roman" w:hAnsi="Times New Roman" w:cs="Times New Roman"/>
          <w:color w:val="000000"/>
          <w:shd w:val="clear" w:color="auto" w:fill="FFFFFF"/>
        </w:rPr>
        <w:t xml:space="preserve">, 2009; </w:t>
      </w:r>
      <w:proofErr w:type="spellStart"/>
      <w:r w:rsidRPr="00A31903">
        <w:rPr>
          <w:rFonts w:ascii="Times New Roman" w:hAnsi="Times New Roman" w:cs="Times New Roman"/>
          <w:color w:val="000000"/>
          <w:shd w:val="clear" w:color="auto" w:fill="FFFFFF"/>
        </w:rPr>
        <w:t>Kusi</w:t>
      </w:r>
      <w:proofErr w:type="spellEnd"/>
      <w:r w:rsidRPr="00A31903">
        <w:rPr>
          <w:rFonts w:ascii="Times New Roman" w:hAnsi="Times New Roman" w:cs="Times New Roman"/>
          <w:color w:val="000000"/>
          <w:shd w:val="clear" w:color="auto" w:fill="FFFFFF"/>
        </w:rPr>
        <w:t>, 1998). However, from the empirical results, the post-tax reform period has not generated the much-needed tax revenue to achieve its objectives in spite of the multiplicity of taxes.</w:t>
      </w:r>
    </w:p>
    <w:p w:rsidR="00CB2A45" w:rsidRPr="00A31903" w:rsidRDefault="00BF26CD" w:rsidP="00CB2A45">
      <w:pPr>
        <w:pStyle w:val="Heading3"/>
        <w:shd w:val="clear" w:color="auto" w:fill="FFFFFF"/>
        <w:spacing w:before="0" w:line="240" w:lineRule="auto"/>
        <w:jc w:val="both"/>
        <w:rPr>
          <w:rFonts w:ascii="Times New Roman" w:hAnsi="Times New Roman" w:cs="Times New Roman"/>
          <w:b w:val="0"/>
          <w:color w:val="auto"/>
        </w:rPr>
      </w:pPr>
      <w:r w:rsidRPr="00A31903">
        <w:rPr>
          <w:rFonts w:ascii="Times New Roman" w:hAnsi="Times New Roman" w:cs="Times New Roman"/>
          <w:b w:val="0"/>
          <w:color w:val="auto"/>
        </w:rPr>
        <w:t xml:space="preserve">      The empirical results</w:t>
      </w:r>
      <w:r w:rsidR="00CB2A45" w:rsidRPr="00A31903">
        <w:rPr>
          <w:rFonts w:ascii="Times New Roman" w:hAnsi="Times New Roman" w:cs="Times New Roman"/>
          <w:b w:val="0"/>
          <w:color w:val="auto"/>
        </w:rPr>
        <w:t xml:space="preserve"> show that Ghana has an average pre-tax reform and post-tax reform periods tax e</w:t>
      </w:r>
      <w:r w:rsidR="00191F59" w:rsidRPr="00A31903">
        <w:rPr>
          <w:rFonts w:ascii="Times New Roman" w:hAnsi="Times New Roman" w:cs="Times New Roman"/>
          <w:b w:val="0"/>
          <w:color w:val="auto"/>
        </w:rPr>
        <w:t xml:space="preserve">ffort indices of 0.95 and 0.64 </w:t>
      </w:r>
      <w:r w:rsidR="00CB2A45" w:rsidRPr="00A31903">
        <w:rPr>
          <w:rFonts w:ascii="Times New Roman" w:hAnsi="Times New Roman" w:cs="Times New Roman"/>
          <w:b w:val="0"/>
          <w:color w:val="auto"/>
        </w:rPr>
        <w:t xml:space="preserve">indices respectively. </w:t>
      </w:r>
      <w:proofErr w:type="gramStart"/>
      <w:r w:rsidR="00CB2A45" w:rsidRPr="00A31903">
        <w:rPr>
          <w:rFonts w:ascii="Times New Roman" w:hAnsi="Times New Roman" w:cs="Times New Roman"/>
          <w:b w:val="0"/>
          <w:color w:val="auto"/>
        </w:rPr>
        <w:t>Using the tax effort as the criterion to test the first hypothesis, since the average tax effort indices for both the pre-tax  and the post-tax dispensations are less than one</w:t>
      </w:r>
      <w:r w:rsidR="00896074" w:rsidRPr="00A31903">
        <w:rPr>
          <w:rFonts w:ascii="Times New Roman" w:hAnsi="Times New Roman" w:cs="Times New Roman"/>
          <w:b w:val="0"/>
          <w:color w:val="auto"/>
        </w:rPr>
        <w:t xml:space="preserve"> (</w:t>
      </w:r>
      <w:proofErr w:type="spellStart"/>
      <w:r w:rsidR="00896074" w:rsidRPr="00A31903">
        <w:rPr>
          <w:rFonts w:ascii="Times New Roman" w:hAnsi="Times New Roman" w:cs="Times New Roman"/>
          <w:b w:val="0"/>
          <w:color w:val="auto"/>
        </w:rPr>
        <w:t>Mertens</w:t>
      </w:r>
      <w:proofErr w:type="spellEnd"/>
      <w:r w:rsidR="00896074" w:rsidRPr="00A31903">
        <w:rPr>
          <w:rFonts w:ascii="Times New Roman" w:hAnsi="Times New Roman" w:cs="Times New Roman"/>
          <w:b w:val="0"/>
          <w:color w:val="auto"/>
        </w:rPr>
        <w:t>, 200</w:t>
      </w:r>
      <w:r w:rsidR="00245B81" w:rsidRPr="00A31903">
        <w:rPr>
          <w:rFonts w:ascii="Times New Roman" w:hAnsi="Times New Roman" w:cs="Times New Roman"/>
          <w:b w:val="0"/>
          <w:color w:val="auto"/>
        </w:rPr>
        <w:t xml:space="preserve">3; Begum, 2007; </w:t>
      </w:r>
      <w:proofErr w:type="spellStart"/>
      <w:r w:rsidR="00245B81" w:rsidRPr="00A31903">
        <w:rPr>
          <w:rFonts w:ascii="Times New Roman" w:hAnsi="Times New Roman" w:cs="Times New Roman"/>
          <w:b w:val="0"/>
          <w:color w:val="auto"/>
        </w:rPr>
        <w:t>Hoek</w:t>
      </w:r>
      <w:proofErr w:type="spellEnd"/>
      <w:r w:rsidR="00245B81" w:rsidRPr="00A31903">
        <w:rPr>
          <w:rFonts w:ascii="Times New Roman" w:hAnsi="Times New Roman" w:cs="Times New Roman"/>
          <w:b w:val="0"/>
          <w:color w:val="auto"/>
        </w:rPr>
        <w:t xml:space="preserve">, 2008; </w:t>
      </w:r>
      <w:r w:rsidR="00896074" w:rsidRPr="00A31903">
        <w:rPr>
          <w:rFonts w:ascii="Times New Roman" w:hAnsi="Times New Roman" w:cs="Times New Roman"/>
          <w:b w:val="0"/>
          <w:color w:val="auto"/>
        </w:rPr>
        <w:t xml:space="preserve">Le </w:t>
      </w:r>
      <w:r w:rsidR="00896074" w:rsidRPr="00A31903">
        <w:rPr>
          <w:rFonts w:ascii="Times New Roman" w:hAnsi="Times New Roman" w:cs="Times New Roman"/>
          <w:b w:val="0"/>
          <w:i/>
          <w:color w:val="auto"/>
        </w:rPr>
        <w:t>et al.</w:t>
      </w:r>
      <w:r w:rsidR="00896074" w:rsidRPr="00A31903">
        <w:rPr>
          <w:rFonts w:ascii="Times New Roman" w:hAnsi="Times New Roman" w:cs="Times New Roman"/>
          <w:b w:val="0"/>
          <w:color w:val="auto"/>
        </w:rPr>
        <w:t xml:space="preserve">, </w:t>
      </w:r>
      <w:r w:rsidR="00896074" w:rsidRPr="00A31903">
        <w:rPr>
          <w:rFonts w:ascii="Times New Roman" w:hAnsi="Times New Roman" w:cs="Times New Roman"/>
          <w:b w:val="0"/>
          <w:noProof/>
          <w:color w:val="auto"/>
        </w:rPr>
        <w:t>2008)</w:t>
      </w:r>
      <w:r w:rsidR="00CB2A45" w:rsidRPr="00A31903">
        <w:rPr>
          <w:rFonts w:ascii="Times New Roman" w:hAnsi="Times New Roman" w:cs="Times New Roman"/>
          <w:b w:val="0"/>
          <w:color w:val="auto"/>
        </w:rPr>
        <w:t>, the study concludes that Ghana’s taxable capacity has not been fully exploited, an indication that actual taxes collected were less than predicted taxes.</w:t>
      </w:r>
      <w:proofErr w:type="gramEnd"/>
      <w:r w:rsidR="00CB2A45" w:rsidRPr="00A31903">
        <w:rPr>
          <w:rFonts w:ascii="Times New Roman" w:hAnsi="Times New Roman" w:cs="Times New Roman"/>
          <w:b w:val="0"/>
          <w:color w:val="auto"/>
        </w:rPr>
        <w:t xml:space="preserve"> Hence, the study accepts the null hypothesis.</w:t>
      </w:r>
    </w:p>
    <w:p w:rsidR="00CB2A45" w:rsidRPr="00A31903" w:rsidRDefault="00CB2A45" w:rsidP="00CB2A45">
      <w:pPr>
        <w:autoSpaceDE w:val="0"/>
        <w:autoSpaceDN w:val="0"/>
        <w:adjustRightInd w:val="0"/>
        <w:spacing w:after="0" w:line="240" w:lineRule="auto"/>
        <w:jc w:val="both"/>
        <w:rPr>
          <w:rFonts w:ascii="Times New Roman" w:hAnsi="Times New Roman" w:cs="Times New Roman"/>
          <w:bCs/>
        </w:rPr>
      </w:pPr>
      <w:r w:rsidRPr="00A31903">
        <w:rPr>
          <w:rFonts w:ascii="Times New Roman" w:hAnsi="Times New Roman" w:cs="Times New Roman"/>
        </w:rPr>
        <w:t xml:space="preserve">    The study results also show the tax burden in Ghana has been increasing steadily over the years soon after the tax reforms. In 1985, the overall tax burden in Ghana was 9.37 and 15.01 in 1999 compared with 22.05 in 2007 before declining to 15.90 in 2008 and 19.30 in 2015. </w:t>
      </w:r>
      <w:r w:rsidRPr="00A31903">
        <w:rPr>
          <w:rFonts w:ascii="Times New Roman" w:hAnsi="Times New Roman" w:cs="Times New Roman"/>
          <w:lang w:val="en-GB"/>
        </w:rPr>
        <w:t xml:space="preserve">If the tax effort index is greater than one, it means that the tax burden exceeds the taxable capacity and vice versa. Using empirical results of post-tax </w:t>
      </w:r>
      <w:proofErr w:type="gramStart"/>
      <w:r w:rsidRPr="00A31903">
        <w:rPr>
          <w:rFonts w:ascii="Times New Roman" w:hAnsi="Times New Roman" w:cs="Times New Roman"/>
          <w:lang w:val="en-GB"/>
        </w:rPr>
        <w:t>reform period tax burden</w:t>
      </w:r>
      <w:proofErr w:type="gramEnd"/>
      <w:r w:rsidRPr="00A31903">
        <w:rPr>
          <w:rFonts w:ascii="Times New Roman" w:hAnsi="Times New Roman" w:cs="Times New Roman"/>
          <w:lang w:val="en-GB"/>
        </w:rPr>
        <w:t xml:space="preserve"> averaging 15.90 and the taxable capacity of 25.01 to test the second hypothesis, since the taxable capacity is greater than the tax burden, we conclude that the tax burden is </w:t>
      </w:r>
      <w:r w:rsidR="00E23F0C" w:rsidRPr="00A31903">
        <w:rPr>
          <w:rFonts w:ascii="Times New Roman" w:hAnsi="Times New Roman" w:cs="Times New Roman"/>
          <w:lang w:val="en-GB"/>
        </w:rPr>
        <w:t>low</w:t>
      </w:r>
      <w:r w:rsidRPr="00A31903">
        <w:rPr>
          <w:rFonts w:ascii="Times New Roman" w:hAnsi="Times New Roman" w:cs="Times New Roman"/>
          <w:lang w:val="en-GB"/>
        </w:rPr>
        <w:t>. T</w:t>
      </w:r>
      <w:r w:rsidRPr="00A31903">
        <w:rPr>
          <w:rFonts w:ascii="Times New Roman" w:hAnsi="Times New Roman" w:cs="Times New Roman"/>
          <w:bCs/>
        </w:rPr>
        <w:t>he study therefore fails to reject the null hypothesis, an implication that the tax burden is within the taxable capacity.</w:t>
      </w:r>
      <w:r w:rsidR="00BF2C00" w:rsidRPr="00A31903">
        <w:rPr>
          <w:rFonts w:ascii="Times New Roman" w:hAnsi="Times New Roman" w:cs="Times New Roman"/>
          <w:bCs/>
        </w:rPr>
        <w:t xml:space="preserve"> This low tax burden index suggests a fair tax system, which should evoke tax fairness perceptions of taxpayers. </w:t>
      </w:r>
    </w:p>
    <w:p w:rsidR="00BF26CD" w:rsidRPr="00A31903" w:rsidRDefault="00BF26CD" w:rsidP="00CB2A45">
      <w:pPr>
        <w:autoSpaceDE w:val="0"/>
        <w:autoSpaceDN w:val="0"/>
        <w:adjustRightInd w:val="0"/>
        <w:spacing w:after="0" w:line="240" w:lineRule="auto"/>
        <w:jc w:val="both"/>
        <w:rPr>
          <w:rFonts w:ascii="Times New Roman" w:hAnsi="Times New Roman" w:cs="Times New Roman"/>
          <w:bCs/>
        </w:rPr>
      </w:pPr>
      <w:r w:rsidRPr="00A31903">
        <w:rPr>
          <w:rFonts w:ascii="Times New Roman" w:hAnsi="Times New Roman" w:cs="Times New Roman"/>
        </w:rPr>
        <w:t xml:space="preserve">     Ghana has an average post-tax reform period (1985 to 2015) tax effort of 0.64, which is similar to </w:t>
      </w:r>
      <w:proofErr w:type="spellStart"/>
      <w:r w:rsidRPr="00A31903">
        <w:rPr>
          <w:rFonts w:ascii="Times New Roman" w:hAnsi="Times New Roman" w:cs="Times New Roman"/>
        </w:rPr>
        <w:t>Brafu-Insaidoo</w:t>
      </w:r>
      <w:proofErr w:type="spellEnd"/>
      <w:r w:rsidRPr="00A31903">
        <w:rPr>
          <w:rFonts w:ascii="Times New Roman" w:hAnsi="Times New Roman" w:cs="Times New Roman"/>
        </w:rPr>
        <w:t xml:space="preserve"> </w:t>
      </w:r>
      <w:r w:rsidR="00843E1E" w:rsidRPr="00A31903">
        <w:rPr>
          <w:rFonts w:ascii="Times New Roman" w:hAnsi="Times New Roman" w:cs="Times New Roman"/>
        </w:rPr>
        <w:t>and</w:t>
      </w:r>
      <w:r w:rsidRPr="00A31903">
        <w:rPr>
          <w:rFonts w:ascii="Times New Roman" w:hAnsi="Times New Roman" w:cs="Times New Roman"/>
        </w:rPr>
        <w:t xml:space="preserve"> </w:t>
      </w:r>
      <w:proofErr w:type="spellStart"/>
      <w:r w:rsidRPr="00A31903">
        <w:rPr>
          <w:rFonts w:ascii="Times New Roman" w:hAnsi="Times New Roman" w:cs="Times New Roman"/>
        </w:rPr>
        <w:t>Obeng</w:t>
      </w:r>
      <w:proofErr w:type="spellEnd"/>
      <w:r w:rsidRPr="00A31903">
        <w:rPr>
          <w:rFonts w:ascii="Times New Roman" w:hAnsi="Times New Roman" w:cs="Times New Roman"/>
        </w:rPr>
        <w:t xml:space="preserve"> (2016) who estimated </w:t>
      </w:r>
      <w:proofErr w:type="gramStart"/>
      <w:r w:rsidRPr="00A31903">
        <w:rPr>
          <w:rFonts w:ascii="Times New Roman" w:hAnsi="Times New Roman" w:cs="Times New Roman"/>
        </w:rPr>
        <w:t>average tax reform tax effort</w:t>
      </w:r>
      <w:proofErr w:type="gramEnd"/>
      <w:r w:rsidRPr="00A31903">
        <w:rPr>
          <w:rFonts w:ascii="Times New Roman" w:hAnsi="Times New Roman" w:cs="Times New Roman"/>
        </w:rPr>
        <w:t xml:space="preserve"> as 0.48 (1985 to 2014)</w:t>
      </w:r>
      <w:r w:rsidR="00E23F0C" w:rsidRPr="00A31903">
        <w:rPr>
          <w:rFonts w:ascii="Times New Roman" w:hAnsi="Times New Roman" w:cs="Times New Roman"/>
        </w:rPr>
        <w:t xml:space="preserve"> suggesting low tax efforts</w:t>
      </w:r>
      <w:r w:rsidRPr="00A31903">
        <w:rPr>
          <w:rFonts w:ascii="Times New Roman" w:hAnsi="Times New Roman" w:cs="Times New Roman"/>
          <w:lang w:val="en-GB"/>
        </w:rPr>
        <w:t>. The post-</w:t>
      </w:r>
      <w:r w:rsidRPr="00A31903">
        <w:rPr>
          <w:rFonts w:ascii="Times New Roman" w:hAnsi="Times New Roman" w:cs="Times New Roman"/>
        </w:rPr>
        <w:t xml:space="preserve">tax </w:t>
      </w:r>
      <w:proofErr w:type="gramStart"/>
      <w:r w:rsidRPr="00A31903">
        <w:rPr>
          <w:rFonts w:ascii="Times New Roman" w:hAnsi="Times New Roman" w:cs="Times New Roman"/>
        </w:rPr>
        <w:t>reform tax burden estimation</w:t>
      </w:r>
      <w:proofErr w:type="gramEnd"/>
      <w:r w:rsidRPr="00A31903">
        <w:rPr>
          <w:rFonts w:ascii="Times New Roman" w:hAnsi="Times New Roman" w:cs="Times New Roman"/>
        </w:rPr>
        <w:t xml:space="preserve"> of 15.90 is also similar to the 12.6 index they computed.</w:t>
      </w:r>
    </w:p>
    <w:p w:rsidR="00E23F0C" w:rsidRPr="00A31903" w:rsidRDefault="00E23F0C" w:rsidP="00E23F0C">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spellStart"/>
      <w:r w:rsidRPr="00A31903">
        <w:rPr>
          <w:rFonts w:ascii="Times New Roman" w:hAnsi="Times New Roman" w:cs="Times New Roman"/>
        </w:rPr>
        <w:t>Pessino</w:t>
      </w:r>
      <w:proofErr w:type="spellEnd"/>
      <w:r w:rsidRPr="00A31903">
        <w:rPr>
          <w:rFonts w:ascii="Times New Roman" w:hAnsi="Times New Roman" w:cs="Times New Roman"/>
        </w:rPr>
        <w:t xml:space="preserve"> </w:t>
      </w:r>
      <w:r w:rsidR="00843E1E" w:rsidRPr="00A31903">
        <w:rPr>
          <w:rFonts w:ascii="Times New Roman" w:hAnsi="Times New Roman" w:cs="Times New Roman"/>
        </w:rPr>
        <w:t>and</w:t>
      </w:r>
      <w:r w:rsidRPr="00A31903">
        <w:rPr>
          <w:rFonts w:ascii="Times New Roman" w:hAnsi="Times New Roman" w:cs="Times New Roman"/>
        </w:rPr>
        <w:t xml:space="preserve"> </w:t>
      </w:r>
      <w:proofErr w:type="spellStart"/>
      <w:r w:rsidRPr="00A31903">
        <w:rPr>
          <w:rFonts w:ascii="Times New Roman" w:hAnsi="Times New Roman" w:cs="Times New Roman"/>
        </w:rPr>
        <w:t>Fenochietto</w:t>
      </w:r>
      <w:proofErr w:type="spellEnd"/>
      <w:r w:rsidRPr="00A31903">
        <w:rPr>
          <w:rFonts w:ascii="Times New Roman" w:hAnsi="Times New Roman" w:cs="Times New Roman"/>
        </w:rPr>
        <w:t xml:space="preserve"> (2013) posit that </w:t>
      </w:r>
      <w:r w:rsidRPr="00A31903">
        <w:rPr>
          <w:rFonts w:ascii="Times New Roman" w:hAnsi="Times New Roman" w:cs="Times New Roman"/>
          <w:lang w:val="en-GB"/>
        </w:rPr>
        <w:t xml:space="preserve">high levels of exemptions and low tax rates explain, in part, why some developing countries have a low level of tax effort. In Uganda, </w:t>
      </w:r>
      <w:r w:rsidR="00D22079" w:rsidRPr="00A31903">
        <w:rPr>
          <w:rFonts w:ascii="Times New Roman" w:hAnsi="Times New Roman" w:cs="Times New Roman"/>
        </w:rPr>
        <w:t xml:space="preserve">Ali, </w:t>
      </w:r>
      <w:proofErr w:type="spellStart"/>
      <w:r w:rsidR="00D22079" w:rsidRPr="00A31903">
        <w:rPr>
          <w:rFonts w:ascii="Times New Roman" w:hAnsi="Times New Roman" w:cs="Times New Roman"/>
        </w:rPr>
        <w:t>Fjeldstad</w:t>
      </w:r>
      <w:proofErr w:type="spellEnd"/>
      <w:r w:rsidR="00843E1E" w:rsidRPr="00A31903">
        <w:rPr>
          <w:rFonts w:ascii="Times New Roman" w:hAnsi="Times New Roman" w:cs="Times New Roman"/>
        </w:rPr>
        <w:t>, and</w:t>
      </w:r>
      <w:r w:rsidR="00D22079" w:rsidRPr="00A31903">
        <w:rPr>
          <w:rFonts w:ascii="Times New Roman" w:hAnsi="Times New Roman" w:cs="Times New Roman"/>
        </w:rPr>
        <w:t xml:space="preserve"> </w:t>
      </w:r>
      <w:proofErr w:type="spellStart"/>
      <w:r w:rsidR="00D22079" w:rsidRPr="00A31903">
        <w:rPr>
          <w:rFonts w:ascii="Times New Roman" w:hAnsi="Times New Roman" w:cs="Times New Roman"/>
        </w:rPr>
        <w:t>Sjursen</w:t>
      </w:r>
      <w:proofErr w:type="spellEnd"/>
      <w:r w:rsidR="00D22079" w:rsidRPr="00A31903">
        <w:rPr>
          <w:rFonts w:ascii="Times New Roman" w:hAnsi="Times New Roman" w:cs="Times New Roman"/>
        </w:rPr>
        <w:t xml:space="preserve"> </w:t>
      </w:r>
      <w:r w:rsidRPr="00A31903">
        <w:rPr>
          <w:rFonts w:ascii="Times New Roman" w:hAnsi="Times New Roman" w:cs="Times New Roman"/>
        </w:rPr>
        <w:t xml:space="preserve">(2014) attributed the low tax efforts to low tax morale and </w:t>
      </w:r>
      <w:proofErr w:type="spellStart"/>
      <w:r w:rsidRPr="00A31903">
        <w:rPr>
          <w:rFonts w:ascii="Times New Roman" w:hAnsi="Times New Roman" w:cs="Times New Roman"/>
        </w:rPr>
        <w:t>Mawejje</w:t>
      </w:r>
      <w:proofErr w:type="spellEnd"/>
      <w:r w:rsidRPr="00A31903">
        <w:rPr>
          <w:rFonts w:ascii="Times New Roman" w:hAnsi="Times New Roman" w:cs="Times New Roman"/>
        </w:rPr>
        <w:t xml:space="preserve"> (2013) cited limited government investments in infrastructures that are critical to economic performance. Another reason for low tax efforts is the </w:t>
      </w:r>
      <w:proofErr w:type="gramStart"/>
      <w:r w:rsidRPr="00A31903">
        <w:rPr>
          <w:rFonts w:ascii="Times New Roman" w:hAnsi="Times New Roman" w:cs="Times New Roman"/>
        </w:rPr>
        <w:t>general public’s</w:t>
      </w:r>
      <w:proofErr w:type="gramEnd"/>
      <w:r w:rsidRPr="00A31903">
        <w:rPr>
          <w:rFonts w:ascii="Times New Roman" w:hAnsi="Times New Roman" w:cs="Times New Roman"/>
        </w:rPr>
        <w:t xml:space="preserve"> perception that the rampant corruption and mismanagement of public resources have hindered the delivery of value for money on public investments (</w:t>
      </w:r>
      <w:proofErr w:type="spellStart"/>
      <w:r w:rsidRPr="00A31903">
        <w:rPr>
          <w:rFonts w:ascii="Times New Roman" w:hAnsi="Times New Roman" w:cs="Times New Roman"/>
        </w:rPr>
        <w:t>AfDB</w:t>
      </w:r>
      <w:proofErr w:type="spellEnd"/>
      <w:r w:rsidRPr="00A31903">
        <w:rPr>
          <w:rFonts w:ascii="Times New Roman" w:hAnsi="Times New Roman" w:cs="Times New Roman"/>
        </w:rPr>
        <w:t xml:space="preserve"> 2010b).</w:t>
      </w:r>
    </w:p>
    <w:p w:rsidR="00E23F0C" w:rsidRPr="00A31903" w:rsidRDefault="00E23F0C" w:rsidP="00E23F0C">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Again Bird </w:t>
      </w:r>
      <w:r w:rsidRPr="00A31903">
        <w:rPr>
          <w:rFonts w:ascii="Times New Roman" w:hAnsi="Times New Roman" w:cs="Times New Roman"/>
          <w:i/>
        </w:rPr>
        <w:t>et al.</w:t>
      </w:r>
      <w:r w:rsidRPr="00A31903">
        <w:rPr>
          <w:rFonts w:ascii="Times New Roman" w:hAnsi="Times New Roman" w:cs="Times New Roman"/>
        </w:rPr>
        <w:t xml:space="preserve"> (2008) found that Latin American countries show consistently lower tax effort compared to other developing or transition countries. </w:t>
      </w:r>
      <w:r w:rsidR="00CF30EA" w:rsidRPr="00A31903">
        <w:rPr>
          <w:rFonts w:ascii="Times New Roman" w:hAnsi="Times New Roman" w:cs="Times New Roman"/>
        </w:rPr>
        <w:t>Performance in African countries shows</w:t>
      </w:r>
      <w:r w:rsidRPr="00A31903">
        <w:rPr>
          <w:rFonts w:ascii="Times New Roman" w:hAnsi="Times New Roman" w:cs="Times New Roman"/>
        </w:rPr>
        <w:t xml:space="preserve"> a mixed performance. Some countries collect as little as half while others collect up to 2 to 3 times what they </w:t>
      </w:r>
      <w:proofErr w:type="gramStart"/>
      <w:r w:rsidRPr="00A31903">
        <w:rPr>
          <w:rFonts w:ascii="Times New Roman" w:hAnsi="Times New Roman" w:cs="Times New Roman"/>
        </w:rPr>
        <w:t>would be expected</w:t>
      </w:r>
      <w:proofErr w:type="gramEnd"/>
      <w:r w:rsidRPr="00A31903">
        <w:rPr>
          <w:rFonts w:ascii="Times New Roman" w:hAnsi="Times New Roman" w:cs="Times New Roman"/>
        </w:rPr>
        <w:t xml:space="preserve"> to.</w:t>
      </w:r>
    </w:p>
    <w:p w:rsidR="005D710E" w:rsidRPr="00A31903" w:rsidRDefault="005D710E" w:rsidP="0019415D">
      <w:pPr>
        <w:tabs>
          <w:tab w:val="num" w:pos="720"/>
        </w:tabs>
        <w:autoSpaceDE w:val="0"/>
        <w:autoSpaceDN w:val="0"/>
        <w:adjustRightInd w:val="0"/>
        <w:spacing w:after="0" w:line="240" w:lineRule="auto"/>
        <w:jc w:val="both"/>
        <w:rPr>
          <w:rFonts w:ascii="Times New Roman" w:hAnsi="Times New Roman" w:cs="Times New Roman"/>
          <w:color w:val="FF0000"/>
        </w:rPr>
      </w:pPr>
    </w:p>
    <w:p w:rsidR="004D5A57" w:rsidRPr="00A31903" w:rsidRDefault="005C75E6" w:rsidP="0019415D">
      <w:pPr>
        <w:tabs>
          <w:tab w:val="num" w:pos="720"/>
        </w:tabs>
        <w:autoSpaceDE w:val="0"/>
        <w:autoSpaceDN w:val="0"/>
        <w:adjustRightInd w:val="0"/>
        <w:spacing w:after="0" w:line="240" w:lineRule="auto"/>
        <w:jc w:val="both"/>
        <w:rPr>
          <w:rFonts w:ascii="Times New Roman" w:hAnsi="Times New Roman" w:cs="Times New Roman"/>
          <w:b/>
          <w:bCs/>
        </w:rPr>
      </w:pPr>
      <w:r w:rsidRPr="00A31903">
        <w:rPr>
          <w:rFonts w:ascii="Times New Roman" w:hAnsi="Times New Roman" w:cs="Times New Roman"/>
          <w:b/>
          <w:bCs/>
        </w:rPr>
        <w:t>5.</w:t>
      </w:r>
      <w:r w:rsidR="00FD121B" w:rsidRPr="00A31903">
        <w:rPr>
          <w:rFonts w:ascii="Times New Roman" w:hAnsi="Times New Roman" w:cs="Times New Roman"/>
          <w:b/>
          <w:bCs/>
        </w:rPr>
        <w:t xml:space="preserve"> </w:t>
      </w:r>
      <w:r w:rsidR="001B4FA2" w:rsidRPr="00A31903">
        <w:rPr>
          <w:rFonts w:ascii="Times New Roman" w:hAnsi="Times New Roman" w:cs="Times New Roman"/>
          <w:b/>
          <w:bCs/>
        </w:rPr>
        <w:t xml:space="preserve">CONCLUSION </w:t>
      </w:r>
    </w:p>
    <w:p w:rsidR="001072C1" w:rsidRPr="00A31903" w:rsidRDefault="001072C1" w:rsidP="001072C1">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This paper </w:t>
      </w:r>
      <w:r w:rsidR="0065521B" w:rsidRPr="00A31903">
        <w:rPr>
          <w:rFonts w:ascii="Times New Roman" w:hAnsi="Times New Roman" w:cs="Times New Roman"/>
        </w:rPr>
        <w:t>applied the OLS regression</w:t>
      </w:r>
      <w:r w:rsidR="00A55B4B" w:rsidRPr="00A31903">
        <w:rPr>
          <w:rFonts w:ascii="Times New Roman" w:hAnsi="Times New Roman" w:cs="Times New Roman"/>
        </w:rPr>
        <w:t xml:space="preserve"> and a VAR model</w:t>
      </w:r>
      <w:r w:rsidR="0065521B" w:rsidRPr="00A31903">
        <w:rPr>
          <w:rFonts w:ascii="Times New Roman" w:hAnsi="Times New Roman" w:cs="Times New Roman"/>
        </w:rPr>
        <w:t xml:space="preserve"> to </w:t>
      </w:r>
      <w:r w:rsidRPr="00A31903">
        <w:rPr>
          <w:rFonts w:ascii="Times New Roman" w:hAnsi="Times New Roman" w:cs="Times New Roman"/>
        </w:rPr>
        <w:t xml:space="preserve">compute taxable capacity, tax effort and tax burden in Ghana </w:t>
      </w:r>
      <w:r w:rsidR="00E23F0C" w:rsidRPr="00A31903">
        <w:rPr>
          <w:rFonts w:ascii="Times New Roman" w:hAnsi="Times New Roman" w:cs="Times New Roman"/>
        </w:rPr>
        <w:t xml:space="preserve">with a view to </w:t>
      </w:r>
      <w:r w:rsidRPr="00A31903">
        <w:rPr>
          <w:rFonts w:ascii="Times New Roman" w:hAnsi="Times New Roman" w:cs="Times New Roman"/>
        </w:rPr>
        <w:t xml:space="preserve">assessing </w:t>
      </w:r>
      <w:r w:rsidR="00E23F0C" w:rsidRPr="00A31903">
        <w:rPr>
          <w:rFonts w:ascii="Times New Roman" w:hAnsi="Times New Roman" w:cs="Times New Roman"/>
        </w:rPr>
        <w:t xml:space="preserve">tax administration efficiency and </w:t>
      </w:r>
      <w:r w:rsidRPr="00A31903">
        <w:rPr>
          <w:rFonts w:ascii="Times New Roman" w:hAnsi="Times New Roman" w:cs="Times New Roman"/>
        </w:rPr>
        <w:t>tax fairness perceptions</w:t>
      </w:r>
      <w:r w:rsidR="00677CB8" w:rsidRPr="00A31903">
        <w:rPr>
          <w:rFonts w:ascii="Times New Roman" w:hAnsi="Times New Roman" w:cs="Times New Roman"/>
        </w:rPr>
        <w:t xml:space="preserve">. </w:t>
      </w:r>
      <w:r w:rsidRPr="00A31903">
        <w:rPr>
          <w:rFonts w:ascii="Times New Roman" w:hAnsi="Times New Roman" w:cs="Times New Roman"/>
        </w:rPr>
        <w:t xml:space="preserve">The study tested two hypotheses: </w:t>
      </w:r>
    </w:p>
    <w:p w:rsidR="001072C1" w:rsidRPr="00A31903" w:rsidRDefault="001072C1" w:rsidP="001072C1">
      <w:pPr>
        <w:pStyle w:val="ListParagraph"/>
        <w:numPr>
          <w:ilvl w:val="0"/>
          <w:numId w:val="16"/>
        </w:num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The taxable capacity (tax potential) in Ghana is more than the actual tax revenue, and</w:t>
      </w:r>
    </w:p>
    <w:p w:rsidR="001072C1" w:rsidRPr="00A31903" w:rsidRDefault="001072C1" w:rsidP="001072C1">
      <w:pPr>
        <w:pStyle w:val="ListParagraph"/>
        <w:numPr>
          <w:ilvl w:val="0"/>
          <w:numId w:val="16"/>
        </w:num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The overall tax burden in Ghana is high.</w:t>
      </w:r>
    </w:p>
    <w:p w:rsidR="00A724AD" w:rsidRPr="00A31903" w:rsidRDefault="0019415D" w:rsidP="0019415D">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bCs/>
        </w:rPr>
        <w:t xml:space="preserve">The test of the first hypothesis revealed </w:t>
      </w:r>
      <w:r w:rsidRPr="00A31903">
        <w:rPr>
          <w:rFonts w:ascii="Times New Roman" w:hAnsi="Times New Roman" w:cs="Times New Roman"/>
        </w:rPr>
        <w:t xml:space="preserve">that the revenue authority is collecting less tax revenue than it ought to, </w:t>
      </w:r>
      <w:r w:rsidR="0065521B" w:rsidRPr="00A31903">
        <w:rPr>
          <w:rFonts w:ascii="Times New Roman" w:hAnsi="Times New Roman" w:cs="Times New Roman"/>
        </w:rPr>
        <w:t>indicating</w:t>
      </w:r>
      <w:r w:rsidRPr="00A31903">
        <w:rPr>
          <w:rFonts w:ascii="Times New Roman" w:hAnsi="Times New Roman" w:cs="Times New Roman"/>
        </w:rPr>
        <w:t xml:space="preserve"> </w:t>
      </w:r>
      <w:r w:rsidR="00976D3D" w:rsidRPr="00A31903">
        <w:rPr>
          <w:rFonts w:ascii="Times New Roman" w:hAnsi="Times New Roman" w:cs="Times New Roman"/>
        </w:rPr>
        <w:t>untapped</w:t>
      </w:r>
      <w:r w:rsidRPr="00A31903">
        <w:rPr>
          <w:rFonts w:ascii="Times New Roman" w:hAnsi="Times New Roman" w:cs="Times New Roman"/>
        </w:rPr>
        <w:t xml:space="preserve"> tax revenue potential.</w:t>
      </w:r>
      <w:r w:rsidRPr="00A31903">
        <w:rPr>
          <w:rFonts w:ascii="Times New Roman" w:hAnsi="Times New Roman" w:cs="Times New Roman"/>
          <w:bCs/>
        </w:rPr>
        <w:t xml:space="preserve"> The second hypothesis </w:t>
      </w:r>
      <w:r w:rsidR="0065521B" w:rsidRPr="00A31903">
        <w:rPr>
          <w:rFonts w:ascii="Times New Roman" w:hAnsi="Times New Roman" w:cs="Times New Roman"/>
          <w:bCs/>
        </w:rPr>
        <w:t>revealed</w:t>
      </w:r>
      <w:r w:rsidRPr="00A31903">
        <w:rPr>
          <w:rFonts w:ascii="Times New Roman" w:hAnsi="Times New Roman" w:cs="Times New Roman"/>
          <w:bCs/>
        </w:rPr>
        <w:t xml:space="preserve"> that tax burden is within the taxable capacity or the taxpayers’ ability to pay</w:t>
      </w:r>
      <w:r w:rsidR="0065521B" w:rsidRPr="00A31903">
        <w:rPr>
          <w:rFonts w:ascii="Times New Roman" w:hAnsi="Times New Roman" w:cs="Times New Roman"/>
          <w:bCs/>
        </w:rPr>
        <w:t xml:space="preserve"> </w:t>
      </w:r>
      <w:r w:rsidR="00C65257" w:rsidRPr="00A31903">
        <w:rPr>
          <w:rFonts w:ascii="Times New Roman" w:hAnsi="Times New Roman" w:cs="Times New Roman"/>
        </w:rPr>
        <w:t>because of low tax efforts, thus the overall tax burden in Ghana is not high.</w:t>
      </w:r>
      <w:r w:rsidR="005C2FDD" w:rsidRPr="00A31903">
        <w:rPr>
          <w:rFonts w:ascii="Times New Roman" w:hAnsi="Times New Roman" w:cs="Times New Roman"/>
        </w:rPr>
        <w:t xml:space="preserve"> </w:t>
      </w:r>
    </w:p>
    <w:p w:rsidR="0019415D" w:rsidRPr="00A31903" w:rsidRDefault="00A724AD" w:rsidP="0019415D">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lang w:val="en-GB"/>
        </w:rPr>
        <w:t xml:space="preserve">     </w:t>
      </w:r>
      <w:r w:rsidRPr="00A31903">
        <w:rPr>
          <w:rFonts w:ascii="Times New Roman" w:hAnsi="Times New Roman" w:cs="Times New Roman"/>
        </w:rPr>
        <w:t xml:space="preserve">We </w:t>
      </w:r>
      <w:r w:rsidR="0019415D" w:rsidRPr="00A31903">
        <w:rPr>
          <w:rFonts w:ascii="Times New Roman" w:hAnsi="Times New Roman" w:cs="Times New Roman"/>
        </w:rPr>
        <w:t>conclude that post-tax reforms have not generated the much-needed revenue because of low tax efforts</w:t>
      </w:r>
      <w:r w:rsidR="0065521B" w:rsidRPr="00A31903">
        <w:rPr>
          <w:rFonts w:ascii="Times New Roman" w:hAnsi="Times New Roman" w:cs="Times New Roman"/>
        </w:rPr>
        <w:t xml:space="preserve"> and thereby </w:t>
      </w:r>
      <w:r w:rsidRPr="00A31903">
        <w:rPr>
          <w:rFonts w:ascii="Times New Roman" w:hAnsi="Times New Roman" w:cs="Times New Roman"/>
        </w:rPr>
        <w:t>confirming</w:t>
      </w:r>
      <w:r w:rsidR="0065521B" w:rsidRPr="00A31903">
        <w:rPr>
          <w:rFonts w:ascii="Times New Roman" w:hAnsi="Times New Roman" w:cs="Times New Roman"/>
        </w:rPr>
        <w:t xml:space="preserve"> the </w:t>
      </w:r>
      <w:proofErr w:type="gramStart"/>
      <w:r w:rsidR="0065521B" w:rsidRPr="00A31903">
        <w:rPr>
          <w:rFonts w:ascii="Times New Roman" w:hAnsi="Times New Roman" w:cs="Times New Roman"/>
        </w:rPr>
        <w:t>tax administration inefficiency argument</w:t>
      </w:r>
      <w:proofErr w:type="gramEnd"/>
      <w:r w:rsidR="0019415D" w:rsidRPr="00A31903">
        <w:rPr>
          <w:rFonts w:ascii="Times New Roman" w:hAnsi="Times New Roman" w:cs="Times New Roman"/>
        </w:rPr>
        <w:t xml:space="preserve">. </w:t>
      </w:r>
      <w:r w:rsidRPr="00A31903">
        <w:rPr>
          <w:rFonts w:ascii="Times New Roman" w:hAnsi="Times New Roman" w:cs="Times New Roman"/>
        </w:rPr>
        <w:t xml:space="preserve">On the other hand, </w:t>
      </w:r>
      <w:r w:rsidR="005C2FDD" w:rsidRPr="00A31903">
        <w:rPr>
          <w:rFonts w:ascii="Times New Roman" w:hAnsi="Times New Roman" w:cs="Times New Roman"/>
          <w:bCs/>
        </w:rPr>
        <w:t xml:space="preserve">the low tax burden index suggests a fair tax system. This is however </w:t>
      </w:r>
      <w:r w:rsidRPr="00A31903">
        <w:rPr>
          <w:rFonts w:ascii="Times New Roman" w:hAnsi="Times New Roman" w:cs="Times New Roman"/>
        </w:rPr>
        <w:t xml:space="preserve">at variance with </w:t>
      </w:r>
      <w:r w:rsidR="00E23F0C" w:rsidRPr="00A31903">
        <w:rPr>
          <w:rFonts w:ascii="Times New Roman" w:hAnsi="Times New Roman" w:cs="Times New Roman"/>
        </w:rPr>
        <w:t>taxpayers’</w:t>
      </w:r>
      <w:r w:rsidRPr="00A31903">
        <w:rPr>
          <w:rFonts w:ascii="Times New Roman" w:hAnsi="Times New Roman" w:cs="Times New Roman"/>
        </w:rPr>
        <w:t xml:space="preserve"> perceptions of tax </w:t>
      </w:r>
      <w:r w:rsidR="00677CB8" w:rsidRPr="00A31903">
        <w:rPr>
          <w:rFonts w:ascii="Times New Roman" w:hAnsi="Times New Roman" w:cs="Times New Roman"/>
        </w:rPr>
        <w:t xml:space="preserve">system </w:t>
      </w:r>
      <w:r w:rsidRPr="00A31903">
        <w:rPr>
          <w:rFonts w:ascii="Times New Roman" w:hAnsi="Times New Roman" w:cs="Times New Roman"/>
        </w:rPr>
        <w:t>unfairness</w:t>
      </w:r>
      <w:r w:rsidR="00677CB8" w:rsidRPr="00A31903">
        <w:rPr>
          <w:rFonts w:ascii="Times New Roman" w:hAnsi="Times New Roman" w:cs="Times New Roman"/>
        </w:rPr>
        <w:t xml:space="preserve"> in Ghana</w:t>
      </w:r>
      <w:r w:rsidRPr="00A31903">
        <w:rPr>
          <w:rFonts w:ascii="Times New Roman" w:hAnsi="Times New Roman" w:cs="Times New Roman"/>
        </w:rPr>
        <w:t>.</w:t>
      </w:r>
      <w:r w:rsidR="005C2FDD" w:rsidRPr="00A31903">
        <w:rPr>
          <w:rFonts w:ascii="Times New Roman" w:hAnsi="Times New Roman" w:cs="Times New Roman"/>
        </w:rPr>
        <w:t xml:space="preserve"> </w:t>
      </w:r>
    </w:p>
    <w:p w:rsidR="00CE21D2" w:rsidRPr="00A31903" w:rsidRDefault="0019415D" w:rsidP="0019415D">
      <w:pPr>
        <w:autoSpaceDE w:val="0"/>
        <w:autoSpaceDN w:val="0"/>
        <w:adjustRightInd w:val="0"/>
        <w:spacing w:after="0" w:line="240" w:lineRule="auto"/>
        <w:jc w:val="both"/>
        <w:rPr>
          <w:rFonts w:ascii="Times New Roman" w:hAnsi="Times New Roman" w:cs="Times New Roman"/>
          <w:color w:val="FF0000"/>
        </w:rPr>
      </w:pPr>
      <w:r w:rsidRPr="00A31903">
        <w:rPr>
          <w:rFonts w:ascii="Times New Roman" w:hAnsi="Times New Roman" w:cs="Times New Roman"/>
        </w:rPr>
        <w:lastRenderedPageBreak/>
        <w:t xml:space="preserve">     </w:t>
      </w:r>
      <w:r w:rsidRPr="00A31903">
        <w:rPr>
          <w:rFonts w:ascii="Times New Roman" w:hAnsi="Times New Roman" w:cs="Times New Roman"/>
          <w:lang w:val="en-GB"/>
        </w:rPr>
        <w:t xml:space="preserve">Finally, the results revealed that tax burden moves </w:t>
      </w:r>
      <w:proofErr w:type="spellStart"/>
      <w:r w:rsidR="004205A7" w:rsidRPr="00A31903">
        <w:rPr>
          <w:rFonts w:ascii="Times New Roman" w:hAnsi="Times New Roman" w:cs="Times New Roman"/>
          <w:i/>
          <w:lang w:val="en-GB"/>
        </w:rPr>
        <w:t>pari</w:t>
      </w:r>
      <w:proofErr w:type="spellEnd"/>
      <w:r w:rsidR="004205A7" w:rsidRPr="00A31903">
        <w:rPr>
          <w:rFonts w:ascii="Times New Roman" w:hAnsi="Times New Roman" w:cs="Times New Roman"/>
          <w:i/>
          <w:lang w:val="en-GB"/>
        </w:rPr>
        <w:t xml:space="preserve"> </w:t>
      </w:r>
      <w:proofErr w:type="spellStart"/>
      <w:r w:rsidR="004205A7" w:rsidRPr="00A31903">
        <w:rPr>
          <w:rFonts w:ascii="Times New Roman" w:hAnsi="Times New Roman" w:cs="Times New Roman"/>
          <w:i/>
          <w:lang w:val="en-GB"/>
        </w:rPr>
        <w:t>passu</w:t>
      </w:r>
      <w:proofErr w:type="spellEnd"/>
      <w:r w:rsidRPr="00A31903">
        <w:rPr>
          <w:rFonts w:ascii="Times New Roman" w:hAnsi="Times New Roman" w:cs="Times New Roman"/>
          <w:lang w:val="en-GB"/>
        </w:rPr>
        <w:t xml:space="preserve"> with the tax effort, which implies that when the tax collection effort exceeds </w:t>
      </w:r>
      <w:r w:rsidR="003742F3" w:rsidRPr="00A31903">
        <w:rPr>
          <w:rFonts w:ascii="Times New Roman" w:hAnsi="Times New Roman" w:cs="Times New Roman"/>
          <w:lang w:val="en-GB"/>
        </w:rPr>
        <w:t>unity,</w:t>
      </w:r>
      <w:r w:rsidRPr="00A31903">
        <w:rPr>
          <w:rFonts w:ascii="Times New Roman" w:hAnsi="Times New Roman" w:cs="Times New Roman"/>
          <w:lang w:val="en-GB"/>
        </w:rPr>
        <w:t xml:space="preserve"> the tax burden exceeds the taxable capacity. The</w:t>
      </w:r>
      <w:r w:rsidR="00A724AD" w:rsidRPr="00A31903">
        <w:rPr>
          <w:rFonts w:ascii="Times New Roman" w:hAnsi="Times New Roman" w:cs="Times New Roman"/>
          <w:lang w:val="en-GB"/>
        </w:rPr>
        <w:t xml:space="preserve"> empirical </w:t>
      </w:r>
      <w:r w:rsidR="003C0E95" w:rsidRPr="00A31903">
        <w:rPr>
          <w:rFonts w:ascii="Times New Roman" w:hAnsi="Times New Roman" w:cs="Times New Roman"/>
          <w:lang w:val="en-GB"/>
        </w:rPr>
        <w:t>results classify</w:t>
      </w:r>
      <w:r w:rsidR="00A724AD" w:rsidRPr="00A31903">
        <w:rPr>
          <w:rFonts w:ascii="Times New Roman" w:hAnsi="Times New Roman" w:cs="Times New Roman"/>
          <w:lang w:val="en-GB"/>
        </w:rPr>
        <w:t xml:space="preserve"> Ghana as </w:t>
      </w:r>
      <w:r w:rsidR="00A724AD" w:rsidRPr="00A31903">
        <w:rPr>
          <w:rFonts w:ascii="Times New Roman" w:hAnsi="Times New Roman" w:cs="Times New Roman"/>
        </w:rPr>
        <w:t>a high taxable capacity and low tax burden country</w:t>
      </w:r>
      <w:r w:rsidR="00A724AD" w:rsidRPr="00A31903">
        <w:rPr>
          <w:rFonts w:ascii="Times New Roman" w:hAnsi="Times New Roman" w:cs="Times New Roman"/>
          <w:lang w:val="en-GB"/>
        </w:rPr>
        <w:t xml:space="preserve"> on </w:t>
      </w:r>
      <w:proofErr w:type="spellStart"/>
      <w:r w:rsidR="00A724AD" w:rsidRPr="00A31903">
        <w:rPr>
          <w:rFonts w:ascii="Times New Roman" w:hAnsi="Times New Roman" w:cs="Times New Roman"/>
        </w:rPr>
        <w:t>Toye</w:t>
      </w:r>
      <w:r w:rsidR="00E23F0C" w:rsidRPr="00A31903">
        <w:rPr>
          <w:rFonts w:ascii="Times New Roman" w:hAnsi="Times New Roman" w:cs="Times New Roman"/>
        </w:rPr>
        <w:t>’s</w:t>
      </w:r>
      <w:proofErr w:type="spellEnd"/>
      <w:r w:rsidR="00E23F0C" w:rsidRPr="00A31903">
        <w:rPr>
          <w:rFonts w:ascii="Times New Roman" w:hAnsi="Times New Roman" w:cs="Times New Roman"/>
        </w:rPr>
        <w:t xml:space="preserve"> typology matrix (see Table </w:t>
      </w:r>
      <w:proofErr w:type="gramStart"/>
      <w:r w:rsidR="00E23F0C" w:rsidRPr="00A31903">
        <w:rPr>
          <w:rFonts w:ascii="Times New Roman" w:hAnsi="Times New Roman" w:cs="Times New Roman"/>
        </w:rPr>
        <w:t>I</w:t>
      </w:r>
      <w:proofErr w:type="gramEnd"/>
      <w:r w:rsidR="00E23F0C" w:rsidRPr="00A31903">
        <w:rPr>
          <w:rFonts w:ascii="Times New Roman" w:hAnsi="Times New Roman" w:cs="Times New Roman"/>
        </w:rPr>
        <w:t>)</w:t>
      </w:r>
      <w:r w:rsidR="00A724AD" w:rsidRPr="00A31903">
        <w:rPr>
          <w:rFonts w:ascii="Times New Roman" w:hAnsi="Times New Roman" w:cs="Times New Roman"/>
        </w:rPr>
        <w:t>.</w:t>
      </w:r>
      <w:r w:rsidRPr="00A31903">
        <w:rPr>
          <w:rFonts w:ascii="Times New Roman" w:hAnsi="Times New Roman" w:cs="Times New Roman"/>
          <w:color w:val="FF0000"/>
        </w:rPr>
        <w:t xml:space="preserve"> </w:t>
      </w:r>
    </w:p>
    <w:p w:rsidR="0019415D" w:rsidRPr="00A31903" w:rsidRDefault="00CE21D2" w:rsidP="0019415D">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E23F0C" w:rsidRPr="00A31903">
        <w:rPr>
          <w:rFonts w:ascii="Times New Roman" w:hAnsi="Times New Roman" w:cs="Times New Roman"/>
        </w:rPr>
        <w:t>The implication is that, having knowledge of</w:t>
      </w:r>
      <w:r w:rsidRPr="00A31903">
        <w:rPr>
          <w:rFonts w:ascii="Times New Roman" w:hAnsi="Times New Roman" w:cs="Times New Roman"/>
        </w:rPr>
        <w:t xml:space="preserve"> a country’s taxable capacity and tax burden matrix will aid tax reform strategies</w:t>
      </w:r>
      <w:r w:rsidR="006C6D5F" w:rsidRPr="00A31903">
        <w:rPr>
          <w:rFonts w:ascii="Times New Roman" w:hAnsi="Times New Roman" w:cs="Times New Roman"/>
        </w:rPr>
        <w:t xml:space="preserve"> and address taxpayers’ perceptions challenges</w:t>
      </w:r>
      <w:r w:rsidRPr="00A31903">
        <w:rPr>
          <w:rFonts w:ascii="Times New Roman" w:hAnsi="Times New Roman" w:cs="Times New Roman"/>
        </w:rPr>
        <w:t>. This will ensure that the right policies are implemented to achieve maximum</w:t>
      </w:r>
      <w:r w:rsidR="00E23F0C" w:rsidRPr="00A31903">
        <w:rPr>
          <w:rFonts w:ascii="Times New Roman" w:hAnsi="Times New Roman" w:cs="Times New Roman"/>
        </w:rPr>
        <w:t xml:space="preserve"> tax</w:t>
      </w:r>
      <w:r w:rsidRPr="00A31903">
        <w:rPr>
          <w:rFonts w:ascii="Times New Roman" w:hAnsi="Times New Roman" w:cs="Times New Roman"/>
        </w:rPr>
        <w:t xml:space="preserve"> revenue</w:t>
      </w:r>
      <w:r w:rsidR="00BE63F4" w:rsidRPr="00A31903">
        <w:rPr>
          <w:rFonts w:ascii="Times New Roman" w:hAnsi="Times New Roman" w:cs="Times New Roman"/>
        </w:rPr>
        <w:t>s</w:t>
      </w:r>
      <w:r w:rsidRPr="00A31903">
        <w:rPr>
          <w:rFonts w:ascii="Times New Roman" w:hAnsi="Times New Roman" w:cs="Times New Roman"/>
        </w:rPr>
        <w:t xml:space="preserve"> for sustainable </w:t>
      </w:r>
      <w:r w:rsidR="005C7E2A" w:rsidRPr="00A31903">
        <w:rPr>
          <w:rFonts w:ascii="Times New Roman" w:hAnsi="Times New Roman" w:cs="Times New Roman"/>
        </w:rPr>
        <w:t xml:space="preserve">development, which could support the </w:t>
      </w:r>
      <w:r w:rsidR="005C7E2A" w:rsidRPr="00A31903">
        <w:rPr>
          <w:rFonts w:ascii="Times New Roman" w:hAnsi="Times New Roman" w:cs="Times New Roman"/>
          <w:i/>
        </w:rPr>
        <w:t xml:space="preserve">Ghana </w:t>
      </w:r>
      <w:proofErr w:type="gramStart"/>
      <w:r w:rsidR="005C7E2A" w:rsidRPr="00A31903">
        <w:rPr>
          <w:rFonts w:ascii="Times New Roman" w:hAnsi="Times New Roman" w:cs="Times New Roman"/>
          <w:i/>
        </w:rPr>
        <w:t>Beyond</w:t>
      </w:r>
      <w:proofErr w:type="gramEnd"/>
      <w:r w:rsidR="005C7E2A" w:rsidRPr="00A31903">
        <w:rPr>
          <w:rFonts w:ascii="Times New Roman" w:hAnsi="Times New Roman" w:cs="Times New Roman"/>
          <w:i/>
        </w:rPr>
        <w:t xml:space="preserve"> Aid</w:t>
      </w:r>
      <w:r w:rsidR="005C7E2A" w:rsidRPr="00A31903">
        <w:rPr>
          <w:rFonts w:ascii="Times New Roman" w:hAnsi="Times New Roman" w:cs="Times New Roman"/>
        </w:rPr>
        <w:t xml:space="preserve"> agenda</w:t>
      </w:r>
    </w:p>
    <w:p w:rsidR="004D5A57" w:rsidRDefault="003742F3" w:rsidP="00302022">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
    <w:p w:rsidR="00A67249" w:rsidRPr="00A31903" w:rsidRDefault="00A67249" w:rsidP="00302022">
      <w:pPr>
        <w:autoSpaceDE w:val="0"/>
        <w:autoSpaceDN w:val="0"/>
        <w:adjustRightInd w:val="0"/>
        <w:spacing w:after="0" w:line="240" w:lineRule="auto"/>
        <w:jc w:val="both"/>
        <w:rPr>
          <w:rFonts w:ascii="Times New Roman" w:hAnsi="Times New Roman" w:cs="Times New Roman"/>
          <w:b/>
          <w:bCs/>
        </w:rPr>
      </w:pPr>
    </w:p>
    <w:p w:rsidR="004A40C2" w:rsidRPr="00A31903" w:rsidRDefault="004D5A57" w:rsidP="00302022">
      <w:pPr>
        <w:autoSpaceDE w:val="0"/>
        <w:autoSpaceDN w:val="0"/>
        <w:adjustRightInd w:val="0"/>
        <w:spacing w:after="0" w:line="240" w:lineRule="auto"/>
        <w:jc w:val="both"/>
        <w:rPr>
          <w:rFonts w:ascii="Times New Roman" w:hAnsi="Times New Roman" w:cs="Times New Roman"/>
          <w:b/>
          <w:bCs/>
          <w:i/>
        </w:rPr>
      </w:pPr>
      <w:r w:rsidRPr="00A31903">
        <w:rPr>
          <w:rFonts w:ascii="Times New Roman" w:hAnsi="Times New Roman" w:cs="Times New Roman"/>
          <w:b/>
          <w:bCs/>
          <w:i/>
        </w:rPr>
        <w:t>5.1</w:t>
      </w:r>
      <w:r w:rsidRPr="00A31903">
        <w:rPr>
          <w:rFonts w:ascii="Times New Roman" w:hAnsi="Times New Roman" w:cs="Times New Roman"/>
          <w:b/>
          <w:bCs/>
        </w:rPr>
        <w:t xml:space="preserve"> </w:t>
      </w:r>
      <w:r w:rsidRPr="00A31903">
        <w:rPr>
          <w:rFonts w:ascii="Times New Roman" w:hAnsi="Times New Roman" w:cs="Times New Roman"/>
          <w:b/>
          <w:bCs/>
          <w:i/>
        </w:rPr>
        <w:t>C</w:t>
      </w:r>
      <w:r w:rsidR="00E2792C" w:rsidRPr="00A31903">
        <w:rPr>
          <w:rFonts w:ascii="Times New Roman" w:hAnsi="Times New Roman" w:cs="Times New Roman"/>
          <w:b/>
          <w:bCs/>
          <w:i/>
        </w:rPr>
        <w:t xml:space="preserve">ontribution of </w:t>
      </w:r>
      <w:r w:rsidR="003959DD" w:rsidRPr="00A31903">
        <w:rPr>
          <w:rFonts w:ascii="Times New Roman" w:hAnsi="Times New Roman" w:cs="Times New Roman"/>
          <w:b/>
          <w:bCs/>
          <w:i/>
        </w:rPr>
        <w:t>s</w:t>
      </w:r>
      <w:r w:rsidR="00421B39" w:rsidRPr="00A31903">
        <w:rPr>
          <w:rFonts w:ascii="Times New Roman" w:hAnsi="Times New Roman" w:cs="Times New Roman"/>
          <w:b/>
          <w:bCs/>
          <w:i/>
        </w:rPr>
        <w:t>tudy</w:t>
      </w:r>
    </w:p>
    <w:p w:rsidR="00431598" w:rsidRPr="00A31903" w:rsidRDefault="00431598" w:rsidP="00431598">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lang w:val="en-GB"/>
        </w:rPr>
        <w:t xml:space="preserve">The paper extends literature by </w:t>
      </w:r>
      <w:r w:rsidR="001072C1" w:rsidRPr="00A31903">
        <w:rPr>
          <w:rFonts w:ascii="Times New Roman" w:hAnsi="Times New Roman" w:cs="Times New Roman"/>
          <w:lang w:val="en-GB"/>
        </w:rPr>
        <w:t>computing</w:t>
      </w:r>
      <w:r w:rsidRPr="00A31903">
        <w:rPr>
          <w:rFonts w:ascii="Times New Roman" w:hAnsi="Times New Roman" w:cs="Times New Roman"/>
          <w:lang w:val="en-GB"/>
        </w:rPr>
        <w:t xml:space="preserve"> </w:t>
      </w:r>
      <w:r w:rsidRPr="00A31903">
        <w:rPr>
          <w:rFonts w:ascii="Times New Roman" w:hAnsi="Times New Roman" w:cs="Times New Roman"/>
        </w:rPr>
        <w:t>taxable capacity, tax effort and tax burden of Ghana in assessing the tax fairness perceptions</w:t>
      </w:r>
      <w:r w:rsidR="005C7E2A" w:rsidRPr="00A31903">
        <w:rPr>
          <w:rFonts w:ascii="Times New Roman" w:hAnsi="Times New Roman" w:cs="Times New Roman"/>
        </w:rPr>
        <w:t>.</w:t>
      </w:r>
      <w:r w:rsidRPr="00A31903">
        <w:rPr>
          <w:rFonts w:ascii="Times New Roman" w:hAnsi="Times New Roman" w:cs="Times New Roman"/>
        </w:rPr>
        <w:t xml:space="preserve"> Though extant literature</w:t>
      </w:r>
      <w:r w:rsidR="00276356" w:rsidRPr="00A31903">
        <w:rPr>
          <w:rFonts w:ascii="Times New Roman" w:hAnsi="Times New Roman" w:cs="Times New Roman"/>
        </w:rPr>
        <w:t xml:space="preserve"> has </w:t>
      </w:r>
      <w:r w:rsidRPr="00A31903">
        <w:rPr>
          <w:rFonts w:ascii="Times New Roman" w:hAnsi="Times New Roman" w:cs="Times New Roman"/>
        </w:rPr>
        <w:t>assessed the</w:t>
      </w:r>
      <w:r w:rsidR="00E93FD7" w:rsidRPr="00A31903">
        <w:rPr>
          <w:rFonts w:ascii="Times New Roman" w:hAnsi="Times New Roman" w:cs="Times New Roman"/>
        </w:rPr>
        <w:t>ir</w:t>
      </w:r>
      <w:r w:rsidRPr="00A31903">
        <w:rPr>
          <w:rFonts w:ascii="Times New Roman" w:hAnsi="Times New Roman" w:cs="Times New Roman"/>
        </w:rPr>
        <w:t xml:space="preserve"> role in revenue generation and the efficiency of tax administration, </w:t>
      </w:r>
      <w:r w:rsidR="00DF06DA" w:rsidRPr="00A31903">
        <w:rPr>
          <w:rFonts w:ascii="Times New Roman" w:hAnsi="Times New Roman" w:cs="Times New Roman"/>
        </w:rPr>
        <w:t>their</w:t>
      </w:r>
      <w:r w:rsidRPr="00A31903">
        <w:rPr>
          <w:rFonts w:ascii="Times New Roman" w:hAnsi="Times New Roman" w:cs="Times New Roman"/>
        </w:rPr>
        <w:t xml:space="preserve"> </w:t>
      </w:r>
      <w:r w:rsidR="00DF06DA" w:rsidRPr="00A31903">
        <w:rPr>
          <w:rFonts w:ascii="Times New Roman" w:hAnsi="Times New Roman" w:cs="Times New Roman"/>
        </w:rPr>
        <w:t>relationship with</w:t>
      </w:r>
      <w:r w:rsidRPr="00A31903">
        <w:rPr>
          <w:rFonts w:ascii="Times New Roman" w:hAnsi="Times New Roman" w:cs="Times New Roman"/>
        </w:rPr>
        <w:t xml:space="preserve"> tax </w:t>
      </w:r>
      <w:r w:rsidR="00E93FD7" w:rsidRPr="00A31903">
        <w:rPr>
          <w:rFonts w:ascii="Times New Roman" w:hAnsi="Times New Roman" w:cs="Times New Roman"/>
        </w:rPr>
        <w:t>fairness</w:t>
      </w:r>
      <w:r w:rsidRPr="00A31903">
        <w:rPr>
          <w:rFonts w:ascii="Times New Roman" w:hAnsi="Times New Roman" w:cs="Times New Roman"/>
        </w:rPr>
        <w:t xml:space="preserve"> perceptions </w:t>
      </w:r>
      <w:proofErr w:type="gramStart"/>
      <w:r w:rsidRPr="00A31903">
        <w:rPr>
          <w:rFonts w:ascii="Times New Roman" w:hAnsi="Times New Roman" w:cs="Times New Roman"/>
        </w:rPr>
        <w:t>has been ignored</w:t>
      </w:r>
      <w:proofErr w:type="gramEnd"/>
      <w:r w:rsidRPr="00A31903">
        <w:rPr>
          <w:rFonts w:ascii="Times New Roman" w:hAnsi="Times New Roman" w:cs="Times New Roman"/>
        </w:rPr>
        <w:t xml:space="preserve">. </w:t>
      </w:r>
    </w:p>
    <w:p w:rsidR="00CB2A45" w:rsidRPr="00A31903" w:rsidRDefault="00276356" w:rsidP="00CB2A45">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rPr>
        <w:t xml:space="preserve">     </w:t>
      </w:r>
      <w:r w:rsidR="00CB2A45" w:rsidRPr="00A31903">
        <w:rPr>
          <w:rFonts w:ascii="Times New Roman" w:hAnsi="Times New Roman" w:cs="Times New Roman"/>
        </w:rPr>
        <w:t>We recommend that</w:t>
      </w:r>
      <w:r w:rsidR="00CB2A45" w:rsidRPr="00A31903">
        <w:rPr>
          <w:rFonts w:ascii="Times New Roman" w:hAnsi="Times New Roman" w:cs="Times New Roman"/>
          <w:lang w:val="en-GB"/>
        </w:rPr>
        <w:t xml:space="preserve"> embarking on tax reforms should not </w:t>
      </w:r>
      <w:r w:rsidR="00DF06DA" w:rsidRPr="00A31903">
        <w:rPr>
          <w:rFonts w:ascii="Times New Roman" w:hAnsi="Times New Roman" w:cs="Times New Roman"/>
          <w:lang w:val="en-GB"/>
        </w:rPr>
        <w:t xml:space="preserve">only </w:t>
      </w:r>
      <w:r w:rsidR="00CB2A45" w:rsidRPr="00A31903">
        <w:rPr>
          <w:rFonts w:ascii="Times New Roman" w:hAnsi="Times New Roman" w:cs="Times New Roman"/>
          <w:lang w:val="en-GB"/>
        </w:rPr>
        <w:t xml:space="preserve">be </w:t>
      </w:r>
      <w:r w:rsidR="00CB14CB" w:rsidRPr="00A31903">
        <w:rPr>
          <w:rFonts w:ascii="Times New Roman" w:hAnsi="Times New Roman" w:cs="Times New Roman"/>
          <w:lang w:val="en-GB"/>
        </w:rPr>
        <w:t>about appropriate and a multiplicity</w:t>
      </w:r>
      <w:r w:rsidR="00CB2A45" w:rsidRPr="00A31903">
        <w:rPr>
          <w:rFonts w:ascii="Times New Roman" w:hAnsi="Times New Roman" w:cs="Times New Roman"/>
          <w:lang w:val="en-GB"/>
        </w:rPr>
        <w:t xml:space="preserve"> of tax laws </w:t>
      </w:r>
      <w:r w:rsidR="00DF06DA" w:rsidRPr="00A31903">
        <w:rPr>
          <w:rFonts w:ascii="Times New Roman" w:hAnsi="Times New Roman" w:cs="Times New Roman"/>
          <w:lang w:val="en-GB"/>
        </w:rPr>
        <w:t>and taxes</w:t>
      </w:r>
      <w:r w:rsidR="006C6D5F" w:rsidRPr="00A31903">
        <w:rPr>
          <w:rFonts w:ascii="Times New Roman" w:hAnsi="Times New Roman" w:cs="Times New Roman"/>
          <w:lang w:val="en-GB"/>
        </w:rPr>
        <w:t xml:space="preserve">, </w:t>
      </w:r>
      <w:r w:rsidR="001D6714" w:rsidRPr="00A31903">
        <w:rPr>
          <w:rFonts w:ascii="Times New Roman" w:hAnsi="Times New Roman" w:cs="Times New Roman"/>
          <w:lang w:val="en-GB"/>
        </w:rPr>
        <w:t>which could evoke</w:t>
      </w:r>
      <w:r w:rsidR="006C6D5F" w:rsidRPr="00A31903">
        <w:rPr>
          <w:rFonts w:ascii="Times New Roman" w:hAnsi="Times New Roman" w:cs="Times New Roman"/>
          <w:lang w:val="en-GB"/>
        </w:rPr>
        <w:t xml:space="preserve"> tax unfairness perceptions </w:t>
      </w:r>
      <w:r w:rsidR="00CB2A45" w:rsidRPr="00A31903">
        <w:rPr>
          <w:rFonts w:ascii="Times New Roman" w:hAnsi="Times New Roman" w:cs="Times New Roman"/>
          <w:lang w:val="en-GB"/>
        </w:rPr>
        <w:t xml:space="preserve">but </w:t>
      </w:r>
      <w:r w:rsidR="00DF06DA" w:rsidRPr="00A31903">
        <w:rPr>
          <w:rFonts w:ascii="Times New Roman" w:hAnsi="Times New Roman" w:cs="Times New Roman"/>
          <w:lang w:val="en-GB"/>
        </w:rPr>
        <w:t xml:space="preserve">also </w:t>
      </w:r>
      <w:r w:rsidR="00CB2A45" w:rsidRPr="00A31903">
        <w:rPr>
          <w:rFonts w:ascii="Times New Roman" w:hAnsi="Times New Roman" w:cs="Times New Roman"/>
          <w:lang w:val="en-GB"/>
        </w:rPr>
        <w:t>the efficiency and integrity of tax administration.</w:t>
      </w:r>
      <w:r w:rsidR="00522441" w:rsidRPr="00A31903">
        <w:rPr>
          <w:rFonts w:ascii="Times New Roman" w:hAnsi="Times New Roman" w:cs="Times New Roman"/>
          <w:lang w:val="en-GB"/>
        </w:rPr>
        <w:t xml:space="preserve"> Further, the judicious use and prompt accountability of tax revenues could help address tax unfairness perceptions.</w:t>
      </w:r>
    </w:p>
    <w:p w:rsidR="00BE1078" w:rsidRPr="00A31903" w:rsidRDefault="00BE1078" w:rsidP="00CB2A45">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rPr>
        <w:t xml:space="preserve">     Finally, we recommend that to increase tax revenue concerted efforts </w:t>
      </w:r>
      <w:proofErr w:type="gramStart"/>
      <w:r w:rsidRPr="00A31903">
        <w:rPr>
          <w:rFonts w:ascii="Times New Roman" w:hAnsi="Times New Roman" w:cs="Times New Roman"/>
        </w:rPr>
        <w:t>must be geared</w:t>
      </w:r>
      <w:proofErr w:type="gramEnd"/>
      <w:r w:rsidRPr="00A31903">
        <w:rPr>
          <w:rFonts w:ascii="Times New Roman" w:hAnsi="Times New Roman" w:cs="Times New Roman"/>
        </w:rPr>
        <w:t xml:space="preserve"> towards increasing the tax efforts of revenue agencies through capacity building and the provision of adequate resources. Tax reforms should thus, start with reforms in the revenue authority’ administration structure, processes and procedures.</w:t>
      </w:r>
    </w:p>
    <w:p w:rsidR="00F92EDF" w:rsidRPr="00A31903" w:rsidRDefault="004E3757" w:rsidP="00ED18EF">
      <w:pPr>
        <w:autoSpaceDE w:val="0"/>
        <w:autoSpaceDN w:val="0"/>
        <w:adjustRightInd w:val="0"/>
        <w:spacing w:after="0" w:line="240" w:lineRule="auto"/>
        <w:jc w:val="both"/>
        <w:rPr>
          <w:rFonts w:ascii="Times New Roman" w:hAnsi="Times New Roman" w:cs="Times New Roman"/>
          <w:b/>
        </w:rPr>
      </w:pPr>
      <w:r w:rsidRPr="00A31903">
        <w:rPr>
          <w:rFonts w:ascii="Times New Roman" w:hAnsi="Times New Roman" w:cs="Times New Roman"/>
        </w:rPr>
        <w:t xml:space="preserve">      </w:t>
      </w:r>
    </w:p>
    <w:p w:rsidR="00F772C3" w:rsidRPr="00A31903" w:rsidRDefault="001B4FA2" w:rsidP="00F772C3">
      <w:pPr>
        <w:autoSpaceDE w:val="0"/>
        <w:autoSpaceDN w:val="0"/>
        <w:adjustRightInd w:val="0"/>
        <w:spacing w:after="0" w:line="240" w:lineRule="auto"/>
        <w:jc w:val="both"/>
        <w:rPr>
          <w:rFonts w:ascii="Times New Roman" w:hAnsi="Times New Roman" w:cs="Times New Roman"/>
          <w:b/>
        </w:rPr>
      </w:pPr>
      <w:r w:rsidRPr="00A31903">
        <w:rPr>
          <w:rFonts w:ascii="Times New Roman" w:hAnsi="Times New Roman" w:cs="Times New Roman"/>
          <w:b/>
        </w:rPr>
        <w:t>REFERENCES</w:t>
      </w:r>
    </w:p>
    <w:p w:rsidR="00F772C3" w:rsidRPr="00A31903" w:rsidRDefault="00843E1E"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Adanu</w:t>
      </w:r>
      <w:proofErr w:type="spellEnd"/>
      <w:r w:rsidRPr="00A31903">
        <w:rPr>
          <w:rFonts w:ascii="Times New Roman" w:hAnsi="Times New Roman" w:cs="Times New Roman"/>
        </w:rPr>
        <w:t>, K.,</w:t>
      </w:r>
      <w:r w:rsidR="00480806" w:rsidRPr="00A31903">
        <w:rPr>
          <w:rFonts w:ascii="Times New Roman" w:hAnsi="Times New Roman" w:cs="Times New Roman"/>
        </w:rPr>
        <w:t xml:space="preserve"> </w:t>
      </w:r>
      <w:r w:rsidR="00AE448A" w:rsidRPr="00A31903">
        <w:rPr>
          <w:rFonts w:ascii="Times New Roman" w:hAnsi="Times New Roman" w:cs="Times New Roman"/>
        </w:rPr>
        <w:t>Sun, L</w:t>
      </w:r>
      <w:r w:rsidR="00821AB4" w:rsidRPr="00A31903">
        <w:rPr>
          <w:rFonts w:ascii="Times New Roman" w:hAnsi="Times New Roman" w:cs="Times New Roman"/>
        </w:rPr>
        <w:t>.</w:t>
      </w:r>
      <w:r w:rsidR="00BD3576" w:rsidRPr="00A31903">
        <w:rPr>
          <w:rFonts w:ascii="Times New Roman" w:hAnsi="Times New Roman" w:cs="Times New Roman"/>
        </w:rPr>
        <w:t xml:space="preserve"> (2002).</w:t>
      </w:r>
      <w:r w:rsidR="00F772C3" w:rsidRPr="00A31903">
        <w:rPr>
          <w:rFonts w:ascii="Times New Roman" w:hAnsi="Times New Roman" w:cs="Times New Roman"/>
        </w:rPr>
        <w:t xml:space="preserve"> On the relationship between the tax burden and income</w:t>
      </w:r>
      <w:r w:rsidR="00821AB4" w:rsidRPr="00A31903">
        <w:rPr>
          <w:rFonts w:ascii="Times New Roman" w:hAnsi="Times New Roman" w:cs="Times New Roman"/>
        </w:rPr>
        <w:t xml:space="preserve"> </w:t>
      </w:r>
    </w:p>
    <w:p w:rsidR="00AE448A"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Pr="00A31903">
        <w:rPr>
          <w:rFonts w:ascii="Times New Roman" w:hAnsi="Times New Roman" w:cs="Times New Roman"/>
        </w:rPr>
        <w:t>convergence</w:t>
      </w:r>
      <w:proofErr w:type="gramEnd"/>
      <w:r w:rsidRPr="00A31903">
        <w:rPr>
          <w:rFonts w:ascii="Times New Roman" w:hAnsi="Times New Roman" w:cs="Times New Roman"/>
        </w:rPr>
        <w:t>:</w:t>
      </w:r>
      <w:r w:rsidR="00480806" w:rsidRPr="00A31903">
        <w:rPr>
          <w:rFonts w:ascii="Times New Roman" w:hAnsi="Times New Roman" w:cs="Times New Roman"/>
        </w:rPr>
        <w:t xml:space="preserve"> S</w:t>
      </w:r>
      <w:r w:rsidRPr="00A31903">
        <w:rPr>
          <w:rFonts w:ascii="Times New Roman" w:hAnsi="Times New Roman" w:cs="Times New Roman"/>
        </w:rPr>
        <w:t>ome further results</w:t>
      </w:r>
      <w:r w:rsidR="00BD3576" w:rsidRPr="00A31903">
        <w:rPr>
          <w:rFonts w:ascii="Times New Roman" w:hAnsi="Times New Roman" w:cs="Times New Roman"/>
        </w:rPr>
        <w:t>.</w:t>
      </w:r>
      <w:r w:rsidR="00AE448A" w:rsidRPr="00A31903">
        <w:rPr>
          <w:rFonts w:ascii="Times New Roman" w:hAnsi="Times New Roman" w:cs="Times New Roman"/>
        </w:rPr>
        <w:t xml:space="preserve"> Department of Economics</w:t>
      </w:r>
      <w:r w:rsidRPr="00A31903">
        <w:rPr>
          <w:rFonts w:ascii="Times New Roman" w:hAnsi="Times New Roman" w:cs="Times New Roman"/>
        </w:rPr>
        <w:t xml:space="preserve">, University of </w:t>
      </w:r>
    </w:p>
    <w:p w:rsidR="00F772C3" w:rsidRPr="00A31903" w:rsidRDefault="00AE448A"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00F772C3" w:rsidRPr="00A31903">
        <w:rPr>
          <w:rFonts w:ascii="Times New Roman" w:hAnsi="Times New Roman" w:cs="Times New Roman"/>
        </w:rPr>
        <w:t xml:space="preserve">Victoria, </w:t>
      </w:r>
      <w:r w:rsidR="00480806" w:rsidRPr="00A31903">
        <w:rPr>
          <w:rFonts w:ascii="Times New Roman" w:hAnsi="Times New Roman" w:cs="Times New Roman"/>
        </w:rPr>
        <w:t>Working P</w:t>
      </w:r>
      <w:r w:rsidR="008E1FA7" w:rsidRPr="00A31903">
        <w:rPr>
          <w:rFonts w:ascii="Times New Roman" w:hAnsi="Times New Roman" w:cs="Times New Roman"/>
        </w:rPr>
        <w:t xml:space="preserve">aper, </w:t>
      </w:r>
      <w:r w:rsidRPr="00A31903">
        <w:rPr>
          <w:rFonts w:ascii="Times New Roman" w:hAnsi="Times New Roman" w:cs="Times New Roman"/>
        </w:rPr>
        <w:t>EWP0205</w:t>
      </w:r>
      <w:r w:rsidR="00F772C3" w:rsidRPr="00A31903">
        <w:rPr>
          <w:rFonts w:ascii="Times New Roman" w:hAnsi="Times New Roman" w:cs="Times New Roman"/>
        </w:rPr>
        <w:t>, September</w:t>
      </w:r>
      <w:r w:rsidRPr="00A31903">
        <w:rPr>
          <w:rFonts w:ascii="Times New Roman" w:hAnsi="Times New Roman" w:cs="Times New Roman"/>
        </w:rPr>
        <w:t>, Canada</w:t>
      </w:r>
      <w:r w:rsidR="00F772C3" w:rsidRPr="00A31903">
        <w:rPr>
          <w:rFonts w:ascii="Times New Roman" w:hAnsi="Times New Roman" w:cs="Times New Roman"/>
        </w:rPr>
        <w:t>.</w:t>
      </w:r>
      <w:proofErr w:type="gramEnd"/>
    </w:p>
    <w:p w:rsidR="00496EF0" w:rsidRPr="00A31903" w:rsidRDefault="001A5A48" w:rsidP="00821AB4">
      <w:pPr>
        <w:spacing w:after="0" w:line="240" w:lineRule="auto"/>
        <w:jc w:val="both"/>
        <w:rPr>
          <w:rFonts w:ascii="Times New Roman" w:hAnsi="Times New Roman" w:cs="Times New Roman"/>
        </w:rPr>
      </w:pPr>
      <w:proofErr w:type="spellStart"/>
      <w:proofErr w:type="gramStart"/>
      <w:r w:rsidRPr="00A31903">
        <w:rPr>
          <w:rFonts w:ascii="Times New Roman" w:hAnsi="Times New Roman" w:cs="Times New Roman"/>
        </w:rPr>
        <w:t>AfDB</w:t>
      </w:r>
      <w:proofErr w:type="spellEnd"/>
      <w:r w:rsidRPr="00A31903">
        <w:rPr>
          <w:rFonts w:ascii="Times New Roman" w:hAnsi="Times New Roman" w:cs="Times New Roman"/>
        </w:rPr>
        <w:t xml:space="preserve"> (2010a</w:t>
      </w:r>
      <w:r w:rsidR="00BD3576" w:rsidRPr="00A31903">
        <w:rPr>
          <w:rFonts w:ascii="Times New Roman" w:hAnsi="Times New Roman" w:cs="Times New Roman"/>
        </w:rPr>
        <w:t>).</w:t>
      </w:r>
      <w:proofErr w:type="gramEnd"/>
      <w:r w:rsidR="00496EF0" w:rsidRPr="00A31903">
        <w:rPr>
          <w:rFonts w:ascii="Times New Roman" w:hAnsi="Times New Roman" w:cs="Times New Roman"/>
        </w:rPr>
        <w:t xml:space="preserve"> Domestic resource </w:t>
      </w:r>
      <w:proofErr w:type="spellStart"/>
      <w:r w:rsidR="00496EF0" w:rsidRPr="00A31903">
        <w:rPr>
          <w:rFonts w:ascii="Times New Roman" w:hAnsi="Times New Roman" w:cs="Times New Roman"/>
        </w:rPr>
        <w:t>m</w:t>
      </w:r>
      <w:r w:rsidRPr="00A31903">
        <w:rPr>
          <w:rFonts w:ascii="Times New Roman" w:hAnsi="Times New Roman" w:cs="Times New Roman"/>
        </w:rPr>
        <w:t>obilisation</w:t>
      </w:r>
      <w:proofErr w:type="spellEnd"/>
      <w:r w:rsidRPr="00A31903">
        <w:rPr>
          <w:rFonts w:ascii="Times New Roman" w:hAnsi="Times New Roman" w:cs="Times New Roman"/>
        </w:rPr>
        <w:t xml:space="preserve"> for </w:t>
      </w:r>
      <w:r w:rsidR="00496EF0" w:rsidRPr="00A31903">
        <w:rPr>
          <w:rFonts w:ascii="Times New Roman" w:hAnsi="Times New Roman" w:cs="Times New Roman"/>
        </w:rPr>
        <w:t>p</w:t>
      </w:r>
      <w:r w:rsidRPr="00A31903">
        <w:rPr>
          <w:rFonts w:ascii="Times New Roman" w:hAnsi="Times New Roman" w:cs="Times New Roman"/>
        </w:rPr>
        <w:t xml:space="preserve">overty </w:t>
      </w:r>
      <w:r w:rsidR="00496EF0" w:rsidRPr="00A31903">
        <w:rPr>
          <w:rFonts w:ascii="Times New Roman" w:hAnsi="Times New Roman" w:cs="Times New Roman"/>
        </w:rPr>
        <w:t>r</w:t>
      </w:r>
      <w:r w:rsidRPr="00A31903">
        <w:rPr>
          <w:rFonts w:ascii="Times New Roman" w:hAnsi="Times New Roman" w:cs="Times New Roman"/>
        </w:rPr>
        <w:t xml:space="preserve">eduction in East Africa: Lessons </w:t>
      </w:r>
    </w:p>
    <w:p w:rsidR="00496EF0" w:rsidRPr="00A31903" w:rsidRDefault="00496EF0" w:rsidP="00821AB4">
      <w:pPr>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001A5A48" w:rsidRPr="00A31903">
        <w:rPr>
          <w:rFonts w:ascii="Times New Roman" w:hAnsi="Times New Roman" w:cs="Times New Roman"/>
        </w:rPr>
        <w:t>fo</w:t>
      </w:r>
      <w:r w:rsidR="00BD3576" w:rsidRPr="00A31903">
        <w:rPr>
          <w:rFonts w:ascii="Times New Roman" w:hAnsi="Times New Roman" w:cs="Times New Roman"/>
        </w:rPr>
        <w:t>r</w:t>
      </w:r>
      <w:proofErr w:type="gramEnd"/>
      <w:r w:rsidR="00BD3576" w:rsidRPr="00A31903">
        <w:rPr>
          <w:rFonts w:ascii="Times New Roman" w:hAnsi="Times New Roman" w:cs="Times New Roman"/>
        </w:rPr>
        <w:t xml:space="preserve"> tax policy and </w:t>
      </w:r>
      <w:proofErr w:type="spellStart"/>
      <w:r w:rsidR="00BD3576" w:rsidRPr="00A31903">
        <w:rPr>
          <w:rFonts w:ascii="Times New Roman" w:hAnsi="Times New Roman" w:cs="Times New Roman"/>
        </w:rPr>
        <w:t>administration.</w:t>
      </w:r>
      <w:r w:rsidR="001A5A48" w:rsidRPr="00A31903">
        <w:rPr>
          <w:rFonts w:ascii="Times New Roman" w:hAnsi="Times New Roman" w:cs="Times New Roman"/>
        </w:rPr>
        <w:t>Tunis</w:t>
      </w:r>
      <w:proofErr w:type="spellEnd"/>
      <w:r w:rsidR="001A5A48" w:rsidRPr="00A31903">
        <w:rPr>
          <w:rFonts w:ascii="Times New Roman" w:hAnsi="Times New Roman" w:cs="Times New Roman"/>
        </w:rPr>
        <w:t xml:space="preserve">: The Knowledge and Information Centre, </w:t>
      </w:r>
      <w:r w:rsidRPr="00A31903">
        <w:rPr>
          <w:rFonts w:ascii="Times New Roman" w:hAnsi="Times New Roman" w:cs="Times New Roman"/>
        </w:rPr>
        <w:t xml:space="preserve"> </w:t>
      </w:r>
    </w:p>
    <w:p w:rsidR="001A5A48" w:rsidRPr="00A31903" w:rsidRDefault="00496EF0" w:rsidP="00821AB4">
      <w:pPr>
        <w:spacing w:after="0" w:line="240" w:lineRule="auto"/>
        <w:jc w:val="both"/>
        <w:rPr>
          <w:rFonts w:ascii="Times New Roman" w:hAnsi="Times New Roman" w:cs="Times New Roman"/>
        </w:rPr>
      </w:pPr>
      <w:r w:rsidRPr="00A31903">
        <w:rPr>
          <w:rFonts w:ascii="Times New Roman" w:hAnsi="Times New Roman" w:cs="Times New Roman"/>
        </w:rPr>
        <w:t xml:space="preserve">            </w:t>
      </w:r>
      <w:r w:rsidR="001A5A48" w:rsidRPr="00A31903">
        <w:rPr>
          <w:rFonts w:ascii="Times New Roman" w:hAnsi="Times New Roman" w:cs="Times New Roman"/>
        </w:rPr>
        <w:t>African Development Bank</w:t>
      </w:r>
    </w:p>
    <w:p w:rsidR="00496EF0" w:rsidRPr="00A31903" w:rsidRDefault="00496EF0" w:rsidP="00821AB4">
      <w:pPr>
        <w:spacing w:after="0"/>
        <w:jc w:val="both"/>
        <w:rPr>
          <w:rFonts w:ascii="Times New Roman" w:hAnsi="Times New Roman" w:cs="Times New Roman"/>
        </w:rPr>
      </w:pPr>
      <w:proofErr w:type="spellStart"/>
      <w:proofErr w:type="gramStart"/>
      <w:r w:rsidRPr="00A31903">
        <w:rPr>
          <w:rFonts w:ascii="Times New Roman" w:hAnsi="Times New Roman" w:cs="Times New Roman"/>
        </w:rPr>
        <w:t>AfDB</w:t>
      </w:r>
      <w:proofErr w:type="spellEnd"/>
      <w:r w:rsidRPr="00A31903">
        <w:rPr>
          <w:rFonts w:ascii="Times New Roman" w:hAnsi="Times New Roman" w:cs="Times New Roman"/>
        </w:rPr>
        <w:t xml:space="preserve"> (2010b)</w:t>
      </w:r>
      <w:r w:rsidR="00BD3576" w:rsidRPr="00A31903">
        <w:rPr>
          <w:rFonts w:ascii="Times New Roman" w:hAnsi="Times New Roman" w:cs="Times New Roman"/>
        </w:rPr>
        <w:t>.</w:t>
      </w:r>
      <w:proofErr w:type="gramEnd"/>
      <w:r w:rsidR="00BD3576" w:rsidRPr="00A31903">
        <w:rPr>
          <w:rFonts w:ascii="Times New Roman" w:hAnsi="Times New Roman" w:cs="Times New Roman"/>
        </w:rPr>
        <w:t xml:space="preserve"> </w:t>
      </w:r>
      <w:r w:rsidRPr="00A31903">
        <w:rPr>
          <w:rFonts w:ascii="Times New Roman" w:hAnsi="Times New Roman" w:cs="Times New Roman"/>
        </w:rPr>
        <w:t xml:space="preserve">Domestic resource </w:t>
      </w:r>
      <w:proofErr w:type="spellStart"/>
      <w:r w:rsidRPr="00A31903">
        <w:rPr>
          <w:rFonts w:ascii="Times New Roman" w:hAnsi="Times New Roman" w:cs="Times New Roman"/>
        </w:rPr>
        <w:t>mobilisation</w:t>
      </w:r>
      <w:proofErr w:type="spellEnd"/>
      <w:r w:rsidRPr="00A31903">
        <w:rPr>
          <w:rFonts w:ascii="Times New Roman" w:hAnsi="Times New Roman" w:cs="Times New Roman"/>
        </w:rPr>
        <w:t xml:space="preserve"> for poverty r</w:t>
      </w:r>
      <w:r w:rsidR="001A5A48" w:rsidRPr="00A31903">
        <w:rPr>
          <w:rFonts w:ascii="Times New Roman" w:hAnsi="Times New Roman" w:cs="Times New Roman"/>
        </w:rPr>
        <w:t xml:space="preserve">eduction in East Africa: Uganda </w:t>
      </w:r>
      <w:r w:rsidRPr="00A31903">
        <w:rPr>
          <w:rFonts w:ascii="Times New Roman" w:hAnsi="Times New Roman" w:cs="Times New Roman"/>
        </w:rPr>
        <w:t xml:space="preserve">  </w:t>
      </w:r>
    </w:p>
    <w:p w:rsidR="001A5A48" w:rsidRPr="00A31903" w:rsidRDefault="00496EF0" w:rsidP="00821AB4">
      <w:pPr>
        <w:spacing w:after="0"/>
        <w:jc w:val="both"/>
        <w:rPr>
          <w:rFonts w:ascii="Times New Roman" w:hAnsi="Times New Roman" w:cs="Times New Roman"/>
        </w:rPr>
      </w:pPr>
      <w:r w:rsidRPr="00A31903">
        <w:rPr>
          <w:rFonts w:ascii="Times New Roman" w:hAnsi="Times New Roman" w:cs="Times New Roman"/>
        </w:rPr>
        <w:t xml:space="preserve">           </w:t>
      </w:r>
      <w:r w:rsidR="00502B1D" w:rsidRPr="00A31903">
        <w:rPr>
          <w:rFonts w:ascii="Times New Roman" w:hAnsi="Times New Roman" w:cs="Times New Roman"/>
        </w:rPr>
        <w:t xml:space="preserve"> </w:t>
      </w:r>
      <w:proofErr w:type="gramStart"/>
      <w:r w:rsidR="00BD3576" w:rsidRPr="00A31903">
        <w:rPr>
          <w:rFonts w:ascii="Times New Roman" w:hAnsi="Times New Roman" w:cs="Times New Roman"/>
        </w:rPr>
        <w:t>case</w:t>
      </w:r>
      <w:proofErr w:type="gramEnd"/>
      <w:r w:rsidR="00BD3576" w:rsidRPr="00A31903">
        <w:rPr>
          <w:rFonts w:ascii="Times New Roman" w:hAnsi="Times New Roman" w:cs="Times New Roman"/>
        </w:rPr>
        <w:t xml:space="preserve"> study.</w:t>
      </w:r>
      <w:r w:rsidR="001A5A48" w:rsidRPr="00A31903">
        <w:rPr>
          <w:rFonts w:ascii="Times New Roman" w:hAnsi="Times New Roman" w:cs="Times New Roman"/>
        </w:rPr>
        <w:t xml:space="preserve"> African Development Bank.</w:t>
      </w:r>
    </w:p>
    <w:p w:rsidR="00A92640" w:rsidRPr="00A31903" w:rsidRDefault="006F1377" w:rsidP="00821AB4">
      <w:pPr>
        <w:autoSpaceDE w:val="0"/>
        <w:autoSpaceDN w:val="0"/>
        <w:adjustRightInd w:val="0"/>
        <w:spacing w:after="0" w:line="240" w:lineRule="auto"/>
        <w:jc w:val="both"/>
        <w:rPr>
          <w:rFonts w:ascii="Times New Roman" w:hAnsi="Times New Roman" w:cs="Times New Roman"/>
        </w:rPr>
      </w:pPr>
      <w:proofErr w:type="gramStart"/>
      <w:r w:rsidRPr="00A31903">
        <w:rPr>
          <w:rFonts w:ascii="Times New Roman" w:hAnsi="Times New Roman" w:cs="Times New Roman"/>
        </w:rPr>
        <w:t xml:space="preserve">Ali, M., </w:t>
      </w:r>
      <w:proofErr w:type="spellStart"/>
      <w:r w:rsidR="001A5A48" w:rsidRPr="00A31903">
        <w:rPr>
          <w:rFonts w:ascii="Times New Roman" w:hAnsi="Times New Roman" w:cs="Times New Roman"/>
        </w:rPr>
        <w:t>Fjeldstad</w:t>
      </w:r>
      <w:proofErr w:type="spellEnd"/>
      <w:r w:rsidRPr="00A31903">
        <w:rPr>
          <w:rFonts w:ascii="Times New Roman" w:hAnsi="Times New Roman" w:cs="Times New Roman"/>
        </w:rPr>
        <w:t>, O.H.,</w:t>
      </w:r>
      <w:r w:rsidR="00480806" w:rsidRPr="00A31903">
        <w:rPr>
          <w:rFonts w:ascii="Times New Roman" w:hAnsi="Times New Roman" w:cs="Times New Roman"/>
        </w:rPr>
        <w:t xml:space="preserve"> </w:t>
      </w:r>
      <w:proofErr w:type="spellStart"/>
      <w:r w:rsidR="00BD3576" w:rsidRPr="00A31903">
        <w:rPr>
          <w:rFonts w:ascii="Times New Roman" w:hAnsi="Times New Roman" w:cs="Times New Roman"/>
        </w:rPr>
        <w:t>Sjursen</w:t>
      </w:r>
      <w:proofErr w:type="spellEnd"/>
      <w:r w:rsidR="00BD3576" w:rsidRPr="00A31903">
        <w:rPr>
          <w:rFonts w:ascii="Times New Roman" w:hAnsi="Times New Roman" w:cs="Times New Roman"/>
        </w:rPr>
        <w:t xml:space="preserve"> I.H. (2014).</w:t>
      </w:r>
      <w:proofErr w:type="gramEnd"/>
      <w:r w:rsidR="001A5A48" w:rsidRPr="00A31903">
        <w:rPr>
          <w:rFonts w:ascii="Times New Roman" w:hAnsi="Times New Roman" w:cs="Times New Roman"/>
        </w:rPr>
        <w:t xml:space="preserve"> </w:t>
      </w:r>
      <w:proofErr w:type="gramStart"/>
      <w:r w:rsidR="001A5A48" w:rsidRPr="00A31903">
        <w:rPr>
          <w:rFonts w:ascii="Times New Roman" w:hAnsi="Times New Roman" w:cs="Times New Roman"/>
        </w:rPr>
        <w:t>To pay or not to pay?</w:t>
      </w:r>
      <w:proofErr w:type="gramEnd"/>
      <w:r w:rsidR="001A5A48" w:rsidRPr="00A31903">
        <w:rPr>
          <w:rFonts w:ascii="Times New Roman" w:hAnsi="Times New Roman" w:cs="Times New Roman"/>
        </w:rPr>
        <w:t xml:space="preserve"> </w:t>
      </w:r>
      <w:r w:rsidR="00496EF0" w:rsidRPr="00A31903">
        <w:rPr>
          <w:rFonts w:ascii="Times New Roman" w:hAnsi="Times New Roman" w:cs="Times New Roman"/>
        </w:rPr>
        <w:t>Attitudes toward</w:t>
      </w:r>
    </w:p>
    <w:p w:rsidR="00A92640" w:rsidRPr="00A31903" w:rsidRDefault="00A92640"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496EF0" w:rsidRPr="00A31903">
        <w:rPr>
          <w:rFonts w:ascii="Times New Roman" w:hAnsi="Times New Roman" w:cs="Times New Roman"/>
        </w:rPr>
        <w:t xml:space="preserve"> </w:t>
      </w:r>
      <w:proofErr w:type="gramStart"/>
      <w:r w:rsidR="00496EF0" w:rsidRPr="00A31903">
        <w:rPr>
          <w:rFonts w:ascii="Times New Roman" w:hAnsi="Times New Roman" w:cs="Times New Roman"/>
        </w:rPr>
        <w:t>taxation</w:t>
      </w:r>
      <w:proofErr w:type="gramEnd"/>
      <w:r w:rsidR="00496EF0" w:rsidRPr="00A31903">
        <w:rPr>
          <w:rFonts w:ascii="Times New Roman" w:hAnsi="Times New Roman" w:cs="Times New Roman"/>
        </w:rPr>
        <w:t xml:space="preserve"> in Ken</w:t>
      </w:r>
      <w:r w:rsidR="001A5A48" w:rsidRPr="00A31903">
        <w:rPr>
          <w:rFonts w:ascii="Times New Roman" w:hAnsi="Times New Roman" w:cs="Times New Roman"/>
        </w:rPr>
        <w:t>ya, Tan</w:t>
      </w:r>
      <w:r w:rsidR="00BD3576" w:rsidRPr="00A31903">
        <w:rPr>
          <w:rFonts w:ascii="Times New Roman" w:hAnsi="Times New Roman" w:cs="Times New Roman"/>
        </w:rPr>
        <w:t>zania, Uganda and South Africa.</w:t>
      </w:r>
      <w:r w:rsidR="001A5A48" w:rsidRPr="00A31903">
        <w:rPr>
          <w:rFonts w:ascii="Times New Roman" w:hAnsi="Times New Roman" w:cs="Times New Roman"/>
        </w:rPr>
        <w:t xml:space="preserve"> </w:t>
      </w:r>
      <w:r w:rsidR="001A5A48" w:rsidRPr="00A31903">
        <w:rPr>
          <w:rFonts w:ascii="Times New Roman" w:hAnsi="Times New Roman" w:cs="Times New Roman"/>
          <w:i/>
        </w:rPr>
        <w:t>World Development</w:t>
      </w:r>
      <w:r w:rsidR="001A5A48" w:rsidRPr="00A31903">
        <w:rPr>
          <w:rFonts w:ascii="Times New Roman" w:hAnsi="Times New Roman" w:cs="Times New Roman"/>
        </w:rPr>
        <w:t xml:space="preserve">, </w:t>
      </w:r>
      <w:r w:rsidR="00BD3576" w:rsidRPr="00A31903">
        <w:rPr>
          <w:rFonts w:ascii="Times New Roman" w:hAnsi="Times New Roman" w:cs="Times New Roman"/>
        </w:rPr>
        <w:t>64</w:t>
      </w:r>
      <w:r w:rsidR="00723CCE" w:rsidRPr="00A31903">
        <w:rPr>
          <w:rFonts w:ascii="Times New Roman" w:hAnsi="Times New Roman" w:cs="Times New Roman"/>
        </w:rPr>
        <w:t>(C)</w:t>
      </w:r>
      <w:r w:rsidR="00BD3576" w:rsidRPr="00A31903">
        <w:rPr>
          <w:rFonts w:ascii="Times New Roman" w:hAnsi="Times New Roman" w:cs="Times New Roman"/>
        </w:rPr>
        <w:t>,</w:t>
      </w:r>
      <w:r w:rsidR="00502B1D" w:rsidRPr="00A31903">
        <w:rPr>
          <w:rFonts w:ascii="Times New Roman" w:hAnsi="Times New Roman" w:cs="Times New Roman"/>
        </w:rPr>
        <w:t xml:space="preserve"> </w:t>
      </w:r>
    </w:p>
    <w:p w:rsidR="001A5A48" w:rsidRPr="00A31903" w:rsidRDefault="00A92640" w:rsidP="00821AB4">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rPr>
        <w:t xml:space="preserve">             </w:t>
      </w:r>
      <w:r w:rsidR="001A5A48" w:rsidRPr="00A31903">
        <w:rPr>
          <w:rFonts w:ascii="Times New Roman" w:hAnsi="Times New Roman" w:cs="Times New Roman"/>
        </w:rPr>
        <w:t>828-842</w:t>
      </w:r>
      <w:r w:rsidR="00BD3576" w:rsidRPr="00A31903">
        <w:rPr>
          <w:rFonts w:ascii="Times New Roman" w:hAnsi="Times New Roman" w:cs="Times New Roman"/>
        </w:rPr>
        <w:t>.</w:t>
      </w:r>
      <w:r w:rsidRPr="00A31903">
        <w:rPr>
          <w:rFonts w:ascii="Times New Roman" w:hAnsi="Times New Roman" w:cs="Times New Roman"/>
        </w:rPr>
        <w:t xml:space="preserve"> </w:t>
      </w:r>
      <w:r w:rsidR="001F42D3" w:rsidRPr="00A31903">
        <w:rPr>
          <w:rFonts w:ascii="Times New Roman" w:hAnsi="Times New Roman" w:cs="Times New Roman"/>
        </w:rPr>
        <w:t>Retrieved from</w:t>
      </w:r>
      <w:r w:rsidR="00BD3576" w:rsidRPr="00A31903">
        <w:rPr>
          <w:rFonts w:ascii="Times New Roman" w:hAnsi="Times New Roman" w:cs="Times New Roman"/>
        </w:rPr>
        <w:t xml:space="preserve"> </w:t>
      </w:r>
      <w:proofErr w:type="spellStart"/>
      <w:r w:rsidR="001A5A48" w:rsidRPr="00A31903">
        <w:rPr>
          <w:rFonts w:ascii="Times New Roman" w:hAnsi="Times New Roman" w:cs="Times New Roman"/>
        </w:rPr>
        <w:t>doi</w:t>
      </w:r>
      <w:proofErr w:type="spellEnd"/>
      <w:r w:rsidR="001A5A48" w:rsidRPr="00A31903">
        <w:rPr>
          <w:rFonts w:ascii="Times New Roman" w:hAnsi="Times New Roman" w:cs="Times New Roman"/>
        </w:rPr>
        <w:t>: http:// dx.doi.or</w:t>
      </w:r>
      <w:r w:rsidR="00480806" w:rsidRPr="00A31903">
        <w:rPr>
          <w:rFonts w:ascii="Times New Roman" w:hAnsi="Times New Roman" w:cs="Times New Roman"/>
        </w:rPr>
        <w:t>g/10.1016.</w:t>
      </w:r>
    </w:p>
    <w:p w:rsidR="00F772C3" w:rsidRPr="00A31903" w:rsidRDefault="00F772C3" w:rsidP="00821AB4">
      <w:pPr>
        <w:autoSpaceDE w:val="0"/>
        <w:autoSpaceDN w:val="0"/>
        <w:adjustRightInd w:val="0"/>
        <w:spacing w:after="0" w:line="240" w:lineRule="auto"/>
        <w:jc w:val="both"/>
        <w:rPr>
          <w:rFonts w:ascii="Times New Roman" w:hAnsi="Times New Roman" w:cs="Times New Roman"/>
          <w:lang w:val="en-GB"/>
        </w:rPr>
      </w:pPr>
      <w:proofErr w:type="spellStart"/>
      <w:r w:rsidRPr="00A31903">
        <w:rPr>
          <w:rFonts w:ascii="Times New Roman" w:hAnsi="Times New Roman" w:cs="Times New Roman"/>
          <w:lang w:val="en-GB"/>
        </w:rPr>
        <w:t>Alfirman</w:t>
      </w:r>
      <w:proofErr w:type="spellEnd"/>
      <w:r w:rsidRPr="00A31903">
        <w:rPr>
          <w:rFonts w:ascii="Times New Roman" w:hAnsi="Times New Roman" w:cs="Times New Roman"/>
          <w:lang w:val="en-GB"/>
        </w:rPr>
        <w:t>, L. (2003)</w:t>
      </w:r>
      <w:r w:rsidR="00BD3576" w:rsidRPr="00A31903">
        <w:rPr>
          <w:rFonts w:ascii="Times New Roman" w:hAnsi="Times New Roman" w:cs="Times New Roman"/>
          <w:lang w:val="en-GB"/>
        </w:rPr>
        <w:t>.</w:t>
      </w:r>
      <w:r w:rsidRPr="00A31903">
        <w:rPr>
          <w:rFonts w:ascii="Times New Roman" w:hAnsi="Times New Roman" w:cs="Times New Roman"/>
          <w:lang w:val="en-GB"/>
        </w:rPr>
        <w:t xml:space="preserve"> Estimating stochastic frontier tax potential: Can Indonesian local</w:t>
      </w:r>
    </w:p>
    <w:p w:rsidR="00F772C3" w:rsidRPr="00A31903" w:rsidRDefault="00F772C3" w:rsidP="00821AB4">
      <w:pPr>
        <w:autoSpaceDE w:val="0"/>
        <w:autoSpaceDN w:val="0"/>
        <w:adjustRightInd w:val="0"/>
        <w:spacing w:after="0" w:line="240" w:lineRule="auto"/>
        <w:jc w:val="both"/>
        <w:rPr>
          <w:rFonts w:ascii="Times New Roman" w:hAnsi="Times New Roman" w:cs="Times New Roman"/>
          <w:i/>
          <w:lang w:val="en-GB"/>
        </w:rPr>
      </w:pPr>
      <w:r w:rsidRPr="00A31903">
        <w:rPr>
          <w:rFonts w:ascii="Times New Roman" w:hAnsi="Times New Roman" w:cs="Times New Roman"/>
          <w:lang w:val="en-GB"/>
        </w:rPr>
        <w:t xml:space="preserve">            </w:t>
      </w:r>
      <w:proofErr w:type="gramStart"/>
      <w:r w:rsidRPr="00A31903">
        <w:rPr>
          <w:rFonts w:ascii="Times New Roman" w:hAnsi="Times New Roman" w:cs="Times New Roman"/>
          <w:lang w:val="en-GB"/>
        </w:rPr>
        <w:t>governments</w:t>
      </w:r>
      <w:proofErr w:type="gramEnd"/>
      <w:r w:rsidRPr="00A31903">
        <w:rPr>
          <w:rFonts w:ascii="Times New Roman" w:hAnsi="Times New Roman" w:cs="Times New Roman"/>
          <w:lang w:val="en-GB"/>
        </w:rPr>
        <w:t xml:space="preserve"> increase tax revenues under decentralization?</w:t>
      </w:r>
      <w:r w:rsidR="00BD3576" w:rsidRPr="00A31903">
        <w:rPr>
          <w:rFonts w:ascii="Times New Roman" w:hAnsi="Times New Roman" w:cs="Times New Roman"/>
        </w:rPr>
        <w:t xml:space="preserve"> </w:t>
      </w:r>
      <w:r w:rsidRPr="00A31903">
        <w:rPr>
          <w:rFonts w:ascii="Times New Roman" w:hAnsi="Times New Roman" w:cs="Times New Roman"/>
          <w:lang w:val="en-GB"/>
        </w:rPr>
        <w:t xml:space="preserve"> </w:t>
      </w:r>
      <w:r w:rsidRPr="00A31903">
        <w:rPr>
          <w:rFonts w:ascii="Times New Roman" w:hAnsi="Times New Roman" w:cs="Times New Roman"/>
          <w:i/>
          <w:lang w:val="en-GB"/>
        </w:rPr>
        <w:t>Working Paper No. 03-</w:t>
      </w:r>
    </w:p>
    <w:p w:rsidR="00F772C3" w:rsidRPr="00A31903" w:rsidRDefault="00F772C3" w:rsidP="00821AB4">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i/>
          <w:lang w:val="en-GB"/>
        </w:rPr>
        <w:t xml:space="preserve">            </w:t>
      </w:r>
      <w:proofErr w:type="gramStart"/>
      <w:r w:rsidRPr="00A31903">
        <w:rPr>
          <w:rFonts w:ascii="Times New Roman" w:hAnsi="Times New Roman" w:cs="Times New Roman"/>
          <w:i/>
          <w:lang w:val="en-GB"/>
        </w:rPr>
        <w:t>19</w:t>
      </w:r>
      <w:proofErr w:type="gramEnd"/>
      <w:r w:rsidRPr="00A31903">
        <w:rPr>
          <w:rFonts w:ascii="Times New Roman" w:hAnsi="Times New Roman" w:cs="Times New Roman"/>
          <w:lang w:val="en-GB"/>
        </w:rPr>
        <w:t>, Department of Economics, University of Colorado at Boulder, Colorado</w:t>
      </w:r>
    </w:p>
    <w:p w:rsidR="00E433A4" w:rsidRPr="00A31903" w:rsidRDefault="00E433A4" w:rsidP="00E433A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Amoh</w:t>
      </w:r>
      <w:proofErr w:type="spellEnd"/>
      <w:r w:rsidRPr="00A31903">
        <w:rPr>
          <w:rFonts w:ascii="Times New Roman" w:hAnsi="Times New Roman" w:cs="Times New Roman"/>
        </w:rPr>
        <w:t xml:space="preserve">, </w:t>
      </w:r>
      <w:r w:rsidR="00843E1E" w:rsidRPr="00A31903">
        <w:rPr>
          <w:rFonts w:ascii="Times New Roman" w:hAnsi="Times New Roman" w:cs="Times New Roman"/>
        </w:rPr>
        <w:t>J.K.,</w:t>
      </w:r>
      <w:r w:rsidRPr="00A31903">
        <w:rPr>
          <w:rFonts w:ascii="Times New Roman" w:hAnsi="Times New Roman" w:cs="Times New Roman"/>
        </w:rPr>
        <w:t xml:space="preserve"> </w:t>
      </w:r>
      <w:proofErr w:type="spellStart"/>
      <w:r w:rsidRPr="00A31903">
        <w:rPr>
          <w:rFonts w:ascii="Times New Roman" w:hAnsi="Times New Roman" w:cs="Times New Roman"/>
        </w:rPr>
        <w:t>Adom</w:t>
      </w:r>
      <w:proofErr w:type="spellEnd"/>
      <w:r w:rsidRPr="00A31903">
        <w:rPr>
          <w:rFonts w:ascii="Times New Roman" w:hAnsi="Times New Roman" w:cs="Times New Roman"/>
        </w:rPr>
        <w:t>, P.K. (2017). The determinants of tax revenue growth of an emerging</w:t>
      </w:r>
    </w:p>
    <w:p w:rsidR="00E433A4" w:rsidRPr="00A31903" w:rsidRDefault="00E433A4" w:rsidP="00E433A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Pr="00A31903">
        <w:rPr>
          <w:rFonts w:ascii="Times New Roman" w:hAnsi="Times New Roman" w:cs="Times New Roman"/>
        </w:rPr>
        <w:t>economy</w:t>
      </w:r>
      <w:proofErr w:type="gramEnd"/>
      <w:r w:rsidRPr="00A31903">
        <w:rPr>
          <w:rFonts w:ascii="Times New Roman" w:hAnsi="Times New Roman" w:cs="Times New Roman"/>
        </w:rPr>
        <w:t xml:space="preserve"> – the case of Ghana. </w:t>
      </w:r>
      <w:proofErr w:type="gramStart"/>
      <w:r w:rsidRPr="00A31903">
        <w:rPr>
          <w:rFonts w:ascii="Times New Roman" w:hAnsi="Times New Roman" w:cs="Times New Roman"/>
          <w:i/>
          <w:iCs/>
        </w:rPr>
        <w:t>International  Journal</w:t>
      </w:r>
      <w:proofErr w:type="gramEnd"/>
      <w:r w:rsidRPr="00A31903">
        <w:rPr>
          <w:rFonts w:ascii="Times New Roman" w:hAnsi="Times New Roman" w:cs="Times New Roman"/>
          <w:i/>
          <w:iCs/>
        </w:rPr>
        <w:t xml:space="preserve"> of Economics and Accounting</w:t>
      </w:r>
      <w:r w:rsidRPr="00A31903">
        <w:rPr>
          <w:rFonts w:ascii="Times New Roman" w:hAnsi="Times New Roman" w:cs="Times New Roman"/>
        </w:rPr>
        <w:t>,</w:t>
      </w:r>
    </w:p>
    <w:p w:rsidR="00E433A4" w:rsidRPr="00A31903" w:rsidRDefault="00E433A4" w:rsidP="00E433A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Pr="00A31903">
        <w:rPr>
          <w:rFonts w:ascii="Times New Roman" w:hAnsi="Times New Roman" w:cs="Times New Roman"/>
          <w:i/>
        </w:rPr>
        <w:t>8</w:t>
      </w:r>
      <w:proofErr w:type="gramEnd"/>
      <w:r w:rsidRPr="00A31903">
        <w:rPr>
          <w:rFonts w:ascii="Times New Roman" w:hAnsi="Times New Roman" w:cs="Times New Roman"/>
        </w:rPr>
        <w:t xml:space="preserve"> (3/4), 337–353.</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proofErr w:type="gramStart"/>
      <w:r w:rsidRPr="00A31903">
        <w:rPr>
          <w:rFonts w:ascii="Times New Roman" w:hAnsi="Times New Roman" w:cs="Times New Roman"/>
        </w:rPr>
        <w:t>Baer, W</w:t>
      </w:r>
      <w:r w:rsidR="00843E1E" w:rsidRPr="00A31903">
        <w:rPr>
          <w:rFonts w:ascii="Times New Roman" w:hAnsi="Times New Roman" w:cs="Times New Roman"/>
        </w:rPr>
        <w:t>.,</w:t>
      </w:r>
      <w:r w:rsidRPr="00A31903">
        <w:rPr>
          <w:rFonts w:ascii="Times New Roman" w:hAnsi="Times New Roman" w:cs="Times New Roman"/>
        </w:rPr>
        <w:t xml:space="preserve"> </w:t>
      </w:r>
      <w:proofErr w:type="spellStart"/>
      <w:r w:rsidRPr="00A31903">
        <w:rPr>
          <w:rFonts w:ascii="Times New Roman" w:hAnsi="Times New Roman" w:cs="Times New Roman"/>
        </w:rPr>
        <w:t>Galvao</w:t>
      </w:r>
      <w:proofErr w:type="spellEnd"/>
      <w:r w:rsidRPr="00A31903">
        <w:rPr>
          <w:rFonts w:ascii="Times New Roman" w:hAnsi="Times New Roman" w:cs="Times New Roman"/>
        </w:rPr>
        <w:t>, A. (2005)</w:t>
      </w:r>
      <w:r w:rsidR="001F42D3" w:rsidRPr="00A31903">
        <w:rPr>
          <w:rFonts w:ascii="Times New Roman" w:hAnsi="Times New Roman" w:cs="Times New Roman"/>
        </w:rPr>
        <w:t>.</w:t>
      </w:r>
      <w:proofErr w:type="gramEnd"/>
      <w:r w:rsidR="001F42D3" w:rsidRPr="00A31903">
        <w:rPr>
          <w:rFonts w:ascii="Times New Roman" w:hAnsi="Times New Roman" w:cs="Times New Roman"/>
        </w:rPr>
        <w:t xml:space="preserve"> </w:t>
      </w:r>
      <w:r w:rsidRPr="00A31903">
        <w:rPr>
          <w:rFonts w:ascii="Times New Roman" w:hAnsi="Times New Roman" w:cs="Times New Roman"/>
        </w:rPr>
        <w:t xml:space="preserve">Tax burden, government expenditure and income distribution  </w:t>
      </w:r>
    </w:p>
    <w:p w:rsidR="00F772C3" w:rsidRPr="00A31903" w:rsidRDefault="001F42D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Pr="00A31903">
        <w:rPr>
          <w:rFonts w:ascii="Times New Roman" w:hAnsi="Times New Roman" w:cs="Times New Roman"/>
        </w:rPr>
        <w:t>in</w:t>
      </w:r>
      <w:proofErr w:type="gramEnd"/>
      <w:r w:rsidRPr="00A31903">
        <w:rPr>
          <w:rFonts w:ascii="Times New Roman" w:hAnsi="Times New Roman" w:cs="Times New Roman"/>
        </w:rPr>
        <w:t xml:space="preserve"> Brazil.</w:t>
      </w:r>
      <w:r w:rsidR="00F772C3" w:rsidRPr="00A31903">
        <w:rPr>
          <w:rFonts w:ascii="Times New Roman" w:hAnsi="Times New Roman" w:cs="Times New Roman"/>
        </w:rPr>
        <w:t xml:space="preserve"> </w:t>
      </w:r>
      <w:proofErr w:type="gramStart"/>
      <w:r w:rsidR="00F772C3" w:rsidRPr="00A31903">
        <w:rPr>
          <w:rFonts w:ascii="Times New Roman" w:hAnsi="Times New Roman" w:cs="Times New Roman"/>
          <w:i/>
        </w:rPr>
        <w:t>CIBER Series Papers</w:t>
      </w:r>
      <w:r w:rsidR="00F772C3" w:rsidRPr="00A31903">
        <w:rPr>
          <w:rFonts w:ascii="Times New Roman" w:hAnsi="Times New Roman" w:cs="Times New Roman"/>
        </w:rPr>
        <w:t>.</w:t>
      </w:r>
      <w:proofErr w:type="gramEnd"/>
    </w:p>
    <w:p w:rsidR="00F772C3" w:rsidRPr="00A31903" w:rsidRDefault="00F772C3" w:rsidP="00821AB4">
      <w:pPr>
        <w:autoSpaceDE w:val="0"/>
        <w:autoSpaceDN w:val="0"/>
        <w:adjustRightInd w:val="0"/>
        <w:spacing w:after="0" w:line="240" w:lineRule="auto"/>
        <w:jc w:val="both"/>
        <w:rPr>
          <w:rFonts w:ascii="Times New Roman" w:hAnsi="Times New Roman" w:cs="Times New Roman"/>
          <w:i/>
        </w:rPr>
      </w:pPr>
      <w:proofErr w:type="spellStart"/>
      <w:r w:rsidRPr="00A31903">
        <w:rPr>
          <w:rFonts w:ascii="Times New Roman" w:hAnsi="Times New Roman" w:cs="Times New Roman"/>
        </w:rPr>
        <w:t>Bahl</w:t>
      </w:r>
      <w:proofErr w:type="spellEnd"/>
      <w:r w:rsidRPr="00A31903">
        <w:rPr>
          <w:rFonts w:ascii="Times New Roman" w:hAnsi="Times New Roman" w:cs="Times New Roman"/>
        </w:rPr>
        <w:t>, R. W. (1971)</w:t>
      </w:r>
      <w:r w:rsidR="001F42D3" w:rsidRPr="00A31903">
        <w:rPr>
          <w:rFonts w:ascii="Times New Roman" w:hAnsi="Times New Roman" w:cs="Times New Roman"/>
        </w:rPr>
        <w:t>.</w:t>
      </w:r>
      <w:r w:rsidRPr="00A31903">
        <w:rPr>
          <w:rFonts w:ascii="Times New Roman" w:hAnsi="Times New Roman" w:cs="Times New Roman"/>
        </w:rPr>
        <w:t xml:space="preserve"> A regression approach to tax effort and tax ratio a</w:t>
      </w:r>
      <w:r w:rsidR="001F42D3" w:rsidRPr="00A31903">
        <w:rPr>
          <w:rFonts w:ascii="Times New Roman" w:hAnsi="Times New Roman" w:cs="Times New Roman"/>
        </w:rPr>
        <w:t>nalysis.</w:t>
      </w:r>
      <w:r w:rsidR="00480806" w:rsidRPr="00A31903">
        <w:rPr>
          <w:rFonts w:ascii="Times New Roman" w:hAnsi="Times New Roman" w:cs="Times New Roman"/>
        </w:rPr>
        <w:t xml:space="preserve"> </w:t>
      </w:r>
      <w:r w:rsidR="00480806" w:rsidRPr="00A31903">
        <w:rPr>
          <w:rFonts w:ascii="Times New Roman" w:hAnsi="Times New Roman" w:cs="Times New Roman"/>
          <w:i/>
        </w:rPr>
        <w:t>IM</w:t>
      </w:r>
      <w:r w:rsidRPr="00A31903">
        <w:rPr>
          <w:rFonts w:ascii="Times New Roman" w:hAnsi="Times New Roman" w:cs="Times New Roman"/>
          <w:i/>
        </w:rPr>
        <w:t xml:space="preserve">F Staff </w:t>
      </w:r>
    </w:p>
    <w:p w:rsidR="00F772C3" w:rsidRPr="00A31903" w:rsidRDefault="001F42D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i/>
        </w:rPr>
        <w:t xml:space="preserve">            </w:t>
      </w:r>
      <w:proofErr w:type="gramStart"/>
      <w:r w:rsidRPr="00A31903">
        <w:rPr>
          <w:rFonts w:ascii="Times New Roman" w:hAnsi="Times New Roman" w:cs="Times New Roman"/>
          <w:i/>
        </w:rPr>
        <w:t xml:space="preserve">Papers, </w:t>
      </w:r>
      <w:r w:rsidR="00F772C3" w:rsidRPr="00A31903">
        <w:rPr>
          <w:rFonts w:ascii="Times New Roman" w:hAnsi="Times New Roman" w:cs="Times New Roman"/>
          <w:i/>
        </w:rPr>
        <w:t>18</w:t>
      </w:r>
      <w:r w:rsidR="00F772C3" w:rsidRPr="00A31903">
        <w:rPr>
          <w:rFonts w:ascii="Times New Roman" w:hAnsi="Times New Roman" w:cs="Times New Roman"/>
        </w:rPr>
        <w:t>, 570-</w:t>
      </w:r>
      <w:r w:rsidR="003565CB" w:rsidRPr="00A31903">
        <w:rPr>
          <w:rFonts w:ascii="Times New Roman" w:hAnsi="Times New Roman" w:cs="Times New Roman"/>
        </w:rPr>
        <w:t xml:space="preserve"> </w:t>
      </w:r>
      <w:r w:rsidR="00F772C3" w:rsidRPr="00A31903">
        <w:rPr>
          <w:rFonts w:ascii="Times New Roman" w:hAnsi="Times New Roman" w:cs="Times New Roman"/>
        </w:rPr>
        <w:t>608.</w:t>
      </w:r>
      <w:proofErr w:type="gramEnd"/>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Black, J. (1997)</w:t>
      </w:r>
      <w:r w:rsidR="001F42D3" w:rsidRPr="00A31903">
        <w:rPr>
          <w:rFonts w:ascii="Times New Roman" w:hAnsi="Times New Roman" w:cs="Times New Roman"/>
        </w:rPr>
        <w:t>.</w:t>
      </w:r>
      <w:r w:rsidRPr="00A31903">
        <w:rPr>
          <w:rFonts w:ascii="Times New Roman" w:hAnsi="Times New Roman" w:cs="Times New Roman"/>
        </w:rPr>
        <w:t xml:space="preserve"> </w:t>
      </w:r>
      <w:proofErr w:type="gramStart"/>
      <w:r w:rsidRPr="00A31903">
        <w:rPr>
          <w:rFonts w:ascii="Times New Roman" w:hAnsi="Times New Roman" w:cs="Times New Roman"/>
          <w:i/>
        </w:rPr>
        <w:t>Oxford Dictionary of Economics</w:t>
      </w:r>
      <w:r w:rsidR="001F42D3" w:rsidRPr="00A31903">
        <w:rPr>
          <w:rFonts w:ascii="Times New Roman" w:hAnsi="Times New Roman" w:cs="Times New Roman"/>
        </w:rPr>
        <w:t>.</w:t>
      </w:r>
      <w:proofErr w:type="gramEnd"/>
      <w:r w:rsidRPr="00A31903">
        <w:rPr>
          <w:rFonts w:ascii="Times New Roman" w:hAnsi="Times New Roman" w:cs="Times New Roman"/>
        </w:rPr>
        <w:t xml:space="preserve"> </w:t>
      </w:r>
      <w:proofErr w:type="gramStart"/>
      <w:r w:rsidRPr="00A31903">
        <w:rPr>
          <w:rFonts w:ascii="Times New Roman" w:hAnsi="Times New Roman" w:cs="Times New Roman"/>
        </w:rPr>
        <w:t>Oxford University Press.</w:t>
      </w:r>
      <w:proofErr w:type="gramEnd"/>
    </w:p>
    <w:p w:rsidR="00F772C3" w:rsidRPr="00A31903" w:rsidRDefault="00843E1E"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Brafu-Insaidoo</w:t>
      </w:r>
      <w:proofErr w:type="spellEnd"/>
      <w:r w:rsidRPr="00A31903">
        <w:rPr>
          <w:rFonts w:ascii="Times New Roman" w:hAnsi="Times New Roman" w:cs="Times New Roman"/>
        </w:rPr>
        <w:t>, W. G.,</w:t>
      </w:r>
      <w:r w:rsidR="00F772C3" w:rsidRPr="00A31903">
        <w:rPr>
          <w:rFonts w:ascii="Times New Roman" w:hAnsi="Times New Roman" w:cs="Times New Roman"/>
        </w:rPr>
        <w:t xml:space="preserve"> </w:t>
      </w:r>
      <w:proofErr w:type="spellStart"/>
      <w:r w:rsidR="00F772C3" w:rsidRPr="00A31903">
        <w:rPr>
          <w:rFonts w:ascii="Times New Roman" w:hAnsi="Times New Roman" w:cs="Times New Roman"/>
        </w:rPr>
        <w:t>Obeng</w:t>
      </w:r>
      <w:proofErr w:type="spellEnd"/>
      <w:r w:rsidR="00F772C3" w:rsidRPr="00A31903">
        <w:rPr>
          <w:rFonts w:ascii="Times New Roman" w:hAnsi="Times New Roman" w:cs="Times New Roman"/>
        </w:rPr>
        <w:t>, C. K. (2016)</w:t>
      </w:r>
      <w:r w:rsidR="001F42D3" w:rsidRPr="00A31903">
        <w:rPr>
          <w:rFonts w:ascii="Times New Roman" w:hAnsi="Times New Roman" w:cs="Times New Roman"/>
        </w:rPr>
        <w:t xml:space="preserve">. </w:t>
      </w:r>
      <w:proofErr w:type="gramStart"/>
      <w:r w:rsidR="00F772C3" w:rsidRPr="00A31903">
        <w:rPr>
          <w:rFonts w:ascii="Times New Roman" w:hAnsi="Times New Roman" w:cs="Times New Roman"/>
        </w:rPr>
        <w:t>Estimating Ghana’s tax capacity and e</w:t>
      </w:r>
      <w:r w:rsidR="001F42D3" w:rsidRPr="00A31903">
        <w:rPr>
          <w:rFonts w:ascii="Times New Roman" w:hAnsi="Times New Roman" w:cs="Times New Roman"/>
        </w:rPr>
        <w:t>ffort.</w:t>
      </w:r>
      <w:proofErr w:type="gramEnd"/>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Pr="00A31903">
        <w:rPr>
          <w:rFonts w:ascii="Times New Roman" w:hAnsi="Times New Roman" w:cs="Times New Roman"/>
          <w:i/>
        </w:rPr>
        <w:t>AERC Working Paper</w:t>
      </w:r>
      <w:r w:rsidRPr="00A31903">
        <w:rPr>
          <w:rFonts w:ascii="Times New Roman" w:hAnsi="Times New Roman" w:cs="Times New Roman"/>
        </w:rPr>
        <w:t xml:space="preserve"> (Nairobi: African Economic Research Consortium).</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Bird, R</w:t>
      </w:r>
      <w:r w:rsidR="001E4731" w:rsidRPr="00A31903">
        <w:rPr>
          <w:rFonts w:ascii="Times New Roman" w:hAnsi="Times New Roman" w:cs="Times New Roman"/>
        </w:rPr>
        <w:t>. M., Martinez-</w:t>
      </w:r>
      <w:proofErr w:type="gramStart"/>
      <w:r w:rsidR="001E4731" w:rsidRPr="00A31903">
        <w:rPr>
          <w:rFonts w:ascii="Times New Roman" w:hAnsi="Times New Roman" w:cs="Times New Roman"/>
        </w:rPr>
        <w:t>Vazquez ,</w:t>
      </w:r>
      <w:proofErr w:type="gramEnd"/>
      <w:r w:rsidR="001E4731" w:rsidRPr="00A31903">
        <w:rPr>
          <w:rFonts w:ascii="Times New Roman" w:hAnsi="Times New Roman" w:cs="Times New Roman"/>
        </w:rPr>
        <w:t xml:space="preserve"> J., </w:t>
      </w:r>
      <w:proofErr w:type="spellStart"/>
      <w:r w:rsidRPr="00A31903">
        <w:rPr>
          <w:rFonts w:ascii="Times New Roman" w:hAnsi="Times New Roman" w:cs="Times New Roman"/>
        </w:rPr>
        <w:t>Torgler</w:t>
      </w:r>
      <w:proofErr w:type="spellEnd"/>
      <w:r w:rsidRPr="00A31903">
        <w:rPr>
          <w:rFonts w:ascii="Times New Roman" w:hAnsi="Times New Roman" w:cs="Times New Roman"/>
        </w:rPr>
        <w:t>, B. (2007 )</w:t>
      </w:r>
      <w:r w:rsidR="001F42D3" w:rsidRPr="00A31903">
        <w:rPr>
          <w:rFonts w:ascii="Times New Roman" w:hAnsi="Times New Roman" w:cs="Times New Roman"/>
        </w:rPr>
        <w:t>.</w:t>
      </w:r>
      <w:r w:rsidRPr="00A31903">
        <w:rPr>
          <w:rFonts w:ascii="Times New Roman" w:hAnsi="Times New Roman" w:cs="Times New Roman"/>
        </w:rPr>
        <w:t xml:space="preserve"> Tax effort: The impact of </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Pr="00A31903">
        <w:rPr>
          <w:rFonts w:ascii="Times New Roman" w:hAnsi="Times New Roman" w:cs="Times New Roman"/>
        </w:rPr>
        <w:t>corruption</w:t>
      </w:r>
      <w:proofErr w:type="gramEnd"/>
      <w:r w:rsidRPr="00A31903">
        <w:rPr>
          <w:rFonts w:ascii="Times New Roman" w:hAnsi="Times New Roman" w:cs="Times New Roman"/>
        </w:rPr>
        <w:t>, voice and accountability</w:t>
      </w:r>
      <w:r w:rsidR="001F42D3" w:rsidRPr="00A31903">
        <w:rPr>
          <w:rFonts w:ascii="Times New Roman" w:hAnsi="Times New Roman" w:cs="Times New Roman"/>
        </w:rPr>
        <w:t>.</w:t>
      </w:r>
      <w:r w:rsidRPr="00A31903">
        <w:rPr>
          <w:rFonts w:ascii="Times New Roman" w:hAnsi="Times New Roman" w:cs="Times New Roman"/>
        </w:rPr>
        <w:t xml:space="preserve"> </w:t>
      </w:r>
      <w:proofErr w:type="gramStart"/>
      <w:r w:rsidRPr="00A31903">
        <w:rPr>
          <w:rFonts w:ascii="Times New Roman" w:hAnsi="Times New Roman" w:cs="Times New Roman"/>
          <w:i/>
        </w:rPr>
        <w:t>ITP Paper 0702</w:t>
      </w:r>
      <w:r w:rsidRPr="00A31903">
        <w:rPr>
          <w:rFonts w:ascii="Times New Roman" w:hAnsi="Times New Roman" w:cs="Times New Roman"/>
        </w:rPr>
        <w:t>, University of Tor</w:t>
      </w:r>
      <w:r w:rsidR="00BD0163" w:rsidRPr="00A31903">
        <w:rPr>
          <w:rFonts w:ascii="Times New Roman" w:hAnsi="Times New Roman" w:cs="Times New Roman"/>
        </w:rPr>
        <w:t>onto</w:t>
      </w:r>
      <w:r w:rsidRPr="00A31903">
        <w:rPr>
          <w:rFonts w:ascii="Times New Roman" w:hAnsi="Times New Roman" w:cs="Times New Roman"/>
        </w:rPr>
        <w:t>, Canada.</w:t>
      </w:r>
      <w:proofErr w:type="gramEnd"/>
    </w:p>
    <w:p w:rsidR="00F772C3" w:rsidRPr="00A31903" w:rsidRDefault="00843E1E" w:rsidP="00821AB4">
      <w:pPr>
        <w:autoSpaceDE w:val="0"/>
        <w:autoSpaceDN w:val="0"/>
        <w:adjustRightInd w:val="0"/>
        <w:spacing w:after="0" w:line="240" w:lineRule="auto"/>
        <w:jc w:val="both"/>
        <w:rPr>
          <w:rFonts w:ascii="Times New Roman" w:hAnsi="Times New Roman" w:cs="Times New Roman"/>
        </w:rPr>
      </w:pPr>
      <w:proofErr w:type="gramStart"/>
      <w:r w:rsidRPr="00A31903">
        <w:rPr>
          <w:rFonts w:ascii="Times New Roman" w:hAnsi="Times New Roman" w:cs="Times New Roman"/>
        </w:rPr>
        <w:t>Bird, R. M.,</w:t>
      </w:r>
      <w:r w:rsidR="00F772C3" w:rsidRPr="00A31903">
        <w:rPr>
          <w:rFonts w:ascii="Times New Roman" w:hAnsi="Times New Roman" w:cs="Times New Roman"/>
        </w:rPr>
        <w:t xml:space="preserve"> </w:t>
      </w:r>
      <w:proofErr w:type="spellStart"/>
      <w:r w:rsidR="00F772C3" w:rsidRPr="00A31903">
        <w:rPr>
          <w:rFonts w:ascii="Times New Roman" w:hAnsi="Times New Roman" w:cs="Times New Roman"/>
        </w:rPr>
        <w:t>Oldman</w:t>
      </w:r>
      <w:proofErr w:type="spellEnd"/>
      <w:r w:rsidR="00F772C3" w:rsidRPr="00A31903">
        <w:rPr>
          <w:rFonts w:ascii="Times New Roman" w:hAnsi="Times New Roman" w:cs="Times New Roman"/>
        </w:rPr>
        <w:t>, O. (1990)</w:t>
      </w:r>
      <w:r w:rsidR="001F42D3" w:rsidRPr="00A31903">
        <w:rPr>
          <w:rFonts w:ascii="Times New Roman" w:hAnsi="Times New Roman" w:cs="Times New Roman"/>
        </w:rPr>
        <w:t>.</w:t>
      </w:r>
      <w:proofErr w:type="gramEnd"/>
      <w:r w:rsidR="00F772C3" w:rsidRPr="00A31903">
        <w:rPr>
          <w:rFonts w:ascii="Times New Roman" w:hAnsi="Times New Roman" w:cs="Times New Roman"/>
        </w:rPr>
        <w:t xml:space="preserve"> </w:t>
      </w:r>
      <w:proofErr w:type="gramStart"/>
      <w:r w:rsidR="00F772C3" w:rsidRPr="00A31903">
        <w:rPr>
          <w:rFonts w:ascii="Times New Roman" w:hAnsi="Times New Roman" w:cs="Times New Roman"/>
          <w:i/>
        </w:rPr>
        <w:t>Taxation in Developing Countries</w:t>
      </w:r>
      <w:r w:rsidR="001F42D3" w:rsidRPr="00A31903">
        <w:rPr>
          <w:rFonts w:ascii="Times New Roman" w:hAnsi="Times New Roman" w:cs="Times New Roman"/>
        </w:rPr>
        <w:t>.</w:t>
      </w:r>
      <w:proofErr w:type="gramEnd"/>
      <w:r w:rsidR="00F772C3" w:rsidRPr="00A31903">
        <w:rPr>
          <w:rFonts w:ascii="Times New Roman" w:hAnsi="Times New Roman" w:cs="Times New Roman"/>
        </w:rPr>
        <w:t xml:space="preserve"> The Johns Hopkins </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University Press, Baltimore</w:t>
      </w:r>
      <w:r w:rsidR="00C20A01" w:rsidRPr="00A31903">
        <w:rPr>
          <w:rFonts w:ascii="Times New Roman" w:hAnsi="Times New Roman" w:cs="Times New Roman"/>
        </w:rPr>
        <w:t>.</w:t>
      </w:r>
    </w:p>
    <w:p w:rsidR="001A5A48" w:rsidRPr="00A31903" w:rsidRDefault="001A5A48" w:rsidP="00821AB4">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lang w:val="en-GB"/>
        </w:rPr>
        <w:t>Bird R. M., Martinez-Vazquez J.</w:t>
      </w:r>
      <w:r w:rsidR="008E1FA7" w:rsidRPr="00A31903">
        <w:rPr>
          <w:rFonts w:ascii="Times New Roman" w:hAnsi="Times New Roman" w:cs="Times New Roman"/>
          <w:lang w:val="en-GB"/>
        </w:rPr>
        <w:t>,</w:t>
      </w:r>
      <w:r w:rsidR="003565CB" w:rsidRPr="00A31903">
        <w:rPr>
          <w:rFonts w:ascii="Times New Roman" w:hAnsi="Times New Roman" w:cs="Times New Roman"/>
          <w:lang w:val="en-GB"/>
        </w:rPr>
        <w:t xml:space="preserve"> </w:t>
      </w:r>
      <w:proofErr w:type="spellStart"/>
      <w:r w:rsidR="003565CB" w:rsidRPr="00A31903">
        <w:rPr>
          <w:rFonts w:ascii="Times New Roman" w:hAnsi="Times New Roman" w:cs="Times New Roman"/>
          <w:lang w:val="en-GB"/>
        </w:rPr>
        <w:t>Torgler</w:t>
      </w:r>
      <w:proofErr w:type="spellEnd"/>
      <w:r w:rsidR="003565CB" w:rsidRPr="00A31903">
        <w:rPr>
          <w:rFonts w:ascii="Times New Roman" w:hAnsi="Times New Roman" w:cs="Times New Roman"/>
          <w:lang w:val="en-GB"/>
        </w:rPr>
        <w:t xml:space="preserve"> B.</w:t>
      </w:r>
      <w:r w:rsidR="001F42D3" w:rsidRPr="00A31903">
        <w:rPr>
          <w:rFonts w:ascii="Times New Roman" w:hAnsi="Times New Roman" w:cs="Times New Roman"/>
          <w:lang w:val="en-GB"/>
        </w:rPr>
        <w:t xml:space="preserve"> (2008).</w:t>
      </w:r>
      <w:r w:rsidRPr="00A31903">
        <w:rPr>
          <w:rFonts w:ascii="Times New Roman" w:hAnsi="Times New Roman" w:cs="Times New Roman"/>
          <w:lang w:val="en-GB"/>
        </w:rPr>
        <w:t xml:space="preserve"> </w:t>
      </w:r>
      <w:r w:rsidR="003565CB" w:rsidRPr="00A31903">
        <w:rPr>
          <w:rFonts w:ascii="Times New Roman" w:hAnsi="Times New Roman" w:cs="Times New Roman"/>
          <w:lang w:val="en-GB"/>
        </w:rPr>
        <w:t>Tax effort in d</w:t>
      </w:r>
      <w:r w:rsidRPr="00A31903">
        <w:rPr>
          <w:rFonts w:ascii="Times New Roman" w:hAnsi="Times New Roman" w:cs="Times New Roman"/>
          <w:lang w:val="en-GB"/>
        </w:rPr>
        <w:t xml:space="preserve">eveloping </w:t>
      </w:r>
      <w:r w:rsidR="003565CB" w:rsidRPr="00A31903">
        <w:rPr>
          <w:rFonts w:ascii="Times New Roman" w:hAnsi="Times New Roman" w:cs="Times New Roman"/>
          <w:lang w:val="en-GB"/>
        </w:rPr>
        <w:t>countries</w:t>
      </w:r>
    </w:p>
    <w:p w:rsidR="001A5A48" w:rsidRPr="00A31903" w:rsidRDefault="001A5A48" w:rsidP="00821AB4">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lang w:val="en-GB"/>
        </w:rPr>
        <w:lastRenderedPageBreak/>
        <w:t xml:space="preserve">            </w:t>
      </w:r>
      <w:proofErr w:type="gramStart"/>
      <w:r w:rsidR="003565CB" w:rsidRPr="00A31903">
        <w:rPr>
          <w:rFonts w:ascii="Times New Roman" w:hAnsi="Times New Roman" w:cs="Times New Roman"/>
          <w:lang w:val="en-GB"/>
        </w:rPr>
        <w:t>and</w:t>
      </w:r>
      <w:proofErr w:type="gramEnd"/>
      <w:r w:rsidR="003565CB" w:rsidRPr="00A31903">
        <w:rPr>
          <w:rFonts w:ascii="Times New Roman" w:hAnsi="Times New Roman" w:cs="Times New Roman"/>
          <w:lang w:val="en-GB"/>
        </w:rPr>
        <w:t xml:space="preserve"> high-income countries : The i</w:t>
      </w:r>
      <w:r w:rsidRPr="00A31903">
        <w:rPr>
          <w:rFonts w:ascii="Times New Roman" w:hAnsi="Times New Roman" w:cs="Times New Roman"/>
          <w:lang w:val="en-GB"/>
        </w:rPr>
        <w:t>mpact of</w:t>
      </w:r>
      <w:r w:rsidR="003565CB" w:rsidRPr="00A31903">
        <w:rPr>
          <w:rFonts w:ascii="Times New Roman" w:hAnsi="Times New Roman" w:cs="Times New Roman"/>
          <w:lang w:val="en-GB"/>
        </w:rPr>
        <w:t xml:space="preserve"> corruption, voice and a</w:t>
      </w:r>
      <w:r w:rsidR="001F42D3" w:rsidRPr="00A31903">
        <w:rPr>
          <w:rFonts w:ascii="Times New Roman" w:hAnsi="Times New Roman" w:cs="Times New Roman"/>
          <w:lang w:val="en-GB"/>
        </w:rPr>
        <w:t>ccountability.</w:t>
      </w:r>
      <w:r w:rsidRPr="00A31903">
        <w:rPr>
          <w:rFonts w:ascii="Times New Roman" w:hAnsi="Times New Roman" w:cs="Times New Roman"/>
          <w:lang w:val="en-GB"/>
        </w:rPr>
        <w:t xml:space="preserve">   </w:t>
      </w:r>
    </w:p>
    <w:p w:rsidR="001A5A48" w:rsidRPr="00A31903" w:rsidRDefault="001A5A48" w:rsidP="00821AB4">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lang w:val="en-GB"/>
        </w:rPr>
        <w:t xml:space="preserve">            </w:t>
      </w:r>
      <w:r w:rsidRPr="00A31903">
        <w:rPr>
          <w:rFonts w:ascii="Times New Roman" w:hAnsi="Times New Roman" w:cs="Times New Roman"/>
          <w:i/>
          <w:iCs/>
          <w:lang w:val="en-GB"/>
        </w:rPr>
        <w:t>Economic Analysis and Policy</w:t>
      </w:r>
      <w:r w:rsidR="001F42D3" w:rsidRPr="00A31903">
        <w:rPr>
          <w:rFonts w:ascii="Times New Roman" w:hAnsi="Times New Roman" w:cs="Times New Roman"/>
          <w:lang w:val="en-GB"/>
        </w:rPr>
        <w:t xml:space="preserve">, </w:t>
      </w:r>
      <w:r w:rsidR="001F42D3" w:rsidRPr="00A31903">
        <w:rPr>
          <w:rFonts w:ascii="Times New Roman" w:hAnsi="Times New Roman" w:cs="Times New Roman"/>
          <w:i/>
          <w:lang w:val="en-GB"/>
        </w:rPr>
        <w:t>38</w:t>
      </w:r>
      <w:r w:rsidR="005914CB" w:rsidRPr="00A31903">
        <w:rPr>
          <w:rFonts w:ascii="Times New Roman" w:hAnsi="Times New Roman" w:cs="Times New Roman"/>
          <w:i/>
          <w:lang w:val="en-GB"/>
        </w:rPr>
        <w:t xml:space="preserve"> </w:t>
      </w:r>
      <w:r w:rsidR="005914CB" w:rsidRPr="00A31903">
        <w:rPr>
          <w:rFonts w:ascii="Times New Roman" w:hAnsi="Times New Roman" w:cs="Times New Roman"/>
          <w:lang w:val="en-GB"/>
        </w:rPr>
        <w:t>(1)</w:t>
      </w:r>
      <w:r w:rsidR="001F42D3" w:rsidRPr="00A31903">
        <w:rPr>
          <w:rFonts w:ascii="Times New Roman" w:hAnsi="Times New Roman" w:cs="Times New Roman"/>
          <w:lang w:val="en-GB"/>
        </w:rPr>
        <w:t>,</w:t>
      </w:r>
      <w:r w:rsidRPr="00A31903">
        <w:rPr>
          <w:rFonts w:ascii="Times New Roman" w:hAnsi="Times New Roman" w:cs="Times New Roman"/>
          <w:lang w:val="en-GB"/>
        </w:rPr>
        <w:t xml:space="preserve"> 55-71.</w:t>
      </w:r>
    </w:p>
    <w:p w:rsidR="001A5A48" w:rsidRPr="00A31903" w:rsidRDefault="001A5A48" w:rsidP="00821AB4">
      <w:pPr>
        <w:autoSpaceDE w:val="0"/>
        <w:autoSpaceDN w:val="0"/>
        <w:adjustRightInd w:val="0"/>
        <w:spacing w:after="0" w:line="240" w:lineRule="auto"/>
        <w:jc w:val="both"/>
        <w:rPr>
          <w:rFonts w:ascii="Times New Roman" w:hAnsi="Times New Roman" w:cs="Times New Roman"/>
          <w:lang w:val="en-GB"/>
        </w:rPr>
      </w:pPr>
      <w:proofErr w:type="spellStart"/>
      <w:r w:rsidRPr="00A31903">
        <w:rPr>
          <w:rFonts w:ascii="Times New Roman" w:hAnsi="Times New Roman" w:cs="Times New Roman"/>
          <w:lang w:val="en-GB"/>
        </w:rPr>
        <w:t>Botlhole</w:t>
      </w:r>
      <w:proofErr w:type="spellEnd"/>
      <w:r w:rsidRPr="00A31903">
        <w:rPr>
          <w:rFonts w:ascii="Times New Roman" w:hAnsi="Times New Roman" w:cs="Times New Roman"/>
          <w:lang w:val="en-GB"/>
        </w:rPr>
        <w:t xml:space="preserve"> T. D., (2010). </w:t>
      </w:r>
      <w:proofErr w:type="gramStart"/>
      <w:r w:rsidRPr="00A31903">
        <w:rPr>
          <w:rFonts w:ascii="Times New Roman" w:hAnsi="Times New Roman" w:cs="Times New Roman"/>
          <w:lang w:val="en-GB"/>
        </w:rPr>
        <w:t>Tax effort and the determinant of</w:t>
      </w:r>
      <w:r w:rsidR="001F42D3" w:rsidRPr="00A31903">
        <w:rPr>
          <w:rFonts w:ascii="Times New Roman" w:hAnsi="Times New Roman" w:cs="Times New Roman"/>
          <w:lang w:val="en-GB"/>
        </w:rPr>
        <w:t xml:space="preserve"> tax ratio in Sub-Sahara Africa.</w:t>
      </w:r>
      <w:proofErr w:type="gramEnd"/>
    </w:p>
    <w:p w:rsidR="001A5A48" w:rsidRPr="00A31903" w:rsidRDefault="001A5A48"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lang w:val="en-GB"/>
        </w:rPr>
        <w:t xml:space="preserve">             </w:t>
      </w:r>
      <w:proofErr w:type="gramStart"/>
      <w:r w:rsidRPr="00A31903">
        <w:rPr>
          <w:rFonts w:ascii="Times New Roman" w:hAnsi="Times New Roman" w:cs="Times New Roman"/>
          <w:i/>
          <w:lang w:val="en-GB"/>
        </w:rPr>
        <w:t>International Conference on Applied Economics</w:t>
      </w:r>
      <w:r w:rsidRPr="00A31903">
        <w:rPr>
          <w:rFonts w:ascii="Times New Roman" w:hAnsi="Times New Roman" w:cs="Times New Roman"/>
          <w:lang w:val="en-GB"/>
        </w:rPr>
        <w:t xml:space="preserve">- </w:t>
      </w:r>
      <w:r w:rsidR="00480806" w:rsidRPr="00A31903">
        <w:rPr>
          <w:rFonts w:ascii="Times New Roman" w:hAnsi="Times New Roman" w:cs="Times New Roman"/>
          <w:lang w:val="en-GB"/>
        </w:rPr>
        <w:t>ICOAE 2010</w:t>
      </w:r>
      <w:r w:rsidRPr="00A31903">
        <w:rPr>
          <w:rFonts w:ascii="Times New Roman" w:hAnsi="Times New Roman" w:cs="Times New Roman"/>
          <w:lang w:val="en-GB"/>
        </w:rPr>
        <w:t>.</w:t>
      </w:r>
      <w:proofErr w:type="gramEnd"/>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Chelliah</w:t>
      </w:r>
      <w:proofErr w:type="spellEnd"/>
      <w:r w:rsidRPr="00A31903">
        <w:rPr>
          <w:rFonts w:ascii="Times New Roman" w:hAnsi="Times New Roman" w:cs="Times New Roman"/>
        </w:rPr>
        <w:t>, R. (1971)</w:t>
      </w:r>
      <w:r w:rsidR="001F42D3" w:rsidRPr="00A31903">
        <w:rPr>
          <w:rFonts w:ascii="Times New Roman" w:hAnsi="Times New Roman" w:cs="Times New Roman"/>
        </w:rPr>
        <w:t xml:space="preserve">. </w:t>
      </w:r>
      <w:proofErr w:type="gramStart"/>
      <w:r w:rsidRPr="00A31903">
        <w:rPr>
          <w:rFonts w:ascii="Times New Roman" w:hAnsi="Times New Roman" w:cs="Times New Roman"/>
        </w:rPr>
        <w:t>Trends in taxation in developing c</w:t>
      </w:r>
      <w:r w:rsidR="001F42D3" w:rsidRPr="00A31903">
        <w:rPr>
          <w:rFonts w:ascii="Times New Roman" w:hAnsi="Times New Roman" w:cs="Times New Roman"/>
        </w:rPr>
        <w:t>ountries.</w:t>
      </w:r>
      <w:proofErr w:type="gramEnd"/>
      <w:r w:rsidRPr="00A31903">
        <w:rPr>
          <w:rFonts w:ascii="Times New Roman" w:hAnsi="Times New Roman" w:cs="Times New Roman"/>
        </w:rPr>
        <w:t xml:space="preserve"> </w:t>
      </w:r>
      <w:r w:rsidRPr="00A31903">
        <w:rPr>
          <w:rFonts w:ascii="Times New Roman" w:hAnsi="Times New Roman" w:cs="Times New Roman"/>
          <w:i/>
        </w:rPr>
        <w:t>IMF Staff Papers</w:t>
      </w:r>
      <w:r w:rsidR="001F42D3" w:rsidRPr="00A31903">
        <w:rPr>
          <w:rFonts w:ascii="Times New Roman" w:hAnsi="Times New Roman" w:cs="Times New Roman"/>
        </w:rPr>
        <w:t xml:space="preserve">, </w:t>
      </w:r>
      <w:r w:rsidRPr="00A31903">
        <w:rPr>
          <w:rFonts w:ascii="Times New Roman" w:hAnsi="Times New Roman" w:cs="Times New Roman"/>
          <w:i/>
        </w:rPr>
        <w:t>18</w:t>
      </w:r>
      <w:r w:rsidRPr="00A31903">
        <w:rPr>
          <w:rFonts w:ascii="Times New Roman" w:hAnsi="Times New Roman" w:cs="Times New Roman"/>
        </w:rPr>
        <w:t xml:space="preserve">, </w:t>
      </w:r>
    </w:p>
    <w:p w:rsidR="00F772C3" w:rsidRPr="00A31903" w:rsidRDefault="001F42D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00F772C3" w:rsidRPr="00A31903">
        <w:rPr>
          <w:rFonts w:ascii="Times New Roman" w:hAnsi="Times New Roman" w:cs="Times New Roman"/>
        </w:rPr>
        <w:t>254-327.</w:t>
      </w:r>
      <w:proofErr w:type="gramEnd"/>
    </w:p>
    <w:p w:rsidR="00F772C3" w:rsidRPr="00A31903" w:rsidRDefault="00BD3576" w:rsidP="00821AB4">
      <w:pPr>
        <w:autoSpaceDE w:val="0"/>
        <w:autoSpaceDN w:val="0"/>
        <w:adjustRightInd w:val="0"/>
        <w:spacing w:after="0" w:line="240" w:lineRule="auto"/>
        <w:jc w:val="both"/>
        <w:rPr>
          <w:rFonts w:ascii="Times New Roman" w:hAnsi="Times New Roman" w:cs="Times New Roman"/>
        </w:rPr>
      </w:pPr>
      <w:proofErr w:type="spellStart"/>
      <w:proofErr w:type="gramStart"/>
      <w:r w:rsidRPr="00A31903">
        <w:rPr>
          <w:rFonts w:ascii="Times New Roman" w:hAnsi="Times New Roman" w:cs="Times New Roman"/>
        </w:rPr>
        <w:t>Ch</w:t>
      </w:r>
      <w:r w:rsidR="00843E1E" w:rsidRPr="00A31903">
        <w:rPr>
          <w:rFonts w:ascii="Times New Roman" w:hAnsi="Times New Roman" w:cs="Times New Roman"/>
        </w:rPr>
        <w:t>elliah</w:t>
      </w:r>
      <w:proofErr w:type="spellEnd"/>
      <w:r w:rsidR="00843E1E" w:rsidRPr="00A31903">
        <w:rPr>
          <w:rFonts w:ascii="Times New Roman" w:hAnsi="Times New Roman" w:cs="Times New Roman"/>
        </w:rPr>
        <w:t xml:space="preserve"> ,R</w:t>
      </w:r>
      <w:proofErr w:type="gramEnd"/>
      <w:r w:rsidR="00843E1E" w:rsidRPr="00A31903">
        <w:rPr>
          <w:rFonts w:ascii="Times New Roman" w:hAnsi="Times New Roman" w:cs="Times New Roman"/>
        </w:rPr>
        <w:t>. J., Bass, H. J.,</w:t>
      </w:r>
      <w:r w:rsidR="00F772C3" w:rsidRPr="00A31903">
        <w:rPr>
          <w:rFonts w:ascii="Times New Roman" w:hAnsi="Times New Roman" w:cs="Times New Roman"/>
        </w:rPr>
        <w:t xml:space="preserve"> Kelly ,M. R. (1975)</w:t>
      </w:r>
      <w:r w:rsidR="001F42D3" w:rsidRPr="00A31903">
        <w:rPr>
          <w:rFonts w:ascii="Times New Roman" w:hAnsi="Times New Roman" w:cs="Times New Roman"/>
        </w:rPr>
        <w:t>.</w:t>
      </w:r>
      <w:r w:rsidR="00F772C3" w:rsidRPr="00A31903">
        <w:rPr>
          <w:rFonts w:ascii="Times New Roman" w:hAnsi="Times New Roman" w:cs="Times New Roman"/>
        </w:rPr>
        <w:t xml:space="preserve"> </w:t>
      </w:r>
      <w:r w:rsidR="001F42D3" w:rsidRPr="00A31903">
        <w:rPr>
          <w:rFonts w:ascii="Times New Roman" w:hAnsi="Times New Roman" w:cs="Times New Roman"/>
        </w:rPr>
        <w:t>T</w:t>
      </w:r>
      <w:r w:rsidR="00F772C3" w:rsidRPr="00A31903">
        <w:rPr>
          <w:rFonts w:ascii="Times New Roman" w:hAnsi="Times New Roman" w:cs="Times New Roman"/>
        </w:rPr>
        <w:t xml:space="preserve">ax ratios and tax effort in developing </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C</w:t>
      </w:r>
      <w:r w:rsidR="001F42D3" w:rsidRPr="00A31903">
        <w:rPr>
          <w:rFonts w:ascii="Times New Roman" w:hAnsi="Times New Roman" w:cs="Times New Roman"/>
        </w:rPr>
        <w:t>ountries 1969-71.</w:t>
      </w:r>
      <w:r w:rsidR="00480806" w:rsidRPr="00A31903">
        <w:rPr>
          <w:rFonts w:ascii="Times New Roman" w:hAnsi="Times New Roman" w:cs="Times New Roman"/>
        </w:rPr>
        <w:t xml:space="preserve"> </w:t>
      </w:r>
      <w:r w:rsidR="00480806" w:rsidRPr="00A31903">
        <w:rPr>
          <w:rFonts w:ascii="Times New Roman" w:hAnsi="Times New Roman" w:cs="Times New Roman"/>
          <w:i/>
        </w:rPr>
        <w:t>IM</w:t>
      </w:r>
      <w:r w:rsidRPr="00A31903">
        <w:rPr>
          <w:rFonts w:ascii="Times New Roman" w:hAnsi="Times New Roman" w:cs="Times New Roman"/>
          <w:i/>
        </w:rPr>
        <w:t>F Staff P</w:t>
      </w:r>
      <w:r w:rsidR="008E1FA7" w:rsidRPr="00A31903">
        <w:rPr>
          <w:rFonts w:ascii="Times New Roman" w:hAnsi="Times New Roman" w:cs="Times New Roman"/>
          <w:i/>
        </w:rPr>
        <w:t>apers</w:t>
      </w:r>
      <w:r w:rsidRPr="00A31903">
        <w:rPr>
          <w:rFonts w:ascii="Times New Roman" w:hAnsi="Times New Roman" w:cs="Times New Roman"/>
          <w:i/>
        </w:rPr>
        <w:t>,</w:t>
      </w:r>
      <w:r w:rsidR="008E1FA7" w:rsidRPr="00A31903">
        <w:rPr>
          <w:rFonts w:ascii="Times New Roman" w:hAnsi="Times New Roman" w:cs="Times New Roman"/>
        </w:rPr>
        <w:t xml:space="preserve"> </w:t>
      </w:r>
      <w:r w:rsidR="008E1FA7" w:rsidRPr="00A31903">
        <w:rPr>
          <w:rFonts w:ascii="Times New Roman" w:hAnsi="Times New Roman" w:cs="Times New Roman"/>
          <w:i/>
        </w:rPr>
        <w:t>XXII</w:t>
      </w:r>
      <w:r w:rsidR="008E1FA7" w:rsidRPr="00A31903">
        <w:rPr>
          <w:rFonts w:ascii="Times New Roman" w:hAnsi="Times New Roman" w:cs="Times New Roman"/>
        </w:rPr>
        <w:t xml:space="preserve"> </w:t>
      </w:r>
      <w:r w:rsidR="001F42D3" w:rsidRPr="00A31903">
        <w:rPr>
          <w:rFonts w:ascii="Times New Roman" w:hAnsi="Times New Roman" w:cs="Times New Roman"/>
        </w:rPr>
        <w:t>(</w:t>
      </w:r>
      <w:r w:rsidRPr="00A31903">
        <w:rPr>
          <w:rFonts w:ascii="Times New Roman" w:hAnsi="Times New Roman" w:cs="Times New Roman"/>
        </w:rPr>
        <w:t>1</w:t>
      </w:r>
      <w:r w:rsidR="001F42D3" w:rsidRPr="00A31903">
        <w:rPr>
          <w:rFonts w:ascii="Times New Roman" w:hAnsi="Times New Roman" w:cs="Times New Roman"/>
        </w:rPr>
        <w:t>)</w:t>
      </w:r>
      <w:r w:rsidRPr="00A31903">
        <w:rPr>
          <w:rFonts w:ascii="Times New Roman" w:hAnsi="Times New Roman" w:cs="Times New Roman"/>
        </w:rPr>
        <w:t>, March.</w:t>
      </w:r>
    </w:p>
    <w:p w:rsidR="00F772C3" w:rsidRPr="00A31903" w:rsidRDefault="001E4731" w:rsidP="00821AB4">
      <w:pPr>
        <w:autoSpaceDE w:val="0"/>
        <w:autoSpaceDN w:val="0"/>
        <w:adjustRightInd w:val="0"/>
        <w:spacing w:after="0" w:line="240" w:lineRule="auto"/>
        <w:jc w:val="both"/>
        <w:rPr>
          <w:rFonts w:ascii="Times New Roman" w:hAnsi="Times New Roman" w:cs="Times New Roman"/>
        </w:rPr>
      </w:pPr>
      <w:proofErr w:type="spellStart"/>
      <w:proofErr w:type="gramStart"/>
      <w:r w:rsidRPr="00A31903">
        <w:rPr>
          <w:rFonts w:ascii="Times New Roman" w:hAnsi="Times New Roman" w:cs="Times New Roman"/>
        </w:rPr>
        <w:t>Daxon</w:t>
      </w:r>
      <w:proofErr w:type="spellEnd"/>
      <w:r w:rsidRPr="00A31903">
        <w:rPr>
          <w:rFonts w:ascii="Times New Roman" w:hAnsi="Times New Roman" w:cs="Times New Roman"/>
        </w:rPr>
        <w:t xml:space="preserve">, T., </w:t>
      </w:r>
      <w:proofErr w:type="spellStart"/>
      <w:r w:rsidR="00F772C3" w:rsidRPr="00A31903">
        <w:rPr>
          <w:rFonts w:ascii="Times New Roman" w:hAnsi="Times New Roman" w:cs="Times New Roman"/>
        </w:rPr>
        <w:t>Enevoldsen</w:t>
      </w:r>
      <w:proofErr w:type="spellEnd"/>
      <w:r w:rsidR="00F772C3" w:rsidRPr="00A31903">
        <w:rPr>
          <w:rFonts w:ascii="Times New Roman" w:hAnsi="Times New Roman" w:cs="Times New Roman"/>
        </w:rPr>
        <w:t>, D J.</w:t>
      </w:r>
      <w:r w:rsidR="0038616C" w:rsidRPr="00A31903">
        <w:rPr>
          <w:rFonts w:ascii="Times New Roman" w:hAnsi="Times New Roman" w:cs="Times New Roman"/>
        </w:rPr>
        <w:t xml:space="preserve"> </w:t>
      </w:r>
      <w:r w:rsidR="00F772C3" w:rsidRPr="00A31903">
        <w:rPr>
          <w:rFonts w:ascii="Times New Roman" w:hAnsi="Times New Roman" w:cs="Times New Roman"/>
        </w:rPr>
        <w:t>(1995)</w:t>
      </w:r>
      <w:r w:rsidR="001F42D3" w:rsidRPr="00A31903">
        <w:rPr>
          <w:rFonts w:ascii="Times New Roman" w:hAnsi="Times New Roman" w:cs="Times New Roman"/>
        </w:rPr>
        <w:t>.</w:t>
      </w:r>
      <w:proofErr w:type="gramEnd"/>
      <w:r w:rsidR="001F42D3" w:rsidRPr="00A31903">
        <w:rPr>
          <w:rFonts w:ascii="Times New Roman" w:hAnsi="Times New Roman" w:cs="Times New Roman"/>
        </w:rPr>
        <w:t xml:space="preserve"> </w:t>
      </w:r>
      <w:r w:rsidR="00F772C3" w:rsidRPr="00A31903">
        <w:rPr>
          <w:rFonts w:ascii="Times New Roman" w:hAnsi="Times New Roman" w:cs="Times New Roman"/>
        </w:rPr>
        <w:t>State and local tax burdens – How Oklahoma</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Pr="00A31903">
        <w:rPr>
          <w:rFonts w:ascii="Times New Roman" w:hAnsi="Times New Roman" w:cs="Times New Roman"/>
        </w:rPr>
        <w:t>compares</w:t>
      </w:r>
      <w:proofErr w:type="gramEnd"/>
      <w:r w:rsidRPr="00A31903">
        <w:rPr>
          <w:rFonts w:ascii="Times New Roman" w:hAnsi="Times New Roman" w:cs="Times New Roman"/>
        </w:rPr>
        <w:t>, fiscal y</w:t>
      </w:r>
      <w:r w:rsidR="001F42D3" w:rsidRPr="00A31903">
        <w:rPr>
          <w:rFonts w:ascii="Times New Roman" w:hAnsi="Times New Roman" w:cs="Times New Roman"/>
        </w:rPr>
        <w:t>ear 1995.</w:t>
      </w:r>
      <w:r w:rsidRPr="00A31903">
        <w:rPr>
          <w:rFonts w:ascii="Times New Roman" w:hAnsi="Times New Roman" w:cs="Times New Roman"/>
        </w:rPr>
        <w:t xml:space="preserve"> Oklahoma Office of S</w:t>
      </w:r>
      <w:r w:rsidR="001F42D3" w:rsidRPr="00A31903">
        <w:rPr>
          <w:rFonts w:ascii="Times New Roman" w:hAnsi="Times New Roman" w:cs="Times New Roman"/>
        </w:rPr>
        <w:t xml:space="preserve">tate </w:t>
      </w:r>
      <w:proofErr w:type="gramStart"/>
      <w:r w:rsidR="001F42D3" w:rsidRPr="00A31903">
        <w:rPr>
          <w:rFonts w:ascii="Times New Roman" w:hAnsi="Times New Roman" w:cs="Times New Roman"/>
        </w:rPr>
        <w:t xml:space="preserve">Finance </w:t>
      </w:r>
      <w:r w:rsidRPr="00A31903">
        <w:rPr>
          <w:rFonts w:ascii="Times New Roman" w:hAnsi="Times New Roman" w:cs="Times New Roman"/>
        </w:rPr>
        <w:t>,</w:t>
      </w:r>
      <w:proofErr w:type="gramEnd"/>
      <w:r w:rsidRPr="00A31903">
        <w:rPr>
          <w:rFonts w:ascii="Times New Roman" w:hAnsi="Times New Roman" w:cs="Times New Roman"/>
        </w:rPr>
        <w:t xml:space="preserve"> USA</w:t>
      </w:r>
      <w:r w:rsidR="001F42D3" w:rsidRPr="00A31903">
        <w:rPr>
          <w:rFonts w:ascii="Times New Roman" w:hAnsi="Times New Roman" w:cs="Times New Roman"/>
        </w:rPr>
        <w:t>.</w:t>
      </w:r>
      <w:r w:rsidRPr="00A31903">
        <w:rPr>
          <w:rFonts w:ascii="Times New Roman" w:hAnsi="Times New Roman" w:cs="Times New Roman"/>
        </w:rPr>
        <w:t xml:space="preserve"> </w:t>
      </w:r>
    </w:p>
    <w:p w:rsidR="00C20A01" w:rsidRPr="00A31903" w:rsidRDefault="00F772C3" w:rsidP="00821AB4">
      <w:pPr>
        <w:autoSpaceDE w:val="0"/>
        <w:autoSpaceDN w:val="0"/>
        <w:adjustRightInd w:val="0"/>
        <w:spacing w:after="0" w:line="240" w:lineRule="auto"/>
        <w:jc w:val="both"/>
        <w:rPr>
          <w:rFonts w:ascii="Times New Roman" w:hAnsi="Times New Roman" w:cs="Times New Roman"/>
        </w:rPr>
      </w:pPr>
      <w:proofErr w:type="spellStart"/>
      <w:proofErr w:type="gramStart"/>
      <w:r w:rsidRPr="00A31903">
        <w:rPr>
          <w:rFonts w:ascii="Times New Roman" w:hAnsi="Times New Roman" w:cs="Times New Roman"/>
        </w:rPr>
        <w:t>Deepashree</w:t>
      </w:r>
      <w:proofErr w:type="spellEnd"/>
      <w:r w:rsidRPr="00A31903">
        <w:rPr>
          <w:rFonts w:ascii="Times New Roman" w:hAnsi="Times New Roman" w:cs="Times New Roman"/>
        </w:rPr>
        <w:t xml:space="preserve"> (2006)</w:t>
      </w:r>
      <w:r w:rsidR="001F42D3" w:rsidRPr="00A31903">
        <w:rPr>
          <w:rFonts w:ascii="Times New Roman" w:hAnsi="Times New Roman" w:cs="Times New Roman"/>
        </w:rPr>
        <w:t>.</w:t>
      </w:r>
      <w:proofErr w:type="gramEnd"/>
      <w:r w:rsidRPr="00A31903">
        <w:rPr>
          <w:rFonts w:ascii="Times New Roman" w:hAnsi="Times New Roman" w:cs="Times New Roman"/>
        </w:rPr>
        <w:t xml:space="preserve"> </w:t>
      </w:r>
      <w:r w:rsidRPr="00A31903">
        <w:rPr>
          <w:rFonts w:ascii="Times New Roman" w:hAnsi="Times New Roman" w:cs="Times New Roman"/>
          <w:i/>
        </w:rPr>
        <w:t>Microeconomics and Macroeconomics Environment for CA PE-I</w:t>
      </w:r>
      <w:proofErr w:type="gramStart"/>
      <w:r w:rsidRPr="00A31903">
        <w:rPr>
          <w:rFonts w:ascii="Times New Roman" w:hAnsi="Times New Roman" w:cs="Times New Roman"/>
        </w:rPr>
        <w:t>.,</w:t>
      </w:r>
      <w:proofErr w:type="gramEnd"/>
      <w:r w:rsidRPr="00A31903">
        <w:rPr>
          <w:rFonts w:ascii="Times New Roman" w:hAnsi="Times New Roman" w:cs="Times New Roman"/>
        </w:rPr>
        <w:t xml:space="preserve"> </w:t>
      </w:r>
    </w:p>
    <w:p w:rsidR="00F772C3" w:rsidRPr="00A31903" w:rsidRDefault="00C20A01"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00F772C3" w:rsidRPr="00A31903">
        <w:rPr>
          <w:rFonts w:ascii="Times New Roman" w:hAnsi="Times New Roman" w:cs="Times New Roman"/>
        </w:rPr>
        <w:t>McGraw Hill Education.</w:t>
      </w:r>
      <w:proofErr w:type="gramEnd"/>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De</w:t>
      </w:r>
      <w:r w:rsidR="00843E1E" w:rsidRPr="00A31903">
        <w:rPr>
          <w:rFonts w:ascii="Times New Roman" w:hAnsi="Times New Roman" w:cs="Times New Roman"/>
        </w:rPr>
        <w:t xml:space="preserve"> </w:t>
      </w:r>
      <w:proofErr w:type="spellStart"/>
      <w:r w:rsidR="00843E1E" w:rsidRPr="00A31903">
        <w:rPr>
          <w:rFonts w:ascii="Times New Roman" w:hAnsi="Times New Roman" w:cs="Times New Roman"/>
        </w:rPr>
        <w:t>Santis</w:t>
      </w:r>
      <w:proofErr w:type="spellEnd"/>
      <w:r w:rsidR="00843E1E" w:rsidRPr="00A31903">
        <w:rPr>
          <w:rFonts w:ascii="Times New Roman" w:hAnsi="Times New Roman" w:cs="Times New Roman"/>
        </w:rPr>
        <w:t xml:space="preserve">, R., </w:t>
      </w:r>
      <w:proofErr w:type="spellStart"/>
      <w:r w:rsidR="00843E1E" w:rsidRPr="00A31903">
        <w:rPr>
          <w:rFonts w:ascii="Times New Roman" w:hAnsi="Times New Roman" w:cs="Times New Roman"/>
        </w:rPr>
        <w:t>Mercuri</w:t>
      </w:r>
      <w:proofErr w:type="spellEnd"/>
      <w:r w:rsidR="00843E1E" w:rsidRPr="00A31903">
        <w:rPr>
          <w:rFonts w:ascii="Times New Roman" w:hAnsi="Times New Roman" w:cs="Times New Roman"/>
        </w:rPr>
        <w:t>, M. C.,</w:t>
      </w:r>
      <w:r w:rsidRPr="00A31903">
        <w:rPr>
          <w:rFonts w:ascii="Times New Roman" w:hAnsi="Times New Roman" w:cs="Times New Roman"/>
        </w:rPr>
        <w:t xml:space="preserve"> </w:t>
      </w:r>
      <w:proofErr w:type="spellStart"/>
      <w:r w:rsidRPr="00A31903">
        <w:rPr>
          <w:rFonts w:ascii="Times New Roman" w:hAnsi="Times New Roman" w:cs="Times New Roman"/>
        </w:rPr>
        <w:t>Vicarelli</w:t>
      </w:r>
      <w:proofErr w:type="spellEnd"/>
      <w:r w:rsidRPr="00A31903">
        <w:rPr>
          <w:rFonts w:ascii="Times New Roman" w:hAnsi="Times New Roman" w:cs="Times New Roman"/>
        </w:rPr>
        <w:t>, C. (2001</w:t>
      </w:r>
      <w:r w:rsidR="001F42D3" w:rsidRPr="00A31903">
        <w:rPr>
          <w:rFonts w:ascii="Times New Roman" w:hAnsi="Times New Roman" w:cs="Times New Roman"/>
        </w:rPr>
        <w:t xml:space="preserve">). </w:t>
      </w:r>
      <w:r w:rsidRPr="00A31903">
        <w:rPr>
          <w:rFonts w:ascii="Times New Roman" w:hAnsi="Times New Roman" w:cs="Times New Roman"/>
        </w:rPr>
        <w:t xml:space="preserve">Taxes and location of foreign direct </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001F42D3" w:rsidRPr="00A31903">
        <w:rPr>
          <w:rFonts w:ascii="Times New Roman" w:hAnsi="Times New Roman" w:cs="Times New Roman"/>
        </w:rPr>
        <w:t>I</w:t>
      </w:r>
      <w:r w:rsidRPr="00A31903">
        <w:rPr>
          <w:rFonts w:ascii="Times New Roman" w:hAnsi="Times New Roman" w:cs="Times New Roman"/>
        </w:rPr>
        <w:t>nvestment</w:t>
      </w:r>
      <w:r w:rsidR="001F42D3" w:rsidRPr="00A31903">
        <w:rPr>
          <w:rFonts w:ascii="Times New Roman" w:hAnsi="Times New Roman" w:cs="Times New Roman"/>
          <w:lang w:val="en-GB"/>
        </w:rPr>
        <w:t>.</w:t>
      </w:r>
      <w:proofErr w:type="gramEnd"/>
      <w:r w:rsidRPr="00A31903">
        <w:rPr>
          <w:rFonts w:ascii="Times New Roman" w:hAnsi="Times New Roman" w:cs="Times New Roman"/>
        </w:rPr>
        <w:t xml:space="preserve"> </w:t>
      </w:r>
      <w:r w:rsidRPr="00A31903">
        <w:rPr>
          <w:rFonts w:ascii="Times New Roman" w:hAnsi="Times New Roman" w:cs="Times New Roman"/>
          <w:i/>
        </w:rPr>
        <w:t>Institute for Studies and Economic Analysis</w:t>
      </w:r>
      <w:r w:rsidRPr="00A31903">
        <w:rPr>
          <w:rFonts w:ascii="Times New Roman" w:hAnsi="Times New Roman" w:cs="Times New Roman"/>
        </w:rPr>
        <w:t xml:space="preserve"> </w:t>
      </w:r>
      <w:proofErr w:type="gramStart"/>
      <w:r w:rsidRPr="00A31903">
        <w:rPr>
          <w:rFonts w:ascii="Times New Roman" w:hAnsi="Times New Roman" w:cs="Times New Roman"/>
        </w:rPr>
        <w:t>( ISAE</w:t>
      </w:r>
      <w:proofErr w:type="gramEnd"/>
      <w:r w:rsidRPr="00A31903">
        <w:rPr>
          <w:rFonts w:ascii="Times New Roman" w:hAnsi="Times New Roman" w:cs="Times New Roman"/>
        </w:rPr>
        <w:t xml:space="preserve"> ), Rome.</w:t>
      </w:r>
    </w:p>
    <w:p w:rsidR="00F772C3" w:rsidRPr="00A31903" w:rsidRDefault="00F772C3" w:rsidP="00821AB4">
      <w:pPr>
        <w:autoSpaceDE w:val="0"/>
        <w:autoSpaceDN w:val="0"/>
        <w:adjustRightInd w:val="0"/>
        <w:spacing w:after="0"/>
        <w:jc w:val="both"/>
        <w:rPr>
          <w:rFonts w:ascii="Times New Roman" w:hAnsi="Times New Roman" w:cs="Times New Roman"/>
        </w:rPr>
      </w:pPr>
      <w:r w:rsidRPr="00A31903">
        <w:rPr>
          <w:rFonts w:ascii="Times New Roman" w:hAnsi="Times New Roman" w:cs="Times New Roman"/>
        </w:rPr>
        <w:t>Dickey</w:t>
      </w:r>
      <w:r w:rsidR="00843E1E" w:rsidRPr="00A31903">
        <w:rPr>
          <w:rFonts w:ascii="Times New Roman" w:hAnsi="Times New Roman" w:cs="Times New Roman"/>
        </w:rPr>
        <w:t>, D. A.,</w:t>
      </w:r>
      <w:r w:rsidR="001F42D3" w:rsidRPr="00A31903">
        <w:rPr>
          <w:rFonts w:ascii="Times New Roman" w:hAnsi="Times New Roman" w:cs="Times New Roman"/>
        </w:rPr>
        <w:t xml:space="preserve"> Fuller, W.A. (1979). </w:t>
      </w:r>
      <w:r w:rsidRPr="00A31903">
        <w:rPr>
          <w:rFonts w:ascii="Times New Roman" w:hAnsi="Times New Roman" w:cs="Times New Roman"/>
        </w:rPr>
        <w:t xml:space="preserve">Distribution of the estimation for autoregressive time </w:t>
      </w:r>
    </w:p>
    <w:p w:rsidR="00F772C3" w:rsidRPr="00A31903" w:rsidRDefault="00F772C3" w:rsidP="00821AB4">
      <w:pPr>
        <w:autoSpaceDE w:val="0"/>
        <w:autoSpaceDN w:val="0"/>
        <w:adjustRightInd w:val="0"/>
        <w:spacing w:after="0"/>
        <w:jc w:val="both"/>
        <w:rPr>
          <w:rFonts w:ascii="Times New Roman" w:hAnsi="Times New Roman" w:cs="Times New Roman"/>
        </w:rPr>
      </w:pPr>
      <w:r w:rsidRPr="00A31903">
        <w:rPr>
          <w:rFonts w:ascii="Times New Roman" w:hAnsi="Times New Roman" w:cs="Times New Roman"/>
        </w:rPr>
        <w:t xml:space="preserve">             </w:t>
      </w:r>
      <w:proofErr w:type="gramStart"/>
      <w:r w:rsidRPr="00A31903">
        <w:rPr>
          <w:rFonts w:ascii="Times New Roman" w:hAnsi="Times New Roman" w:cs="Times New Roman"/>
        </w:rPr>
        <w:t>series</w:t>
      </w:r>
      <w:proofErr w:type="gramEnd"/>
      <w:r w:rsidRPr="00A31903">
        <w:rPr>
          <w:rFonts w:ascii="Times New Roman" w:hAnsi="Times New Roman" w:cs="Times New Roman"/>
        </w:rPr>
        <w:t xml:space="preserve"> with a unit r</w:t>
      </w:r>
      <w:r w:rsidR="001F42D3" w:rsidRPr="00A31903">
        <w:rPr>
          <w:rFonts w:ascii="Times New Roman" w:hAnsi="Times New Roman" w:cs="Times New Roman"/>
        </w:rPr>
        <w:t>oot.</w:t>
      </w:r>
      <w:r w:rsidRPr="00A31903">
        <w:rPr>
          <w:rFonts w:ascii="Times New Roman" w:hAnsi="Times New Roman" w:cs="Times New Roman"/>
        </w:rPr>
        <w:t xml:space="preserve"> </w:t>
      </w:r>
      <w:proofErr w:type="gramStart"/>
      <w:r w:rsidRPr="00A31903">
        <w:rPr>
          <w:rFonts w:ascii="Times New Roman" w:hAnsi="Times New Roman" w:cs="Times New Roman"/>
          <w:i/>
        </w:rPr>
        <w:t>J</w:t>
      </w:r>
      <w:r w:rsidR="001F42D3" w:rsidRPr="00A31903">
        <w:rPr>
          <w:rFonts w:ascii="Times New Roman" w:hAnsi="Times New Roman" w:cs="Times New Roman"/>
          <w:i/>
        </w:rPr>
        <w:t>ournal of</w:t>
      </w:r>
      <w:r w:rsidRPr="00A31903">
        <w:rPr>
          <w:rFonts w:ascii="Times New Roman" w:hAnsi="Times New Roman" w:cs="Times New Roman"/>
          <w:i/>
        </w:rPr>
        <w:t xml:space="preserve"> Am</w:t>
      </w:r>
      <w:r w:rsidR="001F42D3" w:rsidRPr="00A31903">
        <w:rPr>
          <w:rFonts w:ascii="Times New Roman" w:hAnsi="Times New Roman" w:cs="Times New Roman"/>
          <w:i/>
        </w:rPr>
        <w:t>erican</w:t>
      </w:r>
      <w:r w:rsidRPr="00A31903">
        <w:rPr>
          <w:rFonts w:ascii="Times New Roman" w:hAnsi="Times New Roman" w:cs="Times New Roman"/>
          <w:i/>
        </w:rPr>
        <w:t xml:space="preserve"> Statist</w:t>
      </w:r>
      <w:r w:rsidR="001F42D3" w:rsidRPr="00A31903">
        <w:rPr>
          <w:rFonts w:ascii="Times New Roman" w:hAnsi="Times New Roman" w:cs="Times New Roman"/>
          <w:i/>
        </w:rPr>
        <w:t>ical</w:t>
      </w:r>
      <w:r w:rsidRPr="00A31903">
        <w:rPr>
          <w:rFonts w:ascii="Times New Roman" w:hAnsi="Times New Roman" w:cs="Times New Roman"/>
          <w:i/>
        </w:rPr>
        <w:t xml:space="preserve"> Assoc</w:t>
      </w:r>
      <w:r w:rsidR="001F42D3" w:rsidRPr="00A31903">
        <w:rPr>
          <w:rFonts w:ascii="Times New Roman" w:hAnsi="Times New Roman" w:cs="Times New Roman"/>
          <w:i/>
        </w:rPr>
        <w:t>iation</w:t>
      </w:r>
      <w:r w:rsidR="001F42D3" w:rsidRPr="00A31903">
        <w:rPr>
          <w:rFonts w:ascii="Times New Roman" w:hAnsi="Times New Roman" w:cs="Times New Roman"/>
        </w:rPr>
        <w:t>,</w:t>
      </w:r>
      <w:r w:rsidRPr="00A31903">
        <w:rPr>
          <w:rFonts w:ascii="Times New Roman" w:hAnsi="Times New Roman" w:cs="Times New Roman"/>
        </w:rPr>
        <w:t xml:space="preserve"> </w:t>
      </w:r>
      <w:r w:rsidRPr="00A31903">
        <w:rPr>
          <w:rFonts w:ascii="Times New Roman" w:hAnsi="Times New Roman" w:cs="Times New Roman"/>
          <w:i/>
        </w:rPr>
        <w:t>74</w:t>
      </w:r>
      <w:r w:rsidR="00032CF9" w:rsidRPr="00A31903">
        <w:rPr>
          <w:rFonts w:ascii="Times New Roman" w:hAnsi="Times New Roman" w:cs="Times New Roman"/>
        </w:rPr>
        <w:t xml:space="preserve"> (366),</w:t>
      </w:r>
      <w:r w:rsidR="001F42D3" w:rsidRPr="00A31903">
        <w:rPr>
          <w:rFonts w:ascii="Times New Roman" w:hAnsi="Times New Roman" w:cs="Times New Roman"/>
        </w:rPr>
        <w:t xml:space="preserve"> </w:t>
      </w:r>
      <w:r w:rsidRPr="00A31903">
        <w:rPr>
          <w:rFonts w:ascii="Times New Roman" w:hAnsi="Times New Roman" w:cs="Times New Roman"/>
        </w:rPr>
        <w:t>427-31</w:t>
      </w:r>
      <w:r w:rsidR="001F42D3" w:rsidRPr="00A31903">
        <w:rPr>
          <w:rFonts w:ascii="Times New Roman" w:hAnsi="Times New Roman" w:cs="Times New Roman"/>
        </w:rPr>
        <w:t>.</w:t>
      </w:r>
      <w:proofErr w:type="gramEnd"/>
    </w:p>
    <w:p w:rsidR="003565CB" w:rsidRPr="00A31903" w:rsidRDefault="001A5A48" w:rsidP="00821AB4">
      <w:pPr>
        <w:spacing w:after="0"/>
        <w:jc w:val="both"/>
        <w:rPr>
          <w:rFonts w:ascii="Times New Roman" w:hAnsi="Times New Roman" w:cs="Times New Roman"/>
        </w:rPr>
      </w:pPr>
      <w:r w:rsidRPr="00A31903">
        <w:rPr>
          <w:rFonts w:ascii="Times New Roman" w:hAnsi="Times New Roman" w:cs="Times New Roman"/>
        </w:rPr>
        <w:t>Drummond</w:t>
      </w:r>
      <w:r w:rsidR="00843E1E" w:rsidRPr="00A31903">
        <w:rPr>
          <w:rFonts w:ascii="Times New Roman" w:hAnsi="Times New Roman" w:cs="Times New Roman"/>
        </w:rPr>
        <w:t xml:space="preserve">, P., </w:t>
      </w:r>
      <w:proofErr w:type="spellStart"/>
      <w:r w:rsidR="00843E1E" w:rsidRPr="00A31903">
        <w:rPr>
          <w:rFonts w:ascii="Times New Roman" w:hAnsi="Times New Roman" w:cs="Times New Roman"/>
        </w:rPr>
        <w:t>Daal</w:t>
      </w:r>
      <w:proofErr w:type="spellEnd"/>
      <w:r w:rsidR="00843E1E" w:rsidRPr="00A31903">
        <w:rPr>
          <w:rFonts w:ascii="Times New Roman" w:hAnsi="Times New Roman" w:cs="Times New Roman"/>
        </w:rPr>
        <w:t xml:space="preserve">, W., </w:t>
      </w:r>
      <w:proofErr w:type="spellStart"/>
      <w:r w:rsidR="00843E1E" w:rsidRPr="00A31903">
        <w:rPr>
          <w:rFonts w:ascii="Times New Roman" w:hAnsi="Times New Roman" w:cs="Times New Roman"/>
        </w:rPr>
        <w:t>Srivastava</w:t>
      </w:r>
      <w:proofErr w:type="spellEnd"/>
      <w:r w:rsidR="00843E1E" w:rsidRPr="00A31903">
        <w:rPr>
          <w:rFonts w:ascii="Times New Roman" w:hAnsi="Times New Roman" w:cs="Times New Roman"/>
        </w:rPr>
        <w:t xml:space="preserve">, </w:t>
      </w:r>
      <w:proofErr w:type="spellStart"/>
      <w:r w:rsidR="00843E1E" w:rsidRPr="00A31903">
        <w:rPr>
          <w:rFonts w:ascii="Times New Roman" w:hAnsi="Times New Roman" w:cs="Times New Roman"/>
        </w:rPr>
        <w:t>N.</w:t>
      </w:r>
      <w:proofErr w:type="gramStart"/>
      <w:r w:rsidR="00843E1E" w:rsidRPr="00A31903">
        <w:rPr>
          <w:rFonts w:ascii="Times New Roman" w:hAnsi="Times New Roman" w:cs="Times New Roman"/>
        </w:rPr>
        <w:t>,</w:t>
      </w:r>
      <w:r w:rsidR="001F42D3" w:rsidRPr="00A31903">
        <w:rPr>
          <w:rFonts w:ascii="Times New Roman" w:hAnsi="Times New Roman" w:cs="Times New Roman"/>
        </w:rPr>
        <w:t>Oliveira</w:t>
      </w:r>
      <w:proofErr w:type="spellEnd"/>
      <w:proofErr w:type="gramEnd"/>
      <w:r w:rsidR="001F42D3" w:rsidRPr="00A31903">
        <w:rPr>
          <w:rFonts w:ascii="Times New Roman" w:hAnsi="Times New Roman" w:cs="Times New Roman"/>
        </w:rPr>
        <w:t xml:space="preserve">, L.E. (2012). </w:t>
      </w:r>
      <w:proofErr w:type="spellStart"/>
      <w:r w:rsidRPr="00A31903">
        <w:rPr>
          <w:rFonts w:ascii="Times New Roman" w:hAnsi="Times New Roman" w:cs="Times New Roman"/>
        </w:rPr>
        <w:t>Mobilising</w:t>
      </w:r>
      <w:proofErr w:type="spellEnd"/>
      <w:r w:rsidRPr="00A31903">
        <w:rPr>
          <w:rFonts w:ascii="Times New Roman" w:hAnsi="Times New Roman" w:cs="Times New Roman"/>
        </w:rPr>
        <w:t xml:space="preserve"> revenue in sub-  </w:t>
      </w:r>
    </w:p>
    <w:p w:rsidR="003565CB" w:rsidRPr="00A31903" w:rsidRDefault="003565CB" w:rsidP="00821AB4">
      <w:pPr>
        <w:spacing w:after="0"/>
        <w:jc w:val="both"/>
        <w:rPr>
          <w:rFonts w:ascii="Times New Roman" w:hAnsi="Times New Roman" w:cs="Times New Roman"/>
        </w:rPr>
      </w:pPr>
      <w:r w:rsidRPr="00A31903">
        <w:rPr>
          <w:rFonts w:ascii="Times New Roman" w:hAnsi="Times New Roman" w:cs="Times New Roman"/>
        </w:rPr>
        <w:t xml:space="preserve">           </w:t>
      </w:r>
      <w:r w:rsidR="001A5A48" w:rsidRPr="00A31903">
        <w:rPr>
          <w:rFonts w:ascii="Times New Roman" w:hAnsi="Times New Roman" w:cs="Times New Roman"/>
        </w:rPr>
        <w:t xml:space="preserve">   </w:t>
      </w:r>
      <w:proofErr w:type="gramStart"/>
      <w:r w:rsidRPr="00A31903">
        <w:rPr>
          <w:rFonts w:ascii="Times New Roman" w:hAnsi="Times New Roman" w:cs="Times New Roman"/>
        </w:rPr>
        <w:t>Saharan Africa: E</w:t>
      </w:r>
      <w:r w:rsidR="001A5A48" w:rsidRPr="00A31903">
        <w:rPr>
          <w:rFonts w:ascii="Times New Roman" w:hAnsi="Times New Roman" w:cs="Times New Roman"/>
        </w:rPr>
        <w:t>mpiric</w:t>
      </w:r>
      <w:r w:rsidR="001F42D3" w:rsidRPr="00A31903">
        <w:rPr>
          <w:rFonts w:ascii="Times New Roman" w:hAnsi="Times New Roman" w:cs="Times New Roman"/>
        </w:rPr>
        <w:t>al norms and key determinants.</w:t>
      </w:r>
      <w:proofErr w:type="gramEnd"/>
      <w:r w:rsidR="00EB3848" w:rsidRPr="00A31903">
        <w:rPr>
          <w:rFonts w:ascii="Times New Roman" w:hAnsi="Times New Roman" w:cs="Times New Roman"/>
        </w:rPr>
        <w:t xml:space="preserve"> </w:t>
      </w:r>
      <w:r w:rsidR="00EB3848" w:rsidRPr="00A31903">
        <w:rPr>
          <w:rFonts w:ascii="Times New Roman" w:hAnsi="Times New Roman" w:cs="Times New Roman"/>
          <w:i/>
        </w:rPr>
        <w:t>IMF Working P</w:t>
      </w:r>
      <w:r w:rsidR="001A5A48" w:rsidRPr="00A31903">
        <w:rPr>
          <w:rFonts w:ascii="Times New Roman" w:hAnsi="Times New Roman" w:cs="Times New Roman"/>
          <w:i/>
        </w:rPr>
        <w:t>aper</w:t>
      </w:r>
      <w:r w:rsidR="001F42D3" w:rsidRPr="00A31903">
        <w:rPr>
          <w:rFonts w:ascii="Times New Roman" w:hAnsi="Times New Roman" w:cs="Times New Roman"/>
        </w:rPr>
        <w:t>,</w:t>
      </w:r>
      <w:r w:rsidR="001A5A48" w:rsidRPr="00A31903">
        <w:rPr>
          <w:rFonts w:ascii="Times New Roman" w:hAnsi="Times New Roman" w:cs="Times New Roman"/>
        </w:rPr>
        <w:t xml:space="preserve"> </w:t>
      </w:r>
    </w:p>
    <w:p w:rsidR="001A5A48" w:rsidRPr="00A31903" w:rsidRDefault="003565CB" w:rsidP="00821AB4">
      <w:pPr>
        <w:spacing w:after="0"/>
        <w:jc w:val="both"/>
        <w:rPr>
          <w:rFonts w:ascii="Times New Roman" w:hAnsi="Times New Roman" w:cs="Times New Roman"/>
        </w:rPr>
      </w:pPr>
      <w:r w:rsidRPr="00A31903">
        <w:rPr>
          <w:rFonts w:ascii="Times New Roman" w:hAnsi="Times New Roman" w:cs="Times New Roman"/>
        </w:rPr>
        <w:t xml:space="preserve">              </w:t>
      </w:r>
      <w:proofErr w:type="gramStart"/>
      <w:r w:rsidR="001A5A48" w:rsidRPr="00A31903">
        <w:rPr>
          <w:rFonts w:ascii="Times New Roman" w:hAnsi="Times New Roman" w:cs="Times New Roman"/>
        </w:rPr>
        <w:t>WP/12/08, Washington, DC</w:t>
      </w:r>
      <w:r w:rsidRPr="00A31903">
        <w:rPr>
          <w:rFonts w:ascii="Times New Roman" w:hAnsi="Times New Roman" w:cs="Times New Roman"/>
        </w:rPr>
        <w:t>.</w:t>
      </w:r>
      <w:proofErr w:type="gramEnd"/>
    </w:p>
    <w:p w:rsidR="00F772C3" w:rsidRPr="00A31903" w:rsidRDefault="001F42D3" w:rsidP="00821AB4">
      <w:pPr>
        <w:autoSpaceDE w:val="0"/>
        <w:autoSpaceDN w:val="0"/>
        <w:adjustRightInd w:val="0"/>
        <w:spacing w:after="0" w:line="240" w:lineRule="auto"/>
        <w:jc w:val="both"/>
        <w:rPr>
          <w:rFonts w:ascii="Times New Roman" w:hAnsi="Times New Roman" w:cs="Times New Roman"/>
        </w:rPr>
      </w:pPr>
      <w:proofErr w:type="spellStart"/>
      <w:r w:rsidRPr="00A31903">
        <w:rPr>
          <w:rStyle w:val="Emphasis"/>
          <w:rFonts w:ascii="Times New Roman" w:hAnsi="Times New Roman" w:cs="Times New Roman"/>
          <w:bCs/>
          <w:i w:val="0"/>
          <w:iCs w:val="0"/>
          <w:shd w:val="clear" w:color="auto" w:fill="FFFFFF"/>
        </w:rPr>
        <w:t>Enders</w:t>
      </w:r>
      <w:proofErr w:type="gramStart"/>
      <w:r w:rsidRPr="00A31903">
        <w:rPr>
          <w:rStyle w:val="Emphasis"/>
          <w:rFonts w:ascii="Times New Roman" w:hAnsi="Times New Roman" w:cs="Times New Roman"/>
          <w:bCs/>
          <w:i w:val="0"/>
          <w:iCs w:val="0"/>
          <w:shd w:val="clear" w:color="auto" w:fill="FFFFFF"/>
        </w:rPr>
        <w:t>,W</w:t>
      </w:r>
      <w:proofErr w:type="spellEnd"/>
      <w:proofErr w:type="gramEnd"/>
      <w:r w:rsidRPr="00A31903">
        <w:rPr>
          <w:rStyle w:val="Emphasis"/>
          <w:rFonts w:ascii="Times New Roman" w:hAnsi="Times New Roman" w:cs="Times New Roman"/>
          <w:bCs/>
          <w:i w:val="0"/>
          <w:iCs w:val="0"/>
          <w:shd w:val="clear" w:color="auto" w:fill="FFFFFF"/>
        </w:rPr>
        <w:t>. (1995).</w:t>
      </w:r>
      <w:r w:rsidR="00F772C3" w:rsidRPr="00A31903">
        <w:rPr>
          <w:rFonts w:ascii="Times New Roman" w:hAnsi="Times New Roman" w:cs="Times New Roman"/>
          <w:shd w:val="clear" w:color="auto" w:fill="FFFFFF"/>
        </w:rPr>
        <w:t xml:space="preserve"> </w:t>
      </w:r>
      <w:proofErr w:type="gramStart"/>
      <w:r w:rsidR="00F772C3" w:rsidRPr="00A31903">
        <w:rPr>
          <w:rFonts w:ascii="Times New Roman" w:hAnsi="Times New Roman" w:cs="Times New Roman"/>
          <w:i/>
          <w:shd w:val="clear" w:color="auto" w:fill="FFFFFF"/>
        </w:rPr>
        <w:t>Applied Econometric Time Series</w:t>
      </w:r>
      <w:r w:rsidR="00F772C3" w:rsidRPr="00A31903">
        <w:rPr>
          <w:rFonts w:ascii="Times New Roman" w:hAnsi="Times New Roman" w:cs="Times New Roman"/>
          <w:shd w:val="clear" w:color="auto" w:fill="FFFFFF"/>
        </w:rPr>
        <w:t>.</w:t>
      </w:r>
      <w:proofErr w:type="gramEnd"/>
      <w:r w:rsidR="00F772C3" w:rsidRPr="00A31903">
        <w:rPr>
          <w:rFonts w:ascii="Times New Roman" w:hAnsi="Times New Roman" w:cs="Times New Roman"/>
          <w:shd w:val="clear" w:color="auto" w:fill="FFFFFF"/>
        </w:rPr>
        <w:t xml:space="preserve"> New</w:t>
      </w:r>
      <w:r w:rsidR="006F1377" w:rsidRPr="00A31903">
        <w:rPr>
          <w:rFonts w:ascii="Times New Roman" w:hAnsi="Times New Roman" w:cs="Times New Roman"/>
          <w:shd w:val="clear" w:color="auto" w:fill="FFFFFF"/>
        </w:rPr>
        <w:t xml:space="preserve"> York: John Wiley &amp; Sons, Inc.</w:t>
      </w:r>
    </w:p>
    <w:p w:rsidR="00F772C3" w:rsidRPr="00A31903" w:rsidRDefault="001F42D3"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Eltony</w:t>
      </w:r>
      <w:proofErr w:type="spellEnd"/>
      <w:r w:rsidRPr="00A31903">
        <w:rPr>
          <w:rFonts w:ascii="Times New Roman" w:hAnsi="Times New Roman" w:cs="Times New Roman"/>
        </w:rPr>
        <w:t xml:space="preserve">, M. N. (2002). </w:t>
      </w:r>
      <w:proofErr w:type="gramStart"/>
      <w:r w:rsidR="00F772C3" w:rsidRPr="00A31903">
        <w:rPr>
          <w:rFonts w:ascii="Times New Roman" w:hAnsi="Times New Roman" w:cs="Times New Roman"/>
        </w:rPr>
        <w:t>The determinants of tax effort in Arab c</w:t>
      </w:r>
      <w:r w:rsidRPr="00A31903">
        <w:rPr>
          <w:rFonts w:ascii="Times New Roman" w:hAnsi="Times New Roman" w:cs="Times New Roman"/>
        </w:rPr>
        <w:t>ountries.</w:t>
      </w:r>
      <w:proofErr w:type="gramEnd"/>
      <w:r w:rsidR="00F772C3" w:rsidRPr="00A31903">
        <w:rPr>
          <w:rFonts w:ascii="Times New Roman" w:hAnsi="Times New Roman" w:cs="Times New Roman"/>
        </w:rPr>
        <w:t xml:space="preserve"> </w:t>
      </w:r>
      <w:r w:rsidR="00F772C3" w:rsidRPr="00A31903">
        <w:rPr>
          <w:rFonts w:ascii="Times New Roman" w:hAnsi="Times New Roman" w:cs="Times New Roman"/>
          <w:i/>
        </w:rPr>
        <w:t>Working Paper</w:t>
      </w:r>
      <w:r w:rsidRPr="00A31903">
        <w:rPr>
          <w:rFonts w:ascii="Times New Roman" w:hAnsi="Times New Roman" w:cs="Times New Roman"/>
        </w:rPr>
        <w:t>,</w:t>
      </w:r>
      <w:r w:rsidR="00F772C3" w:rsidRPr="00A31903">
        <w:rPr>
          <w:rFonts w:ascii="Times New Roman" w:hAnsi="Times New Roman" w:cs="Times New Roman"/>
        </w:rPr>
        <w:t xml:space="preserve"> </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EF05E5" w:rsidRPr="00A31903">
        <w:rPr>
          <w:rFonts w:ascii="Times New Roman" w:hAnsi="Times New Roman" w:cs="Times New Roman"/>
        </w:rPr>
        <w:t xml:space="preserve"> </w:t>
      </w:r>
      <w:r w:rsidRPr="00A31903">
        <w:rPr>
          <w:rFonts w:ascii="Times New Roman" w:hAnsi="Times New Roman" w:cs="Times New Roman"/>
        </w:rPr>
        <w:t>No.</w:t>
      </w:r>
      <w:r w:rsidR="00032CF9" w:rsidRPr="00A31903">
        <w:rPr>
          <w:rFonts w:ascii="Times New Roman" w:hAnsi="Times New Roman" w:cs="Times New Roman"/>
        </w:rPr>
        <w:t xml:space="preserve"> </w:t>
      </w:r>
      <w:r w:rsidRPr="00A31903">
        <w:rPr>
          <w:rFonts w:ascii="Times New Roman" w:hAnsi="Times New Roman" w:cs="Times New Roman"/>
        </w:rPr>
        <w:t>2</w:t>
      </w:r>
      <w:r w:rsidR="001F42D3" w:rsidRPr="00A31903">
        <w:rPr>
          <w:rFonts w:ascii="Times New Roman" w:hAnsi="Times New Roman" w:cs="Times New Roman"/>
        </w:rPr>
        <w:t xml:space="preserve">07, </w:t>
      </w:r>
      <w:proofErr w:type="gramStart"/>
      <w:r w:rsidR="001F42D3" w:rsidRPr="00A31903">
        <w:rPr>
          <w:rFonts w:ascii="Times New Roman" w:hAnsi="Times New Roman" w:cs="Times New Roman"/>
        </w:rPr>
        <w:t>Arab Planning</w:t>
      </w:r>
      <w:proofErr w:type="gramEnd"/>
      <w:r w:rsidR="001F42D3" w:rsidRPr="00A31903">
        <w:rPr>
          <w:rFonts w:ascii="Times New Roman" w:hAnsi="Times New Roman" w:cs="Times New Roman"/>
        </w:rPr>
        <w:t xml:space="preserve"> Institute, </w:t>
      </w:r>
      <w:r w:rsidRPr="00A31903">
        <w:rPr>
          <w:rFonts w:ascii="Times New Roman" w:hAnsi="Times New Roman" w:cs="Times New Roman"/>
        </w:rPr>
        <w:t>1-20.</w:t>
      </w:r>
    </w:p>
    <w:p w:rsidR="00EF05E5" w:rsidRPr="00A31903" w:rsidRDefault="001A5A48" w:rsidP="00821AB4">
      <w:pPr>
        <w:spacing w:after="0"/>
        <w:jc w:val="both"/>
        <w:rPr>
          <w:rFonts w:ascii="Times New Roman" w:hAnsi="Times New Roman" w:cs="Times New Roman"/>
          <w:bCs/>
        </w:rPr>
      </w:pPr>
      <w:r w:rsidRPr="00A31903">
        <w:rPr>
          <w:rFonts w:ascii="Times New Roman" w:hAnsi="Times New Roman" w:cs="Times New Roman"/>
          <w:bCs/>
        </w:rPr>
        <w:t>Gaspar, V., Jaramillo, L.</w:t>
      </w:r>
      <w:proofErr w:type="gramStart"/>
      <w:r w:rsidR="00480806" w:rsidRPr="00A31903">
        <w:rPr>
          <w:rFonts w:ascii="Times New Roman" w:hAnsi="Times New Roman" w:cs="Times New Roman"/>
          <w:bCs/>
        </w:rPr>
        <w:t>,</w:t>
      </w:r>
      <w:proofErr w:type="spellStart"/>
      <w:r w:rsidRPr="00A31903">
        <w:rPr>
          <w:rFonts w:ascii="Times New Roman" w:hAnsi="Times New Roman" w:cs="Times New Roman"/>
          <w:bCs/>
        </w:rPr>
        <w:t>Wingender</w:t>
      </w:r>
      <w:proofErr w:type="spellEnd"/>
      <w:proofErr w:type="gramEnd"/>
      <w:r w:rsidRPr="00A31903">
        <w:rPr>
          <w:rFonts w:ascii="Times New Roman" w:hAnsi="Times New Roman" w:cs="Times New Roman"/>
          <w:bCs/>
        </w:rPr>
        <w:t>, P. (2006). Political institutions, state building and</w:t>
      </w:r>
    </w:p>
    <w:p w:rsidR="001A5A48" w:rsidRPr="00A31903" w:rsidRDefault="00EF05E5" w:rsidP="00821AB4">
      <w:pPr>
        <w:spacing w:after="0"/>
        <w:jc w:val="both"/>
        <w:rPr>
          <w:rFonts w:ascii="Times New Roman" w:hAnsi="Times New Roman" w:cs="Times New Roman"/>
        </w:rPr>
      </w:pPr>
      <w:r w:rsidRPr="00A31903">
        <w:rPr>
          <w:rFonts w:ascii="Times New Roman" w:hAnsi="Times New Roman" w:cs="Times New Roman"/>
          <w:bCs/>
        </w:rPr>
        <w:t xml:space="preserve">            </w:t>
      </w:r>
      <w:r w:rsidR="001A5A48" w:rsidRPr="00A31903">
        <w:rPr>
          <w:rFonts w:ascii="Times New Roman" w:hAnsi="Times New Roman" w:cs="Times New Roman"/>
          <w:bCs/>
        </w:rPr>
        <w:t xml:space="preserve"> </w:t>
      </w:r>
      <w:proofErr w:type="gramStart"/>
      <w:r w:rsidR="001A5A48" w:rsidRPr="00A31903">
        <w:rPr>
          <w:rFonts w:ascii="Times New Roman" w:hAnsi="Times New Roman" w:cs="Times New Roman"/>
          <w:bCs/>
        </w:rPr>
        <w:t>tax</w:t>
      </w:r>
      <w:proofErr w:type="gramEnd"/>
      <w:r w:rsidR="001A5A48" w:rsidRPr="00A31903">
        <w:rPr>
          <w:rFonts w:ascii="Times New Roman" w:hAnsi="Times New Roman" w:cs="Times New Roman"/>
          <w:bCs/>
        </w:rPr>
        <w:t xml:space="preserve"> capacity: crossing the tipping point, </w:t>
      </w:r>
      <w:r w:rsidR="001A5A48" w:rsidRPr="00A31903">
        <w:rPr>
          <w:rFonts w:ascii="Times New Roman" w:hAnsi="Times New Roman" w:cs="Times New Roman"/>
          <w:bCs/>
          <w:i/>
        </w:rPr>
        <w:t>IMF Working Paper</w:t>
      </w:r>
      <w:r w:rsidR="001A5A48" w:rsidRPr="00A31903">
        <w:rPr>
          <w:rFonts w:ascii="Times New Roman" w:hAnsi="Times New Roman" w:cs="Times New Roman"/>
          <w:bCs/>
        </w:rPr>
        <w:t>, WP/16/233</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proofErr w:type="gramStart"/>
      <w:r w:rsidRPr="00A31903">
        <w:rPr>
          <w:rFonts w:ascii="Times New Roman" w:hAnsi="Times New Roman" w:cs="Times New Roman"/>
        </w:rPr>
        <w:t>Gillis, M. (1989)</w:t>
      </w:r>
      <w:r w:rsidR="001F42D3" w:rsidRPr="00A31903">
        <w:rPr>
          <w:rFonts w:ascii="Times New Roman" w:hAnsi="Times New Roman" w:cs="Times New Roman"/>
        </w:rPr>
        <w:t>.</w:t>
      </w:r>
      <w:proofErr w:type="gramEnd"/>
      <w:r w:rsidRPr="00A31903">
        <w:rPr>
          <w:rFonts w:ascii="Times New Roman" w:hAnsi="Times New Roman" w:cs="Times New Roman"/>
        </w:rPr>
        <w:t xml:space="preserve"> </w:t>
      </w:r>
      <w:proofErr w:type="gramStart"/>
      <w:r w:rsidRPr="00A31903">
        <w:rPr>
          <w:rFonts w:ascii="Times New Roman" w:hAnsi="Times New Roman" w:cs="Times New Roman"/>
          <w:i/>
        </w:rPr>
        <w:t>Tax Reform in Developing Countries</w:t>
      </w:r>
      <w:r w:rsidRPr="00A31903">
        <w:rPr>
          <w:rFonts w:ascii="Times New Roman" w:hAnsi="Times New Roman" w:cs="Times New Roman"/>
        </w:rPr>
        <w:t>, Duke University Press, Durham, NC.</w:t>
      </w:r>
      <w:proofErr w:type="gramEnd"/>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Gupta, J.R.</w:t>
      </w:r>
      <w:r w:rsidR="00480806" w:rsidRPr="00A31903">
        <w:rPr>
          <w:rFonts w:ascii="Times New Roman" w:hAnsi="Times New Roman" w:cs="Times New Roman"/>
        </w:rPr>
        <w:t xml:space="preserve"> </w:t>
      </w:r>
      <w:proofErr w:type="gramStart"/>
      <w:r w:rsidR="001F42D3" w:rsidRPr="00A31903">
        <w:rPr>
          <w:rFonts w:ascii="Times New Roman" w:hAnsi="Times New Roman" w:cs="Times New Roman"/>
        </w:rPr>
        <w:t>( 2007</w:t>
      </w:r>
      <w:proofErr w:type="gramEnd"/>
      <w:r w:rsidR="001F42D3" w:rsidRPr="00A31903">
        <w:rPr>
          <w:rFonts w:ascii="Times New Roman" w:hAnsi="Times New Roman" w:cs="Times New Roman"/>
        </w:rPr>
        <w:t>).</w:t>
      </w:r>
      <w:r w:rsidRPr="00A31903">
        <w:rPr>
          <w:rFonts w:ascii="Times New Roman" w:hAnsi="Times New Roman" w:cs="Times New Roman"/>
        </w:rPr>
        <w:t xml:space="preserve"> </w:t>
      </w:r>
      <w:proofErr w:type="gramStart"/>
      <w:r w:rsidRPr="00A31903">
        <w:rPr>
          <w:rFonts w:ascii="Times New Roman" w:hAnsi="Times New Roman" w:cs="Times New Roman"/>
          <w:i/>
        </w:rPr>
        <w:t>Public Economics in India</w:t>
      </w:r>
      <w:r w:rsidRPr="00A31903">
        <w:rPr>
          <w:rFonts w:ascii="Times New Roman" w:hAnsi="Times New Roman" w:cs="Times New Roman"/>
          <w:i/>
          <w:lang w:val="en-GB"/>
        </w:rPr>
        <w:t>:</w:t>
      </w:r>
      <w:r w:rsidRPr="00A31903">
        <w:rPr>
          <w:rFonts w:ascii="Times New Roman" w:hAnsi="Times New Roman" w:cs="Times New Roman"/>
          <w:i/>
        </w:rPr>
        <w:t xml:space="preserve"> Theory and Practice</w:t>
      </w:r>
      <w:r w:rsidRPr="00A31903">
        <w:rPr>
          <w:rFonts w:ascii="Times New Roman" w:hAnsi="Times New Roman" w:cs="Times New Roman"/>
        </w:rPr>
        <w:t>, Atlantic Publishers.</w:t>
      </w:r>
      <w:proofErr w:type="gramEnd"/>
    </w:p>
    <w:p w:rsidR="00F772C3" w:rsidRPr="00A31903" w:rsidRDefault="001F42D3"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Ghura</w:t>
      </w:r>
      <w:proofErr w:type="spellEnd"/>
      <w:r w:rsidRPr="00A31903">
        <w:rPr>
          <w:rFonts w:ascii="Times New Roman" w:hAnsi="Times New Roman" w:cs="Times New Roman"/>
        </w:rPr>
        <w:t xml:space="preserve">, H. (1998). </w:t>
      </w:r>
      <w:r w:rsidR="003565CB" w:rsidRPr="00A31903">
        <w:rPr>
          <w:rFonts w:ascii="Times New Roman" w:hAnsi="Times New Roman" w:cs="Times New Roman"/>
        </w:rPr>
        <w:t>Tax revenue in sub-S</w:t>
      </w:r>
      <w:r w:rsidR="00F772C3" w:rsidRPr="00A31903">
        <w:rPr>
          <w:rFonts w:ascii="Times New Roman" w:hAnsi="Times New Roman" w:cs="Times New Roman"/>
        </w:rPr>
        <w:t>ahara Africa: Effects of economic policies and</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001F42D3" w:rsidRPr="00A31903">
        <w:rPr>
          <w:rFonts w:ascii="Times New Roman" w:hAnsi="Times New Roman" w:cs="Times New Roman"/>
        </w:rPr>
        <w:t>C</w:t>
      </w:r>
      <w:r w:rsidRPr="00A31903">
        <w:rPr>
          <w:rFonts w:ascii="Times New Roman" w:hAnsi="Times New Roman" w:cs="Times New Roman"/>
        </w:rPr>
        <w:t>orruption</w:t>
      </w:r>
      <w:r w:rsidR="001F42D3" w:rsidRPr="00A31903">
        <w:rPr>
          <w:rFonts w:ascii="Times New Roman" w:hAnsi="Times New Roman" w:cs="Times New Roman"/>
          <w:lang w:val="en-GB"/>
        </w:rPr>
        <w:t>.</w:t>
      </w:r>
      <w:proofErr w:type="gramEnd"/>
      <w:r w:rsidR="00480806" w:rsidRPr="00A31903">
        <w:rPr>
          <w:rFonts w:ascii="Times New Roman" w:hAnsi="Times New Roman" w:cs="Times New Roman"/>
        </w:rPr>
        <w:t xml:space="preserve"> </w:t>
      </w:r>
      <w:proofErr w:type="gramStart"/>
      <w:r w:rsidR="00480806" w:rsidRPr="00A31903">
        <w:rPr>
          <w:rFonts w:ascii="Times New Roman" w:hAnsi="Times New Roman" w:cs="Times New Roman"/>
          <w:i/>
        </w:rPr>
        <w:t>I</w:t>
      </w:r>
      <w:r w:rsidRPr="00A31903">
        <w:rPr>
          <w:rFonts w:ascii="Times New Roman" w:hAnsi="Times New Roman" w:cs="Times New Roman"/>
          <w:i/>
        </w:rPr>
        <w:t>MF Working P</w:t>
      </w:r>
      <w:r w:rsidR="00480806" w:rsidRPr="00A31903">
        <w:rPr>
          <w:rFonts w:ascii="Times New Roman" w:hAnsi="Times New Roman" w:cs="Times New Roman"/>
          <w:i/>
        </w:rPr>
        <w:t>aper</w:t>
      </w:r>
      <w:r w:rsidR="001F42D3" w:rsidRPr="00A31903">
        <w:rPr>
          <w:rFonts w:ascii="Times New Roman" w:hAnsi="Times New Roman" w:cs="Times New Roman"/>
        </w:rPr>
        <w:t>,</w:t>
      </w:r>
      <w:r w:rsidR="00480806" w:rsidRPr="00A31903">
        <w:rPr>
          <w:rFonts w:ascii="Times New Roman" w:hAnsi="Times New Roman" w:cs="Times New Roman"/>
        </w:rPr>
        <w:t xml:space="preserve"> N</w:t>
      </w:r>
      <w:r w:rsidRPr="00A31903">
        <w:rPr>
          <w:rFonts w:ascii="Times New Roman" w:hAnsi="Times New Roman" w:cs="Times New Roman"/>
        </w:rPr>
        <w:t>o. 98/135, Washington D.C.</w:t>
      </w:r>
      <w:proofErr w:type="gramEnd"/>
    </w:p>
    <w:p w:rsidR="00EF05E5" w:rsidRPr="00A31903" w:rsidRDefault="001F42D3" w:rsidP="00821AB4">
      <w:pPr>
        <w:autoSpaceDE w:val="0"/>
        <w:autoSpaceDN w:val="0"/>
        <w:adjustRightInd w:val="0"/>
        <w:spacing w:after="0"/>
        <w:jc w:val="both"/>
        <w:rPr>
          <w:rFonts w:ascii="Times New Roman" w:hAnsi="Times New Roman" w:cs="Times New Roman"/>
          <w:color w:val="000000"/>
        </w:rPr>
      </w:pPr>
      <w:r w:rsidRPr="00A31903">
        <w:rPr>
          <w:rFonts w:ascii="Times New Roman" w:hAnsi="Times New Roman" w:cs="Times New Roman"/>
          <w:color w:val="000000"/>
        </w:rPr>
        <w:t>Harvey, A. (1991).</w:t>
      </w:r>
      <w:r w:rsidR="00F772C3" w:rsidRPr="00A31903">
        <w:rPr>
          <w:rFonts w:ascii="Times New Roman" w:hAnsi="Times New Roman" w:cs="Times New Roman"/>
          <w:color w:val="000000"/>
        </w:rPr>
        <w:t xml:space="preserve"> </w:t>
      </w:r>
      <w:proofErr w:type="gramStart"/>
      <w:r w:rsidR="00F772C3" w:rsidRPr="00A31903">
        <w:rPr>
          <w:rFonts w:ascii="Times New Roman" w:hAnsi="Times New Roman" w:cs="Times New Roman"/>
          <w:i/>
          <w:color w:val="000000"/>
        </w:rPr>
        <w:t>The Econometrics Analysis of Time Series</w:t>
      </w:r>
      <w:r w:rsidRPr="00A31903">
        <w:rPr>
          <w:rFonts w:ascii="Times New Roman" w:hAnsi="Times New Roman" w:cs="Times New Roman"/>
          <w:color w:val="000000"/>
        </w:rPr>
        <w:t>.</w:t>
      </w:r>
      <w:proofErr w:type="gramEnd"/>
      <w:r w:rsidR="00F772C3" w:rsidRPr="00A31903">
        <w:rPr>
          <w:rFonts w:ascii="Times New Roman" w:hAnsi="Times New Roman" w:cs="Times New Roman"/>
          <w:color w:val="000000"/>
        </w:rPr>
        <w:t xml:space="preserve"> Cambridge, MA; </w:t>
      </w:r>
      <w:proofErr w:type="gramStart"/>
      <w:r w:rsidR="00F772C3" w:rsidRPr="00A31903">
        <w:rPr>
          <w:rFonts w:ascii="Times New Roman" w:hAnsi="Times New Roman" w:cs="Times New Roman"/>
          <w:color w:val="000000"/>
        </w:rPr>
        <w:t>The</w:t>
      </w:r>
      <w:proofErr w:type="gramEnd"/>
      <w:r w:rsidR="00F772C3" w:rsidRPr="00A31903">
        <w:rPr>
          <w:rFonts w:ascii="Times New Roman" w:hAnsi="Times New Roman" w:cs="Times New Roman"/>
          <w:color w:val="000000"/>
        </w:rPr>
        <w:t xml:space="preserve"> MIT </w:t>
      </w:r>
    </w:p>
    <w:p w:rsidR="00F772C3" w:rsidRPr="00A31903" w:rsidRDefault="00EF05E5" w:rsidP="00821AB4">
      <w:pPr>
        <w:autoSpaceDE w:val="0"/>
        <w:autoSpaceDN w:val="0"/>
        <w:adjustRightInd w:val="0"/>
        <w:spacing w:after="0"/>
        <w:jc w:val="both"/>
        <w:rPr>
          <w:rFonts w:ascii="Times New Roman" w:hAnsi="Times New Roman" w:cs="Times New Roman"/>
          <w:color w:val="000000"/>
        </w:rPr>
      </w:pPr>
      <w:r w:rsidRPr="00A31903">
        <w:rPr>
          <w:rFonts w:ascii="Times New Roman" w:hAnsi="Times New Roman" w:cs="Times New Roman"/>
          <w:color w:val="000000"/>
        </w:rPr>
        <w:t xml:space="preserve">             </w:t>
      </w:r>
      <w:proofErr w:type="gramStart"/>
      <w:r w:rsidR="00F772C3" w:rsidRPr="00A31903">
        <w:rPr>
          <w:rFonts w:ascii="Times New Roman" w:hAnsi="Times New Roman" w:cs="Times New Roman"/>
          <w:color w:val="000000"/>
        </w:rPr>
        <w:t>Press.</w:t>
      </w:r>
      <w:proofErr w:type="gramEnd"/>
    </w:p>
    <w:p w:rsidR="003D2F2F" w:rsidRPr="00A31903" w:rsidRDefault="00843E1E" w:rsidP="001F42D3">
      <w:pPr>
        <w:autoSpaceDE w:val="0"/>
        <w:autoSpaceDN w:val="0"/>
        <w:adjustRightInd w:val="0"/>
        <w:spacing w:after="0"/>
        <w:rPr>
          <w:rFonts w:ascii="Times New Roman" w:hAnsi="Times New Roman" w:cs="Times New Roman"/>
        </w:rPr>
      </w:pPr>
      <w:r w:rsidRPr="00A31903">
        <w:rPr>
          <w:rFonts w:ascii="Times New Roman" w:hAnsi="Times New Roman" w:cs="Times New Roman"/>
        </w:rPr>
        <w:t xml:space="preserve">Harris, R., </w:t>
      </w:r>
      <w:proofErr w:type="spellStart"/>
      <w:r w:rsidR="001F42D3" w:rsidRPr="00A31903">
        <w:rPr>
          <w:rFonts w:ascii="Times New Roman" w:hAnsi="Times New Roman" w:cs="Times New Roman"/>
        </w:rPr>
        <w:t>Sollis</w:t>
      </w:r>
      <w:proofErr w:type="spellEnd"/>
      <w:r w:rsidR="001F42D3" w:rsidRPr="00A31903">
        <w:rPr>
          <w:rFonts w:ascii="Times New Roman" w:hAnsi="Times New Roman" w:cs="Times New Roman"/>
        </w:rPr>
        <w:t xml:space="preserve">, R. (2003). </w:t>
      </w:r>
      <w:proofErr w:type="gramStart"/>
      <w:r w:rsidR="003D2F2F" w:rsidRPr="00A31903">
        <w:rPr>
          <w:rFonts w:ascii="Times New Roman" w:hAnsi="Times New Roman" w:cs="Times New Roman"/>
        </w:rPr>
        <w:t>Applied time se</w:t>
      </w:r>
      <w:r w:rsidR="001F42D3" w:rsidRPr="00A31903">
        <w:rPr>
          <w:rFonts w:ascii="Times New Roman" w:hAnsi="Times New Roman" w:cs="Times New Roman"/>
        </w:rPr>
        <w:t xml:space="preserve">ries </w:t>
      </w:r>
      <w:proofErr w:type="spellStart"/>
      <w:r w:rsidR="001F42D3" w:rsidRPr="00A31903">
        <w:rPr>
          <w:rFonts w:ascii="Times New Roman" w:hAnsi="Times New Roman" w:cs="Times New Roman"/>
        </w:rPr>
        <w:t>modelling</w:t>
      </w:r>
      <w:proofErr w:type="spellEnd"/>
      <w:r w:rsidR="001F42D3" w:rsidRPr="00A31903">
        <w:rPr>
          <w:rFonts w:ascii="Times New Roman" w:hAnsi="Times New Roman" w:cs="Times New Roman"/>
        </w:rPr>
        <w:t xml:space="preserve"> and forecasting.</w:t>
      </w:r>
      <w:proofErr w:type="gramEnd"/>
      <w:r w:rsidR="003D2F2F" w:rsidRPr="00A31903">
        <w:rPr>
          <w:rFonts w:ascii="Times New Roman" w:hAnsi="Times New Roman" w:cs="Times New Roman"/>
        </w:rPr>
        <w:t xml:space="preserve"> Wiley, West </w:t>
      </w:r>
    </w:p>
    <w:p w:rsidR="003D2F2F" w:rsidRPr="00A31903" w:rsidRDefault="003D2F2F" w:rsidP="001F42D3">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Sussex</w:t>
      </w:r>
    </w:p>
    <w:p w:rsidR="00EF05E5" w:rsidRPr="00A31903" w:rsidRDefault="00F772C3" w:rsidP="00EF05E5">
      <w:pPr>
        <w:autoSpaceDE w:val="0"/>
        <w:autoSpaceDN w:val="0"/>
        <w:adjustRightInd w:val="0"/>
        <w:spacing w:after="0" w:line="240" w:lineRule="auto"/>
        <w:jc w:val="both"/>
        <w:rPr>
          <w:rFonts w:ascii="Times New Roman" w:hAnsi="Times New Roman" w:cs="Times New Roman"/>
        </w:rPr>
      </w:pPr>
      <w:proofErr w:type="gramStart"/>
      <w:r w:rsidRPr="00A31903">
        <w:rPr>
          <w:rFonts w:ascii="Times New Roman" w:hAnsi="Times New Roman" w:cs="Times New Roman"/>
        </w:rPr>
        <w:t>Howard, M.</w:t>
      </w:r>
      <w:r w:rsidR="001F42D3" w:rsidRPr="00A31903">
        <w:rPr>
          <w:rFonts w:ascii="Times New Roman" w:hAnsi="Times New Roman" w:cs="Times New Roman"/>
        </w:rPr>
        <w:t xml:space="preserve"> (2011).</w:t>
      </w:r>
      <w:proofErr w:type="gramEnd"/>
      <w:r w:rsidRPr="00A31903">
        <w:rPr>
          <w:rFonts w:ascii="Times New Roman" w:hAnsi="Times New Roman" w:cs="Times New Roman"/>
        </w:rPr>
        <w:t xml:space="preserve"> </w:t>
      </w:r>
      <w:r w:rsidRPr="00A31903">
        <w:rPr>
          <w:rFonts w:ascii="Times New Roman" w:hAnsi="Times New Roman" w:cs="Times New Roman"/>
          <w:i/>
        </w:rPr>
        <w:t>Public Sector Economics for Developing Countries</w:t>
      </w:r>
      <w:r w:rsidRPr="00A31903">
        <w:rPr>
          <w:rFonts w:ascii="Times New Roman" w:hAnsi="Times New Roman" w:cs="Times New Roman"/>
        </w:rPr>
        <w:t>, University Press of</w:t>
      </w:r>
    </w:p>
    <w:p w:rsidR="00F772C3" w:rsidRPr="00A31903" w:rsidRDefault="00EF05E5" w:rsidP="00EF05E5">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F772C3" w:rsidRPr="00A31903">
        <w:rPr>
          <w:rFonts w:ascii="Times New Roman" w:hAnsi="Times New Roman" w:cs="Times New Roman"/>
        </w:rPr>
        <w:t xml:space="preserve"> </w:t>
      </w:r>
      <w:proofErr w:type="gramStart"/>
      <w:r w:rsidR="00F772C3" w:rsidRPr="00A31903">
        <w:rPr>
          <w:rFonts w:ascii="Times New Roman" w:hAnsi="Times New Roman" w:cs="Times New Roman"/>
        </w:rPr>
        <w:t>the</w:t>
      </w:r>
      <w:proofErr w:type="gramEnd"/>
      <w:r w:rsidR="00F772C3" w:rsidRPr="00A31903">
        <w:rPr>
          <w:rFonts w:ascii="Times New Roman" w:hAnsi="Times New Roman" w:cs="Times New Roman"/>
        </w:rPr>
        <w:t xml:space="preserve"> West Indies - Barbados, </w:t>
      </w:r>
      <w:proofErr w:type="spellStart"/>
      <w:r w:rsidR="00F772C3" w:rsidRPr="00A31903">
        <w:rPr>
          <w:rFonts w:ascii="Times New Roman" w:hAnsi="Times New Roman" w:cs="Times New Roman"/>
        </w:rPr>
        <w:t>Questia</w:t>
      </w:r>
      <w:proofErr w:type="spellEnd"/>
      <w:r w:rsidR="00F772C3" w:rsidRPr="00A31903">
        <w:rPr>
          <w:rFonts w:ascii="Times New Roman" w:hAnsi="Times New Roman" w:cs="Times New Roman"/>
        </w:rPr>
        <w:t xml:space="preserve">, </w:t>
      </w:r>
      <w:r w:rsidR="00F772C3" w:rsidRPr="00A31903">
        <w:rPr>
          <w:rFonts w:ascii="Times New Roman" w:hAnsi="Times New Roman" w:cs="Times New Roman"/>
          <w:noProof/>
        </w:rPr>
        <w:t>Web</w:t>
      </w:r>
      <w:r w:rsidR="00F772C3" w:rsidRPr="00A31903">
        <w:rPr>
          <w:rFonts w:ascii="Times New Roman" w:hAnsi="Times New Roman" w:cs="Times New Roman"/>
        </w:rPr>
        <w:t>.</w:t>
      </w:r>
    </w:p>
    <w:p w:rsidR="00EF05E5" w:rsidRPr="00A31903" w:rsidRDefault="001F42D3" w:rsidP="00821AB4">
      <w:pPr>
        <w:autoSpaceDE w:val="0"/>
        <w:autoSpaceDN w:val="0"/>
        <w:adjustRightInd w:val="0"/>
        <w:spacing w:after="0" w:line="240" w:lineRule="auto"/>
        <w:jc w:val="both"/>
        <w:rPr>
          <w:rFonts w:ascii="Times New Roman" w:hAnsi="Times New Roman" w:cs="Times New Roman"/>
        </w:rPr>
      </w:pPr>
      <w:proofErr w:type="gramStart"/>
      <w:r w:rsidRPr="00A31903">
        <w:rPr>
          <w:rFonts w:ascii="Times New Roman" w:hAnsi="Times New Roman" w:cs="Times New Roman"/>
        </w:rPr>
        <w:t>IMF (2011).</w:t>
      </w:r>
      <w:proofErr w:type="gramEnd"/>
      <w:r w:rsidRPr="00A31903">
        <w:rPr>
          <w:rFonts w:ascii="Times New Roman" w:hAnsi="Times New Roman" w:cs="Times New Roman"/>
        </w:rPr>
        <w:t xml:space="preserve"> </w:t>
      </w:r>
      <w:proofErr w:type="gramStart"/>
      <w:r w:rsidR="003565CB" w:rsidRPr="00A31903">
        <w:rPr>
          <w:rFonts w:ascii="Times New Roman" w:hAnsi="Times New Roman" w:cs="Times New Roman"/>
        </w:rPr>
        <w:t>Revenue mobilization in developing c</w:t>
      </w:r>
      <w:r w:rsidRPr="00A31903">
        <w:rPr>
          <w:rFonts w:ascii="Times New Roman" w:hAnsi="Times New Roman" w:cs="Times New Roman"/>
        </w:rPr>
        <w:t>ountries.</w:t>
      </w:r>
      <w:proofErr w:type="gramEnd"/>
      <w:r w:rsidR="001A5A48" w:rsidRPr="00A31903">
        <w:rPr>
          <w:rFonts w:ascii="Times New Roman" w:hAnsi="Times New Roman" w:cs="Times New Roman"/>
        </w:rPr>
        <w:t xml:space="preserve"> </w:t>
      </w:r>
      <w:proofErr w:type="gramStart"/>
      <w:r w:rsidR="001A5A48" w:rsidRPr="00A31903">
        <w:rPr>
          <w:rFonts w:ascii="Times New Roman" w:hAnsi="Times New Roman" w:cs="Times New Roman"/>
          <w:i/>
        </w:rPr>
        <w:t xml:space="preserve">IMF </w:t>
      </w:r>
      <w:r w:rsidR="00D26651" w:rsidRPr="00A31903">
        <w:rPr>
          <w:rFonts w:ascii="Times New Roman" w:hAnsi="Times New Roman" w:cs="Times New Roman"/>
          <w:i/>
        </w:rPr>
        <w:t>Policy</w:t>
      </w:r>
      <w:r w:rsidR="001A5A48" w:rsidRPr="00A31903">
        <w:rPr>
          <w:rFonts w:ascii="Times New Roman" w:hAnsi="Times New Roman" w:cs="Times New Roman"/>
          <w:i/>
        </w:rPr>
        <w:t xml:space="preserve"> Paper</w:t>
      </w:r>
      <w:r w:rsidRPr="00A31903">
        <w:rPr>
          <w:rFonts w:ascii="Times New Roman" w:hAnsi="Times New Roman" w:cs="Times New Roman"/>
        </w:rPr>
        <w:t>.</w:t>
      </w:r>
      <w:proofErr w:type="gramEnd"/>
      <w:r w:rsidR="0038616C" w:rsidRPr="00A31903">
        <w:rPr>
          <w:rFonts w:ascii="Times New Roman" w:hAnsi="Times New Roman" w:cs="Times New Roman"/>
        </w:rPr>
        <w:t xml:space="preserve"> Retrieved </w:t>
      </w:r>
    </w:p>
    <w:p w:rsidR="001A5A48" w:rsidRPr="00A31903" w:rsidRDefault="00EF05E5"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0038616C" w:rsidRPr="00A31903">
        <w:rPr>
          <w:rFonts w:ascii="Times New Roman" w:hAnsi="Times New Roman" w:cs="Times New Roman"/>
        </w:rPr>
        <w:t>from</w:t>
      </w:r>
      <w:proofErr w:type="gramEnd"/>
      <w:r w:rsidR="0038616C" w:rsidRPr="00A31903">
        <w:rPr>
          <w:rFonts w:ascii="Times New Roman" w:hAnsi="Times New Roman" w:cs="Times New Roman"/>
        </w:rPr>
        <w:t xml:space="preserve"> </w:t>
      </w:r>
      <w:r w:rsidR="0038616C" w:rsidRPr="00A31903">
        <w:rPr>
          <w:rFonts w:ascii="Times New Roman" w:hAnsi="Times New Roman" w:cs="Times New Roman"/>
          <w:shd w:val="clear" w:color="auto" w:fill="FFFFFF"/>
        </w:rPr>
        <w:t>https://www.imf.org/external/np/pp/eng/2011/030811.pdf</w:t>
      </w:r>
    </w:p>
    <w:p w:rsidR="003565CB" w:rsidRPr="00A31903" w:rsidRDefault="001A5A48" w:rsidP="00821AB4">
      <w:pPr>
        <w:autoSpaceDE w:val="0"/>
        <w:autoSpaceDN w:val="0"/>
        <w:adjustRightInd w:val="0"/>
        <w:spacing w:after="0" w:line="240" w:lineRule="auto"/>
        <w:jc w:val="both"/>
        <w:rPr>
          <w:rFonts w:ascii="Times New Roman" w:hAnsi="Times New Roman" w:cs="Times New Roman"/>
          <w:lang w:val="en-GB"/>
        </w:rPr>
      </w:pPr>
      <w:proofErr w:type="spellStart"/>
      <w:r w:rsidRPr="00A31903">
        <w:rPr>
          <w:rFonts w:ascii="Times New Roman" w:hAnsi="Times New Roman" w:cs="Times New Roman"/>
          <w:lang w:val="en-GB"/>
        </w:rPr>
        <w:t>Kaldor</w:t>
      </w:r>
      <w:proofErr w:type="spellEnd"/>
      <w:r w:rsidRPr="00A31903">
        <w:rPr>
          <w:rFonts w:ascii="Times New Roman" w:hAnsi="Times New Roman" w:cs="Times New Roman"/>
          <w:lang w:val="en-GB"/>
        </w:rPr>
        <w:t>, N. (1963)</w:t>
      </w:r>
      <w:r w:rsidR="001F42D3" w:rsidRPr="00A31903">
        <w:rPr>
          <w:rFonts w:ascii="Times New Roman" w:hAnsi="Times New Roman" w:cs="Times New Roman"/>
          <w:lang w:val="en-GB"/>
        </w:rPr>
        <w:t xml:space="preserve">. </w:t>
      </w:r>
      <w:r w:rsidR="003565CB" w:rsidRPr="00A31903">
        <w:rPr>
          <w:rFonts w:ascii="Times New Roman" w:hAnsi="Times New Roman" w:cs="Times New Roman"/>
          <w:lang w:val="en-GB"/>
        </w:rPr>
        <w:t>Will underdeveloped countries learn to t</w:t>
      </w:r>
      <w:r w:rsidR="001F42D3" w:rsidRPr="00A31903">
        <w:rPr>
          <w:rFonts w:ascii="Times New Roman" w:hAnsi="Times New Roman" w:cs="Times New Roman"/>
          <w:lang w:val="en-GB"/>
        </w:rPr>
        <w:t>ax?</w:t>
      </w:r>
      <w:r w:rsidRPr="00A31903">
        <w:rPr>
          <w:rFonts w:ascii="Times New Roman" w:hAnsi="Times New Roman" w:cs="Times New Roman"/>
          <w:lang w:val="en-GB"/>
        </w:rPr>
        <w:t xml:space="preserve"> </w:t>
      </w:r>
      <w:r w:rsidRPr="00A31903">
        <w:rPr>
          <w:rFonts w:ascii="Times New Roman" w:hAnsi="Times New Roman" w:cs="Times New Roman"/>
          <w:i/>
          <w:iCs/>
          <w:lang w:val="en-GB"/>
        </w:rPr>
        <w:t>Foreign Affairs</w:t>
      </w:r>
      <w:r w:rsidR="003565CB" w:rsidRPr="00A31903">
        <w:rPr>
          <w:rFonts w:ascii="Times New Roman" w:hAnsi="Times New Roman" w:cs="Times New Roman"/>
          <w:i/>
          <w:iCs/>
          <w:lang w:val="en-GB"/>
        </w:rPr>
        <w:t>,</w:t>
      </w:r>
      <w:r w:rsidRPr="00A31903">
        <w:rPr>
          <w:rFonts w:ascii="Times New Roman" w:hAnsi="Times New Roman" w:cs="Times New Roman"/>
          <w:i/>
          <w:iCs/>
          <w:lang w:val="en-GB"/>
        </w:rPr>
        <w:t xml:space="preserve"> </w:t>
      </w:r>
      <w:r w:rsidRPr="00A31903">
        <w:rPr>
          <w:rFonts w:ascii="Times New Roman" w:hAnsi="Times New Roman" w:cs="Times New Roman"/>
          <w:i/>
          <w:lang w:val="en-GB"/>
        </w:rPr>
        <w:t>41</w:t>
      </w:r>
      <w:r w:rsidR="001F42D3" w:rsidRPr="00A31903">
        <w:rPr>
          <w:rFonts w:ascii="Times New Roman" w:hAnsi="Times New Roman" w:cs="Times New Roman"/>
          <w:lang w:val="en-GB"/>
        </w:rPr>
        <w:t>(</w:t>
      </w:r>
      <w:r w:rsidRPr="00A31903">
        <w:rPr>
          <w:rFonts w:ascii="Times New Roman" w:hAnsi="Times New Roman" w:cs="Times New Roman"/>
          <w:lang w:val="en-GB"/>
        </w:rPr>
        <w:t>2</w:t>
      </w:r>
      <w:r w:rsidR="001F42D3" w:rsidRPr="00A31903">
        <w:rPr>
          <w:rFonts w:ascii="Times New Roman" w:hAnsi="Times New Roman" w:cs="Times New Roman"/>
          <w:lang w:val="en-GB"/>
        </w:rPr>
        <w:t>)</w:t>
      </w:r>
      <w:r w:rsidR="003565CB" w:rsidRPr="00A31903">
        <w:rPr>
          <w:rFonts w:ascii="Times New Roman" w:hAnsi="Times New Roman" w:cs="Times New Roman"/>
          <w:lang w:val="en-GB"/>
        </w:rPr>
        <w:t>,</w:t>
      </w:r>
    </w:p>
    <w:p w:rsidR="001A5A48" w:rsidRPr="00A31903" w:rsidRDefault="001F42D3" w:rsidP="00821AB4">
      <w:pPr>
        <w:autoSpaceDE w:val="0"/>
        <w:autoSpaceDN w:val="0"/>
        <w:adjustRightInd w:val="0"/>
        <w:spacing w:after="0" w:line="240" w:lineRule="auto"/>
        <w:jc w:val="both"/>
        <w:rPr>
          <w:rFonts w:ascii="Times New Roman" w:hAnsi="Times New Roman" w:cs="Times New Roman"/>
          <w:i/>
          <w:iCs/>
          <w:lang w:val="en-GB"/>
        </w:rPr>
      </w:pPr>
      <w:r w:rsidRPr="00A31903">
        <w:rPr>
          <w:rFonts w:ascii="Times New Roman" w:hAnsi="Times New Roman" w:cs="Times New Roman"/>
          <w:lang w:val="en-GB"/>
        </w:rPr>
        <w:t xml:space="preserve">             </w:t>
      </w:r>
      <w:proofErr w:type="gramStart"/>
      <w:r w:rsidR="001A5A48" w:rsidRPr="00A31903">
        <w:rPr>
          <w:rFonts w:ascii="Times New Roman" w:hAnsi="Times New Roman" w:cs="Times New Roman"/>
          <w:lang w:val="en-GB"/>
        </w:rPr>
        <w:t>410-419.</w:t>
      </w:r>
      <w:proofErr w:type="gramEnd"/>
    </w:p>
    <w:p w:rsidR="00F772C3" w:rsidRPr="00A31903" w:rsidRDefault="001F42D3" w:rsidP="00821AB4">
      <w:pPr>
        <w:autoSpaceDE w:val="0"/>
        <w:autoSpaceDN w:val="0"/>
        <w:adjustRightInd w:val="0"/>
        <w:spacing w:after="0" w:line="240" w:lineRule="auto"/>
        <w:jc w:val="both"/>
        <w:rPr>
          <w:rFonts w:ascii="Times New Roman" w:hAnsi="Times New Roman" w:cs="Times New Roman"/>
          <w:color w:val="000000"/>
          <w:shd w:val="clear" w:color="auto" w:fill="FFFFFF"/>
        </w:rPr>
      </w:pPr>
      <w:proofErr w:type="spellStart"/>
      <w:r w:rsidRPr="00A31903">
        <w:rPr>
          <w:rFonts w:ascii="Times New Roman" w:hAnsi="Times New Roman" w:cs="Times New Roman"/>
          <w:color w:val="000000"/>
          <w:shd w:val="clear" w:color="auto" w:fill="FFFFFF"/>
        </w:rPr>
        <w:t>Kusi</w:t>
      </w:r>
      <w:proofErr w:type="spellEnd"/>
      <w:r w:rsidRPr="00A31903">
        <w:rPr>
          <w:rFonts w:ascii="Times New Roman" w:hAnsi="Times New Roman" w:cs="Times New Roman"/>
          <w:color w:val="000000"/>
          <w:shd w:val="clear" w:color="auto" w:fill="FFFFFF"/>
        </w:rPr>
        <w:t xml:space="preserve"> N.K. (1998).</w:t>
      </w:r>
      <w:r w:rsidR="00F772C3" w:rsidRPr="00A31903">
        <w:rPr>
          <w:rFonts w:ascii="Times New Roman" w:hAnsi="Times New Roman" w:cs="Times New Roman"/>
          <w:color w:val="000000"/>
          <w:shd w:val="clear" w:color="auto" w:fill="FFFFFF"/>
        </w:rPr>
        <w:t xml:space="preserve"> </w:t>
      </w:r>
      <w:proofErr w:type="gramStart"/>
      <w:r w:rsidR="00F772C3" w:rsidRPr="00A31903">
        <w:rPr>
          <w:rFonts w:ascii="Times New Roman" w:hAnsi="Times New Roman" w:cs="Times New Roman"/>
          <w:color w:val="000000"/>
          <w:shd w:val="clear" w:color="auto" w:fill="FFFFFF"/>
        </w:rPr>
        <w:t>Tax reform and revenue productivity in Ghana</w:t>
      </w:r>
      <w:r w:rsidRPr="00A31903">
        <w:rPr>
          <w:rFonts w:ascii="Times New Roman" w:hAnsi="Times New Roman" w:cs="Times New Roman"/>
          <w:lang w:val="en-GB"/>
        </w:rPr>
        <w:t>.</w:t>
      </w:r>
      <w:proofErr w:type="gramEnd"/>
      <w:r w:rsidR="00F772C3" w:rsidRPr="00A31903">
        <w:rPr>
          <w:rFonts w:ascii="Times New Roman" w:hAnsi="Times New Roman" w:cs="Times New Roman"/>
          <w:color w:val="000000"/>
          <w:shd w:val="clear" w:color="auto" w:fill="FFFFFF"/>
        </w:rPr>
        <w:t xml:space="preserve"> </w:t>
      </w:r>
      <w:r w:rsidR="00F772C3" w:rsidRPr="00A31903">
        <w:rPr>
          <w:rFonts w:ascii="Times New Roman" w:hAnsi="Times New Roman" w:cs="Times New Roman"/>
          <w:i/>
          <w:color w:val="000000"/>
          <w:shd w:val="clear" w:color="auto" w:fill="FFFFFF"/>
        </w:rPr>
        <w:t>AERC Research Paper</w:t>
      </w:r>
      <w:proofErr w:type="gramStart"/>
      <w:r w:rsidRPr="00A31903">
        <w:rPr>
          <w:rFonts w:ascii="Times New Roman" w:hAnsi="Times New Roman" w:cs="Times New Roman"/>
          <w:color w:val="000000"/>
          <w:shd w:val="clear" w:color="auto" w:fill="FFFFFF"/>
        </w:rPr>
        <w:t>,</w:t>
      </w:r>
      <w:r w:rsidR="00F772C3" w:rsidRPr="00A31903">
        <w:rPr>
          <w:rFonts w:ascii="Times New Roman" w:hAnsi="Times New Roman" w:cs="Times New Roman"/>
          <w:color w:val="000000"/>
          <w:shd w:val="clear" w:color="auto" w:fill="FFFFFF"/>
        </w:rPr>
        <w:t>74</w:t>
      </w:r>
      <w:proofErr w:type="gramEnd"/>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color w:val="000000"/>
          <w:shd w:val="clear" w:color="auto" w:fill="FFFFFF"/>
        </w:rPr>
        <w:t xml:space="preserve">             (March), Nairobi: African Economic Research Consortium.</w:t>
      </w:r>
    </w:p>
    <w:p w:rsidR="00F772C3" w:rsidRPr="00A31903" w:rsidRDefault="00BD3576"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Kutner</w:t>
      </w:r>
      <w:proofErr w:type="spellEnd"/>
      <w:r w:rsidRPr="00A31903">
        <w:rPr>
          <w:rFonts w:ascii="Times New Roman" w:hAnsi="Times New Roman" w:cs="Times New Roman"/>
        </w:rPr>
        <w:t>, N. N.</w:t>
      </w:r>
      <w:r w:rsidR="001F42D3" w:rsidRPr="00A31903">
        <w:rPr>
          <w:rFonts w:ascii="Times New Roman" w:hAnsi="Times New Roman" w:cs="Times New Roman"/>
        </w:rPr>
        <w:t xml:space="preserve"> (2004).</w:t>
      </w:r>
      <w:r w:rsidR="00F772C3" w:rsidRPr="00A31903">
        <w:rPr>
          <w:rFonts w:ascii="Times New Roman" w:hAnsi="Times New Roman" w:cs="Times New Roman"/>
        </w:rPr>
        <w:t xml:space="preserve"> </w:t>
      </w:r>
      <w:r w:rsidR="00F772C3" w:rsidRPr="00A31903">
        <w:rPr>
          <w:rFonts w:ascii="Times New Roman" w:hAnsi="Times New Roman" w:cs="Times New Roman"/>
          <w:i/>
        </w:rPr>
        <w:t>Applied Linear Regression Models</w:t>
      </w:r>
      <w:r w:rsidR="008E1FA7" w:rsidRPr="00A31903">
        <w:rPr>
          <w:rFonts w:ascii="Times New Roman" w:hAnsi="Times New Roman" w:cs="Times New Roman"/>
        </w:rPr>
        <w:t xml:space="preserve"> (</w:t>
      </w:r>
      <w:proofErr w:type="gramStart"/>
      <w:r w:rsidR="00F772C3" w:rsidRPr="00A31903">
        <w:rPr>
          <w:rFonts w:ascii="Times New Roman" w:hAnsi="Times New Roman" w:cs="Times New Roman"/>
        </w:rPr>
        <w:t>4</w:t>
      </w:r>
      <w:r w:rsidR="00F772C3" w:rsidRPr="00A31903">
        <w:rPr>
          <w:rFonts w:ascii="Times New Roman" w:hAnsi="Times New Roman" w:cs="Times New Roman"/>
          <w:vertAlign w:val="superscript"/>
        </w:rPr>
        <w:t>th</w:t>
      </w:r>
      <w:proofErr w:type="gramEnd"/>
      <w:r w:rsidR="008E1FA7" w:rsidRPr="00A31903">
        <w:rPr>
          <w:rFonts w:ascii="Times New Roman" w:hAnsi="Times New Roman" w:cs="Times New Roman"/>
        </w:rPr>
        <w:t xml:space="preserve"> E</w:t>
      </w:r>
      <w:r w:rsidR="00F772C3" w:rsidRPr="00A31903">
        <w:rPr>
          <w:rFonts w:ascii="Times New Roman" w:hAnsi="Times New Roman" w:cs="Times New Roman"/>
        </w:rPr>
        <w:t>d</w:t>
      </w:r>
      <w:r w:rsidR="008E1FA7" w:rsidRPr="00A31903">
        <w:rPr>
          <w:rFonts w:ascii="Times New Roman" w:hAnsi="Times New Roman" w:cs="Times New Roman"/>
        </w:rPr>
        <w:t>.)</w:t>
      </w:r>
      <w:r w:rsidR="001F42D3" w:rsidRPr="00A31903">
        <w:rPr>
          <w:rFonts w:ascii="Times New Roman" w:hAnsi="Times New Roman" w:cs="Times New Roman"/>
        </w:rPr>
        <w:t xml:space="preserve">. </w:t>
      </w:r>
      <w:proofErr w:type="gramStart"/>
      <w:r w:rsidR="00F772C3" w:rsidRPr="00A31903">
        <w:rPr>
          <w:rFonts w:ascii="Times New Roman" w:hAnsi="Times New Roman" w:cs="Times New Roman"/>
        </w:rPr>
        <w:t>McGraw-Hill Irwin.</w:t>
      </w:r>
      <w:proofErr w:type="gramEnd"/>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proofErr w:type="gramStart"/>
      <w:r w:rsidRPr="00A31903">
        <w:rPr>
          <w:rFonts w:ascii="Times New Roman" w:hAnsi="Times New Roman" w:cs="Times New Roman"/>
        </w:rPr>
        <w:t>Le</w:t>
      </w:r>
      <w:r w:rsidR="00C72CA4" w:rsidRPr="00A31903">
        <w:rPr>
          <w:rFonts w:ascii="Times New Roman" w:hAnsi="Times New Roman" w:cs="Times New Roman"/>
        </w:rPr>
        <w:t>,</w:t>
      </w:r>
      <w:r w:rsidRPr="00A31903">
        <w:rPr>
          <w:rFonts w:ascii="Times New Roman" w:hAnsi="Times New Roman" w:cs="Times New Roman"/>
        </w:rPr>
        <w:t xml:space="preserve"> </w:t>
      </w:r>
      <w:r w:rsidR="00C72CA4" w:rsidRPr="00A31903">
        <w:rPr>
          <w:rFonts w:ascii="Times New Roman" w:hAnsi="Times New Roman" w:cs="Times New Roman"/>
        </w:rPr>
        <w:t xml:space="preserve">T. </w:t>
      </w:r>
      <w:r w:rsidRPr="00A31903">
        <w:rPr>
          <w:rFonts w:ascii="Times New Roman" w:hAnsi="Times New Roman" w:cs="Times New Roman"/>
        </w:rPr>
        <w:t xml:space="preserve">M., </w:t>
      </w:r>
      <w:r w:rsidRPr="00A31903">
        <w:rPr>
          <w:rFonts w:ascii="Times New Roman" w:hAnsi="Times New Roman" w:cs="Times New Roman"/>
          <w:lang w:val="en-GB"/>
        </w:rPr>
        <w:t>Moreno-Dodson</w:t>
      </w:r>
      <w:r w:rsidR="00C62EF3" w:rsidRPr="00A31903">
        <w:rPr>
          <w:rFonts w:ascii="Times New Roman" w:hAnsi="Times New Roman" w:cs="Times New Roman"/>
          <w:lang w:val="en-GB"/>
        </w:rPr>
        <w:t>,</w:t>
      </w:r>
      <w:r w:rsidRPr="00A31903">
        <w:rPr>
          <w:rFonts w:ascii="Times New Roman" w:hAnsi="Times New Roman" w:cs="Times New Roman"/>
          <w:lang w:val="en-GB"/>
        </w:rPr>
        <w:t xml:space="preserve"> B</w:t>
      </w:r>
      <w:r w:rsidR="001E4731" w:rsidRPr="00A31903">
        <w:rPr>
          <w:rFonts w:ascii="Times New Roman" w:hAnsi="Times New Roman" w:cs="Times New Roman"/>
        </w:rPr>
        <w:t>.,</w:t>
      </w:r>
      <w:r w:rsidR="001F42D3" w:rsidRPr="00A31903">
        <w:rPr>
          <w:rFonts w:ascii="Times New Roman" w:hAnsi="Times New Roman" w:cs="Times New Roman"/>
        </w:rPr>
        <w:t xml:space="preserve"> </w:t>
      </w:r>
      <w:proofErr w:type="spellStart"/>
      <w:r w:rsidR="001F42D3" w:rsidRPr="00A31903">
        <w:rPr>
          <w:rFonts w:ascii="Times New Roman" w:hAnsi="Times New Roman" w:cs="Times New Roman"/>
        </w:rPr>
        <w:t>Rojchaichaninthorn</w:t>
      </w:r>
      <w:proofErr w:type="spellEnd"/>
      <w:r w:rsidR="001F42D3" w:rsidRPr="00A31903">
        <w:rPr>
          <w:rFonts w:ascii="Times New Roman" w:hAnsi="Times New Roman" w:cs="Times New Roman"/>
        </w:rPr>
        <w:t>, J. (2008).</w:t>
      </w:r>
      <w:proofErr w:type="gramEnd"/>
      <w:r w:rsidRPr="00A31903">
        <w:rPr>
          <w:rFonts w:ascii="Times New Roman" w:hAnsi="Times New Roman" w:cs="Times New Roman"/>
        </w:rPr>
        <w:t xml:space="preserve"> Expanding taxable capacity</w:t>
      </w:r>
    </w:p>
    <w:p w:rsidR="00F772C3" w:rsidRPr="00A31903" w:rsidRDefault="00F772C3" w:rsidP="00821AB4">
      <w:pPr>
        <w:autoSpaceDE w:val="0"/>
        <w:autoSpaceDN w:val="0"/>
        <w:adjustRightInd w:val="0"/>
        <w:spacing w:after="0" w:line="240" w:lineRule="auto"/>
        <w:jc w:val="both"/>
        <w:rPr>
          <w:rFonts w:ascii="Times New Roman" w:hAnsi="Times New Roman" w:cs="Times New Roman"/>
          <w:i/>
        </w:rPr>
      </w:pPr>
      <w:r w:rsidRPr="00A31903">
        <w:rPr>
          <w:rFonts w:ascii="Times New Roman" w:hAnsi="Times New Roman" w:cs="Times New Roman"/>
        </w:rPr>
        <w:t xml:space="preserve">             </w:t>
      </w:r>
      <w:proofErr w:type="gramStart"/>
      <w:r w:rsidRPr="00A31903">
        <w:rPr>
          <w:rFonts w:ascii="Times New Roman" w:hAnsi="Times New Roman" w:cs="Times New Roman"/>
        </w:rPr>
        <w:t>and</w:t>
      </w:r>
      <w:proofErr w:type="gramEnd"/>
      <w:r w:rsidRPr="00A31903">
        <w:rPr>
          <w:rFonts w:ascii="Times New Roman" w:hAnsi="Times New Roman" w:cs="Times New Roman"/>
        </w:rPr>
        <w:t xml:space="preserve"> reaching revenue potential: </w:t>
      </w:r>
      <w:r w:rsidRPr="00A31903">
        <w:rPr>
          <w:rFonts w:ascii="Times New Roman" w:hAnsi="Times New Roman" w:cs="Times New Roman"/>
          <w:noProof/>
        </w:rPr>
        <w:t>Cross country</w:t>
      </w:r>
      <w:r w:rsidRPr="00A31903">
        <w:rPr>
          <w:rFonts w:ascii="Times New Roman" w:hAnsi="Times New Roman" w:cs="Times New Roman"/>
        </w:rPr>
        <w:t xml:space="preserve"> a</w:t>
      </w:r>
      <w:r w:rsidR="001F42D3" w:rsidRPr="00A31903">
        <w:rPr>
          <w:rFonts w:ascii="Times New Roman" w:hAnsi="Times New Roman" w:cs="Times New Roman"/>
        </w:rPr>
        <w:t>nalysis.</w:t>
      </w:r>
      <w:r w:rsidRPr="00A31903">
        <w:rPr>
          <w:rFonts w:ascii="Times New Roman" w:hAnsi="Times New Roman" w:cs="Times New Roman"/>
          <w:i/>
        </w:rPr>
        <w:t xml:space="preserve"> Policy Research Working</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i/>
        </w:rPr>
        <w:t xml:space="preserve">    </w:t>
      </w:r>
      <w:r w:rsidRPr="00A31903">
        <w:rPr>
          <w:rFonts w:ascii="Times New Roman" w:hAnsi="Times New Roman" w:cs="Times New Roman"/>
        </w:rPr>
        <w:t xml:space="preserve">         </w:t>
      </w:r>
      <w:r w:rsidRPr="00A31903">
        <w:rPr>
          <w:rFonts w:ascii="Times New Roman" w:hAnsi="Times New Roman" w:cs="Times New Roman"/>
          <w:i/>
        </w:rPr>
        <w:t>Paper</w:t>
      </w:r>
      <w:r w:rsidRPr="00A31903">
        <w:rPr>
          <w:rFonts w:ascii="Times New Roman" w:hAnsi="Times New Roman" w:cs="Times New Roman"/>
        </w:rPr>
        <w:t xml:space="preserve">, </w:t>
      </w:r>
      <w:proofErr w:type="gramStart"/>
      <w:r w:rsidRPr="00A31903">
        <w:rPr>
          <w:rFonts w:ascii="Times New Roman" w:hAnsi="Times New Roman" w:cs="Times New Roman"/>
          <w:i/>
        </w:rPr>
        <w:t>The</w:t>
      </w:r>
      <w:proofErr w:type="gramEnd"/>
      <w:r w:rsidRPr="00A31903">
        <w:rPr>
          <w:rFonts w:ascii="Times New Roman" w:hAnsi="Times New Roman" w:cs="Times New Roman"/>
          <w:i/>
        </w:rPr>
        <w:t xml:space="preserve"> World Bank,</w:t>
      </w:r>
      <w:r w:rsidRPr="00A31903">
        <w:rPr>
          <w:rFonts w:ascii="Times New Roman" w:hAnsi="Times New Roman" w:cs="Times New Roman"/>
        </w:rPr>
        <w:t xml:space="preserve"> Paper No.</w:t>
      </w:r>
      <w:r w:rsidR="00C72CA4" w:rsidRPr="00A31903">
        <w:rPr>
          <w:rFonts w:ascii="Times New Roman" w:hAnsi="Times New Roman" w:cs="Times New Roman"/>
        </w:rPr>
        <w:t xml:space="preserve"> </w:t>
      </w:r>
      <w:r w:rsidRPr="00A31903">
        <w:rPr>
          <w:rFonts w:ascii="Times New Roman" w:hAnsi="Times New Roman" w:cs="Times New Roman"/>
        </w:rPr>
        <w:t>4559, March</w:t>
      </w:r>
      <w:r w:rsidR="001F42D3" w:rsidRPr="00A31903">
        <w:rPr>
          <w:rFonts w:ascii="Times New Roman" w:hAnsi="Times New Roman" w:cs="Times New Roman"/>
        </w:rPr>
        <w:t xml:space="preserve">, </w:t>
      </w:r>
      <w:r w:rsidRPr="00A31903">
        <w:rPr>
          <w:rFonts w:ascii="Times New Roman" w:hAnsi="Times New Roman" w:cs="Times New Roman"/>
        </w:rPr>
        <w:t>1-36.</w:t>
      </w:r>
    </w:p>
    <w:p w:rsidR="00F772C3" w:rsidRPr="00A31903" w:rsidRDefault="00F772C3" w:rsidP="00821AB4">
      <w:pPr>
        <w:autoSpaceDE w:val="0"/>
        <w:autoSpaceDN w:val="0"/>
        <w:adjustRightInd w:val="0"/>
        <w:spacing w:after="0" w:line="240" w:lineRule="auto"/>
        <w:jc w:val="both"/>
        <w:rPr>
          <w:rFonts w:ascii="Times New Roman" w:hAnsi="Times New Roman" w:cs="Times New Roman"/>
          <w:lang w:val="en-GB"/>
        </w:rPr>
      </w:pPr>
      <w:proofErr w:type="gramStart"/>
      <w:r w:rsidRPr="00A31903">
        <w:rPr>
          <w:rFonts w:ascii="Times New Roman" w:hAnsi="Times New Roman" w:cs="Times New Roman"/>
          <w:lang w:val="en-GB"/>
        </w:rPr>
        <w:t>Le</w:t>
      </w:r>
      <w:r w:rsidR="00E3710E" w:rsidRPr="00A31903">
        <w:rPr>
          <w:rFonts w:ascii="Times New Roman" w:hAnsi="Times New Roman" w:cs="Times New Roman"/>
          <w:lang w:val="en-GB"/>
        </w:rPr>
        <w:t>,</w:t>
      </w:r>
      <w:r w:rsidRPr="00A31903">
        <w:rPr>
          <w:rFonts w:ascii="Times New Roman" w:hAnsi="Times New Roman" w:cs="Times New Roman"/>
          <w:lang w:val="en-GB"/>
        </w:rPr>
        <w:t xml:space="preserve"> T.M, Moreno-Dodson</w:t>
      </w:r>
      <w:r w:rsidR="00E3710E" w:rsidRPr="00A31903">
        <w:rPr>
          <w:rFonts w:ascii="Times New Roman" w:hAnsi="Times New Roman" w:cs="Times New Roman"/>
          <w:lang w:val="en-GB"/>
        </w:rPr>
        <w:t>,</w:t>
      </w:r>
      <w:r w:rsidRPr="00A31903">
        <w:rPr>
          <w:rFonts w:ascii="Times New Roman" w:hAnsi="Times New Roman" w:cs="Times New Roman"/>
          <w:lang w:val="en-GB"/>
        </w:rPr>
        <w:t xml:space="preserve"> B</w:t>
      </w:r>
      <w:r w:rsidR="00480806" w:rsidRPr="00A31903">
        <w:rPr>
          <w:rFonts w:ascii="Times New Roman" w:hAnsi="Times New Roman" w:cs="Times New Roman"/>
          <w:lang w:val="en-GB"/>
        </w:rPr>
        <w:t>.</w:t>
      </w:r>
      <w:r w:rsidR="00843E1E" w:rsidRPr="00A31903">
        <w:rPr>
          <w:rFonts w:ascii="Times New Roman" w:hAnsi="Times New Roman" w:cs="Times New Roman"/>
          <w:lang w:val="en-GB"/>
        </w:rPr>
        <w:t>,</w:t>
      </w:r>
      <w:r w:rsidR="009871E2" w:rsidRPr="00A31903">
        <w:rPr>
          <w:rFonts w:ascii="Times New Roman" w:hAnsi="Times New Roman" w:cs="Times New Roman"/>
          <w:lang w:val="en-GB"/>
        </w:rPr>
        <w:t xml:space="preserve"> </w:t>
      </w:r>
      <w:proofErr w:type="spellStart"/>
      <w:r w:rsidRPr="00A31903">
        <w:rPr>
          <w:rFonts w:ascii="Times New Roman" w:hAnsi="Times New Roman" w:cs="Times New Roman"/>
          <w:lang w:val="en-GB"/>
        </w:rPr>
        <w:t>Bayraktar</w:t>
      </w:r>
      <w:proofErr w:type="spellEnd"/>
      <w:r w:rsidRPr="00A31903">
        <w:rPr>
          <w:rFonts w:ascii="Times New Roman" w:hAnsi="Times New Roman" w:cs="Times New Roman"/>
          <w:lang w:val="en-GB"/>
        </w:rPr>
        <w:t>, N.</w:t>
      </w:r>
      <w:r w:rsidR="009871E2" w:rsidRPr="00A31903">
        <w:rPr>
          <w:rFonts w:ascii="Times New Roman" w:hAnsi="Times New Roman" w:cs="Times New Roman"/>
          <w:lang w:val="en-GB"/>
        </w:rPr>
        <w:t xml:space="preserve"> (2012).</w:t>
      </w:r>
      <w:proofErr w:type="gramEnd"/>
      <w:r w:rsidR="009871E2" w:rsidRPr="00A31903">
        <w:rPr>
          <w:rFonts w:ascii="Times New Roman" w:hAnsi="Times New Roman" w:cs="Times New Roman"/>
          <w:lang w:val="en-GB"/>
        </w:rPr>
        <w:t xml:space="preserve"> </w:t>
      </w:r>
      <w:r w:rsidRPr="00A31903">
        <w:rPr>
          <w:rFonts w:ascii="Times New Roman" w:hAnsi="Times New Roman" w:cs="Times New Roman"/>
          <w:lang w:val="en-GB"/>
        </w:rPr>
        <w:t xml:space="preserve">Tax capacity and tax effort: Extended </w:t>
      </w:r>
      <w:r w:rsidRPr="00A31903">
        <w:rPr>
          <w:rFonts w:ascii="Times New Roman" w:hAnsi="Times New Roman" w:cs="Times New Roman"/>
          <w:lang w:val="en-GB"/>
        </w:rPr>
        <w:tab/>
        <w:t>cross-country analysis from 1994 to 2009</w:t>
      </w:r>
      <w:r w:rsidR="009871E2" w:rsidRPr="00A31903">
        <w:rPr>
          <w:rFonts w:ascii="Times New Roman" w:hAnsi="Times New Roman" w:cs="Times New Roman"/>
          <w:lang w:val="en-GB"/>
        </w:rPr>
        <w:t>.</w:t>
      </w:r>
      <w:r w:rsidRPr="00A31903">
        <w:rPr>
          <w:rFonts w:ascii="Times New Roman" w:hAnsi="Times New Roman" w:cs="Times New Roman"/>
          <w:lang w:val="en-GB"/>
        </w:rPr>
        <w:t xml:space="preserve"> </w:t>
      </w:r>
      <w:r w:rsidRPr="00A31903">
        <w:rPr>
          <w:rFonts w:ascii="Times New Roman" w:hAnsi="Times New Roman" w:cs="Times New Roman"/>
          <w:i/>
          <w:lang w:val="en-GB"/>
        </w:rPr>
        <w:t>Policy Research Working Paper</w:t>
      </w:r>
      <w:r w:rsidRPr="00A31903">
        <w:rPr>
          <w:rFonts w:ascii="Times New Roman" w:hAnsi="Times New Roman" w:cs="Times New Roman"/>
          <w:lang w:val="en-GB"/>
        </w:rPr>
        <w:t xml:space="preserve">, The </w:t>
      </w:r>
    </w:p>
    <w:p w:rsidR="00F772C3" w:rsidRPr="00A31903" w:rsidRDefault="00F772C3" w:rsidP="00821AB4">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lang w:val="en-GB"/>
        </w:rPr>
        <w:t xml:space="preserve">            </w:t>
      </w:r>
      <w:proofErr w:type="gramStart"/>
      <w:r w:rsidRPr="00A31903">
        <w:rPr>
          <w:rFonts w:ascii="Times New Roman" w:hAnsi="Times New Roman" w:cs="Times New Roman"/>
          <w:lang w:val="en-GB"/>
        </w:rPr>
        <w:t xml:space="preserve">World </w:t>
      </w:r>
      <w:r w:rsidRPr="00A31903">
        <w:rPr>
          <w:rFonts w:ascii="Times New Roman" w:hAnsi="Times New Roman" w:cs="Times New Roman"/>
          <w:lang w:val="en-GB"/>
        </w:rPr>
        <w:tab/>
        <w:t>Bank.</w:t>
      </w:r>
      <w:proofErr w:type="gramEnd"/>
    </w:p>
    <w:p w:rsidR="00F772C3" w:rsidRPr="00A31903" w:rsidRDefault="009871E2"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Leuthold</w:t>
      </w:r>
      <w:proofErr w:type="spellEnd"/>
      <w:r w:rsidRPr="00A31903">
        <w:rPr>
          <w:rFonts w:ascii="Times New Roman" w:hAnsi="Times New Roman" w:cs="Times New Roman"/>
        </w:rPr>
        <w:t xml:space="preserve">, J. H. (1991). </w:t>
      </w:r>
      <w:r w:rsidR="00F772C3" w:rsidRPr="00A31903">
        <w:rPr>
          <w:rFonts w:ascii="Times New Roman" w:hAnsi="Times New Roman" w:cs="Times New Roman"/>
        </w:rPr>
        <w:t>Tax shares in developing economies: A panel s</w:t>
      </w:r>
      <w:r w:rsidRPr="00A31903">
        <w:rPr>
          <w:rFonts w:ascii="Times New Roman" w:hAnsi="Times New Roman" w:cs="Times New Roman"/>
        </w:rPr>
        <w:t>tudy.</w:t>
      </w:r>
      <w:r w:rsidR="00F772C3" w:rsidRPr="00A31903">
        <w:rPr>
          <w:rFonts w:ascii="Times New Roman" w:hAnsi="Times New Roman" w:cs="Times New Roman"/>
        </w:rPr>
        <w:t xml:space="preserve"> </w:t>
      </w:r>
      <w:r w:rsidR="00F772C3" w:rsidRPr="00A31903">
        <w:rPr>
          <w:rFonts w:ascii="Times New Roman" w:hAnsi="Times New Roman" w:cs="Times New Roman"/>
          <w:i/>
        </w:rPr>
        <w:t xml:space="preserve">Journal of </w:t>
      </w:r>
      <w:r w:rsidR="00F772C3" w:rsidRPr="00A31903">
        <w:rPr>
          <w:rFonts w:ascii="Times New Roman" w:hAnsi="Times New Roman" w:cs="Times New Roman"/>
          <w:i/>
        </w:rPr>
        <w:tab/>
        <w:t>Development Economics</w:t>
      </w:r>
      <w:r w:rsidRPr="00A31903">
        <w:rPr>
          <w:rFonts w:ascii="Times New Roman" w:hAnsi="Times New Roman" w:cs="Times New Roman"/>
        </w:rPr>
        <w:t xml:space="preserve">, </w:t>
      </w:r>
      <w:r w:rsidR="00F772C3" w:rsidRPr="00A31903">
        <w:rPr>
          <w:rFonts w:ascii="Times New Roman" w:hAnsi="Times New Roman" w:cs="Times New Roman"/>
          <w:i/>
        </w:rPr>
        <w:t>35</w:t>
      </w:r>
      <w:r w:rsidR="00032CF9" w:rsidRPr="00A31903">
        <w:rPr>
          <w:rFonts w:ascii="Times New Roman" w:hAnsi="Times New Roman" w:cs="Times New Roman"/>
          <w:i/>
        </w:rPr>
        <w:t xml:space="preserve"> </w:t>
      </w:r>
      <w:r w:rsidR="00032CF9" w:rsidRPr="00A31903">
        <w:rPr>
          <w:rFonts w:ascii="Times New Roman" w:hAnsi="Times New Roman" w:cs="Times New Roman"/>
        </w:rPr>
        <w:t>(1)</w:t>
      </w:r>
      <w:r w:rsidR="00F772C3" w:rsidRPr="00A31903">
        <w:rPr>
          <w:rFonts w:ascii="Times New Roman" w:hAnsi="Times New Roman" w:cs="Times New Roman"/>
        </w:rPr>
        <w:t>, 173-185.</w:t>
      </w:r>
    </w:p>
    <w:p w:rsidR="009871E2" w:rsidRPr="00A31903" w:rsidRDefault="00F772C3" w:rsidP="00821AB4">
      <w:pPr>
        <w:autoSpaceDE w:val="0"/>
        <w:autoSpaceDN w:val="0"/>
        <w:adjustRightInd w:val="0"/>
        <w:spacing w:after="0" w:line="240" w:lineRule="auto"/>
        <w:jc w:val="both"/>
        <w:rPr>
          <w:rFonts w:ascii="Times New Roman" w:hAnsi="Times New Roman" w:cs="Times New Roman"/>
          <w:i/>
        </w:rPr>
      </w:pPr>
      <w:proofErr w:type="spellStart"/>
      <w:proofErr w:type="gramStart"/>
      <w:r w:rsidRPr="00A31903">
        <w:rPr>
          <w:rFonts w:ascii="Times New Roman" w:hAnsi="Times New Roman" w:cs="Times New Roman"/>
        </w:rPr>
        <w:t>L</w:t>
      </w:r>
      <w:r w:rsidR="00BD3576" w:rsidRPr="00A31903">
        <w:rPr>
          <w:rFonts w:ascii="Times New Roman" w:hAnsi="Times New Roman" w:cs="Times New Roman"/>
        </w:rPr>
        <w:t>otz</w:t>
      </w:r>
      <w:proofErr w:type="spellEnd"/>
      <w:r w:rsidR="00BD3576" w:rsidRPr="00A31903">
        <w:rPr>
          <w:rFonts w:ascii="Times New Roman" w:hAnsi="Times New Roman" w:cs="Times New Roman"/>
        </w:rPr>
        <w:t>, J.R</w:t>
      </w:r>
      <w:r w:rsidR="009871E2" w:rsidRPr="00A31903">
        <w:rPr>
          <w:rFonts w:ascii="Times New Roman" w:hAnsi="Times New Roman" w:cs="Times New Roman"/>
        </w:rPr>
        <w:t>.,</w:t>
      </w:r>
      <w:r w:rsidRPr="00A31903">
        <w:rPr>
          <w:rFonts w:ascii="Times New Roman" w:hAnsi="Times New Roman" w:cs="Times New Roman"/>
        </w:rPr>
        <w:t xml:space="preserve"> </w:t>
      </w:r>
      <w:proofErr w:type="spellStart"/>
      <w:r w:rsidRPr="00A31903">
        <w:rPr>
          <w:rFonts w:ascii="Times New Roman" w:hAnsi="Times New Roman" w:cs="Times New Roman"/>
        </w:rPr>
        <w:t>Morss</w:t>
      </w:r>
      <w:proofErr w:type="spellEnd"/>
      <w:r w:rsidRPr="00A31903">
        <w:rPr>
          <w:rFonts w:ascii="Times New Roman" w:hAnsi="Times New Roman" w:cs="Times New Roman"/>
        </w:rPr>
        <w:t xml:space="preserve"> E.R. (1967</w:t>
      </w:r>
      <w:r w:rsidR="009871E2" w:rsidRPr="00A31903">
        <w:rPr>
          <w:rFonts w:ascii="Times New Roman" w:hAnsi="Times New Roman" w:cs="Times New Roman"/>
        </w:rPr>
        <w:t>).</w:t>
      </w:r>
      <w:proofErr w:type="gramEnd"/>
      <w:r w:rsidR="009871E2" w:rsidRPr="00A31903">
        <w:rPr>
          <w:rFonts w:ascii="Times New Roman" w:hAnsi="Times New Roman" w:cs="Times New Roman"/>
        </w:rPr>
        <w:t xml:space="preserve"> </w:t>
      </w:r>
      <w:proofErr w:type="gramStart"/>
      <w:r w:rsidRPr="00A31903">
        <w:rPr>
          <w:rFonts w:ascii="Times New Roman" w:hAnsi="Times New Roman" w:cs="Times New Roman"/>
        </w:rPr>
        <w:t>Measuring tax effort in developing c</w:t>
      </w:r>
      <w:r w:rsidR="009871E2" w:rsidRPr="00A31903">
        <w:rPr>
          <w:rFonts w:ascii="Times New Roman" w:hAnsi="Times New Roman" w:cs="Times New Roman"/>
        </w:rPr>
        <w:t>ountries.</w:t>
      </w:r>
      <w:proofErr w:type="gramEnd"/>
      <w:r w:rsidR="00480806" w:rsidRPr="00A31903">
        <w:rPr>
          <w:rFonts w:ascii="Times New Roman" w:hAnsi="Times New Roman" w:cs="Times New Roman"/>
        </w:rPr>
        <w:t xml:space="preserve"> </w:t>
      </w:r>
      <w:r w:rsidR="00480806" w:rsidRPr="00A31903">
        <w:rPr>
          <w:rFonts w:ascii="Times New Roman" w:hAnsi="Times New Roman" w:cs="Times New Roman"/>
          <w:i/>
        </w:rPr>
        <w:t>IM</w:t>
      </w:r>
      <w:r w:rsidR="008E1FA7" w:rsidRPr="00A31903">
        <w:rPr>
          <w:rFonts w:ascii="Times New Roman" w:hAnsi="Times New Roman" w:cs="Times New Roman"/>
          <w:i/>
        </w:rPr>
        <w:t>F Staff</w:t>
      </w:r>
      <w:r w:rsidR="008E1FA7" w:rsidRPr="00A31903">
        <w:rPr>
          <w:rFonts w:ascii="Times New Roman" w:hAnsi="Times New Roman" w:cs="Times New Roman"/>
          <w:i/>
        </w:rPr>
        <w:tab/>
      </w:r>
    </w:p>
    <w:p w:rsidR="00F772C3" w:rsidRPr="00A31903" w:rsidRDefault="008E1FA7"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i/>
        </w:rPr>
        <w:tab/>
        <w:t xml:space="preserve"> P</w:t>
      </w:r>
      <w:r w:rsidR="00F772C3" w:rsidRPr="00A31903">
        <w:rPr>
          <w:rFonts w:ascii="Times New Roman" w:hAnsi="Times New Roman" w:cs="Times New Roman"/>
          <w:i/>
        </w:rPr>
        <w:t>apers</w:t>
      </w:r>
      <w:r w:rsidR="00F772C3" w:rsidRPr="00A31903">
        <w:rPr>
          <w:rFonts w:ascii="Times New Roman" w:hAnsi="Times New Roman" w:cs="Times New Roman"/>
        </w:rPr>
        <w:t xml:space="preserve">, </w:t>
      </w:r>
      <w:r w:rsidR="00F772C3" w:rsidRPr="00A31903">
        <w:rPr>
          <w:rFonts w:ascii="Times New Roman" w:hAnsi="Times New Roman" w:cs="Times New Roman"/>
          <w:i/>
        </w:rPr>
        <w:t>14</w:t>
      </w:r>
      <w:r w:rsidR="00F772C3" w:rsidRPr="00A31903">
        <w:rPr>
          <w:rFonts w:ascii="Times New Roman" w:hAnsi="Times New Roman" w:cs="Times New Roman"/>
        </w:rPr>
        <w:t>, 478-499.</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Malik, A. (2010)</w:t>
      </w:r>
      <w:r w:rsidR="009871E2" w:rsidRPr="00A31903">
        <w:rPr>
          <w:rFonts w:ascii="Times New Roman" w:hAnsi="Times New Roman" w:cs="Times New Roman"/>
        </w:rPr>
        <w:t>.</w:t>
      </w:r>
      <w:r w:rsidRPr="00A31903">
        <w:rPr>
          <w:rFonts w:ascii="Times New Roman" w:hAnsi="Times New Roman" w:cs="Times New Roman"/>
        </w:rPr>
        <w:t xml:space="preserve"> </w:t>
      </w:r>
      <w:proofErr w:type="gramStart"/>
      <w:r w:rsidRPr="00A31903">
        <w:rPr>
          <w:rFonts w:ascii="Times New Roman" w:hAnsi="Times New Roman" w:cs="Times New Roman"/>
          <w:i/>
        </w:rPr>
        <w:t>Political Survival in Pakistan</w:t>
      </w:r>
      <w:r w:rsidRPr="00A31903">
        <w:rPr>
          <w:rFonts w:ascii="Times New Roman" w:hAnsi="Times New Roman" w:cs="Times New Roman"/>
        </w:rPr>
        <w:t>, Taylor &amp; Francis Publishers.</w:t>
      </w:r>
      <w:proofErr w:type="gramEnd"/>
    </w:p>
    <w:p w:rsidR="00F772C3" w:rsidRPr="00A31903" w:rsidRDefault="00BD3576" w:rsidP="00821AB4">
      <w:pPr>
        <w:autoSpaceDE w:val="0"/>
        <w:autoSpaceDN w:val="0"/>
        <w:adjustRightInd w:val="0"/>
        <w:spacing w:after="0" w:line="240" w:lineRule="auto"/>
        <w:jc w:val="both"/>
        <w:rPr>
          <w:rFonts w:ascii="Times New Roman" w:hAnsi="Times New Roman" w:cs="Times New Roman"/>
          <w:i/>
        </w:rPr>
      </w:pPr>
      <w:proofErr w:type="spellStart"/>
      <w:proofErr w:type="gramStart"/>
      <w:r w:rsidRPr="00A31903">
        <w:rPr>
          <w:rFonts w:ascii="Times New Roman" w:hAnsi="Times New Roman" w:cs="Times New Roman"/>
        </w:rPr>
        <w:lastRenderedPageBreak/>
        <w:t>Marar</w:t>
      </w:r>
      <w:proofErr w:type="spellEnd"/>
      <w:r w:rsidRPr="00A31903">
        <w:rPr>
          <w:rFonts w:ascii="Times New Roman" w:hAnsi="Times New Roman" w:cs="Times New Roman"/>
        </w:rPr>
        <w:t>, F.</w:t>
      </w:r>
      <w:r w:rsidR="00843E1E" w:rsidRPr="00A31903">
        <w:rPr>
          <w:rFonts w:ascii="Times New Roman" w:hAnsi="Times New Roman" w:cs="Times New Roman"/>
        </w:rPr>
        <w:t xml:space="preserve">, </w:t>
      </w:r>
      <w:r w:rsidR="00F772C3" w:rsidRPr="00A31903">
        <w:rPr>
          <w:rFonts w:ascii="Times New Roman" w:hAnsi="Times New Roman" w:cs="Times New Roman"/>
        </w:rPr>
        <w:t>El-</w:t>
      </w:r>
      <w:proofErr w:type="spellStart"/>
      <w:r w:rsidR="00F772C3" w:rsidRPr="00A31903">
        <w:rPr>
          <w:rFonts w:ascii="Times New Roman" w:hAnsi="Times New Roman" w:cs="Times New Roman"/>
        </w:rPr>
        <w:t>hindi</w:t>
      </w:r>
      <w:proofErr w:type="spellEnd"/>
      <w:r w:rsidR="00F772C3" w:rsidRPr="00A31903">
        <w:rPr>
          <w:rFonts w:ascii="Times New Roman" w:hAnsi="Times New Roman" w:cs="Times New Roman"/>
        </w:rPr>
        <w:t>, A, (1980)</w:t>
      </w:r>
      <w:r w:rsidR="009871E2" w:rsidRPr="00A31903">
        <w:rPr>
          <w:rFonts w:ascii="Times New Roman" w:hAnsi="Times New Roman" w:cs="Times New Roman"/>
        </w:rPr>
        <w:t>.</w:t>
      </w:r>
      <w:proofErr w:type="gramEnd"/>
      <w:r w:rsidR="00F772C3" w:rsidRPr="00A31903">
        <w:rPr>
          <w:rFonts w:ascii="Times New Roman" w:hAnsi="Times New Roman" w:cs="Times New Roman"/>
        </w:rPr>
        <w:t xml:space="preserve"> </w:t>
      </w:r>
      <w:proofErr w:type="gramStart"/>
      <w:r w:rsidR="00F772C3" w:rsidRPr="00A31903">
        <w:rPr>
          <w:rFonts w:ascii="Times New Roman" w:hAnsi="Times New Roman" w:cs="Times New Roman"/>
          <w:i/>
        </w:rPr>
        <w:t>Principles of the Public Financial Management and its</w:t>
      </w:r>
      <w:r w:rsidR="00F772C3" w:rsidRPr="00A31903">
        <w:rPr>
          <w:rFonts w:ascii="Times New Roman" w:hAnsi="Times New Roman" w:cs="Times New Roman"/>
          <w:i/>
        </w:rPr>
        <w:tab/>
        <w:t>Economics – Part One</w:t>
      </w:r>
      <w:r w:rsidR="009871E2" w:rsidRPr="00A31903">
        <w:rPr>
          <w:rFonts w:ascii="Times New Roman" w:hAnsi="Times New Roman" w:cs="Times New Roman"/>
        </w:rPr>
        <w:t>.</w:t>
      </w:r>
      <w:proofErr w:type="gramEnd"/>
      <w:r w:rsidR="00F772C3" w:rsidRPr="00A31903">
        <w:rPr>
          <w:rFonts w:ascii="Times New Roman" w:hAnsi="Times New Roman" w:cs="Times New Roman"/>
        </w:rPr>
        <w:t xml:space="preserve"> </w:t>
      </w:r>
      <w:r w:rsidR="003565CB" w:rsidRPr="00A31903">
        <w:rPr>
          <w:rFonts w:ascii="Times New Roman" w:hAnsi="Times New Roman" w:cs="Times New Roman"/>
        </w:rPr>
        <w:t>(</w:t>
      </w:r>
      <w:proofErr w:type="gramStart"/>
      <w:r w:rsidR="00F772C3" w:rsidRPr="00A31903">
        <w:rPr>
          <w:rFonts w:ascii="Times New Roman" w:hAnsi="Times New Roman" w:cs="Times New Roman"/>
        </w:rPr>
        <w:t>1</w:t>
      </w:r>
      <w:r w:rsidR="00F772C3" w:rsidRPr="00A31903">
        <w:rPr>
          <w:rFonts w:ascii="Times New Roman" w:hAnsi="Times New Roman" w:cs="Times New Roman"/>
          <w:vertAlign w:val="superscript"/>
        </w:rPr>
        <w:t>st</w:t>
      </w:r>
      <w:proofErr w:type="gramEnd"/>
      <w:r w:rsidR="00F772C3" w:rsidRPr="00A31903">
        <w:rPr>
          <w:rFonts w:ascii="Times New Roman" w:hAnsi="Times New Roman" w:cs="Times New Roman"/>
        </w:rPr>
        <w:t xml:space="preserve"> </w:t>
      </w:r>
      <w:r w:rsidR="008E1FA7" w:rsidRPr="00A31903">
        <w:rPr>
          <w:rFonts w:ascii="Times New Roman" w:hAnsi="Times New Roman" w:cs="Times New Roman"/>
        </w:rPr>
        <w:t>E</w:t>
      </w:r>
      <w:r w:rsidR="00F772C3" w:rsidRPr="00A31903">
        <w:rPr>
          <w:rFonts w:ascii="Times New Roman" w:hAnsi="Times New Roman" w:cs="Times New Roman"/>
        </w:rPr>
        <w:t>d</w:t>
      </w:r>
      <w:r w:rsidR="008E1FA7" w:rsidRPr="00A31903">
        <w:rPr>
          <w:rFonts w:ascii="Times New Roman" w:hAnsi="Times New Roman" w:cs="Times New Roman"/>
        </w:rPr>
        <w:t>.</w:t>
      </w:r>
      <w:r w:rsidR="003565CB" w:rsidRPr="00A31903">
        <w:rPr>
          <w:rFonts w:ascii="Times New Roman" w:hAnsi="Times New Roman" w:cs="Times New Roman"/>
        </w:rPr>
        <w:t>)</w:t>
      </w:r>
      <w:r w:rsidR="00F772C3" w:rsidRPr="00A31903">
        <w:rPr>
          <w:rFonts w:ascii="Times New Roman" w:hAnsi="Times New Roman" w:cs="Times New Roman"/>
        </w:rPr>
        <w:t>, Jordanian Printing Press, Jordan.</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Martin, </w:t>
      </w:r>
      <w:r w:rsidR="00843E1E" w:rsidRPr="00A31903">
        <w:rPr>
          <w:rFonts w:ascii="Times New Roman" w:hAnsi="Times New Roman" w:cs="Times New Roman"/>
        </w:rPr>
        <w:t>A.,</w:t>
      </w:r>
      <w:r w:rsidR="009871E2" w:rsidRPr="00A31903">
        <w:rPr>
          <w:rFonts w:ascii="Times New Roman" w:hAnsi="Times New Roman" w:cs="Times New Roman"/>
        </w:rPr>
        <w:t xml:space="preserve"> Lewis, W. A. (1956).</w:t>
      </w:r>
      <w:r w:rsidRPr="00A31903">
        <w:rPr>
          <w:rFonts w:ascii="Times New Roman" w:hAnsi="Times New Roman" w:cs="Times New Roman"/>
        </w:rPr>
        <w:t xml:space="preserve"> </w:t>
      </w:r>
      <w:proofErr w:type="gramStart"/>
      <w:r w:rsidRPr="00A31903">
        <w:rPr>
          <w:rFonts w:ascii="Times New Roman" w:hAnsi="Times New Roman" w:cs="Times New Roman"/>
        </w:rPr>
        <w:t>Patterns of public revenue and e</w:t>
      </w:r>
      <w:r w:rsidR="009871E2" w:rsidRPr="00A31903">
        <w:rPr>
          <w:rFonts w:ascii="Times New Roman" w:hAnsi="Times New Roman" w:cs="Times New Roman"/>
        </w:rPr>
        <w:t>xpenditure.</w:t>
      </w:r>
      <w:proofErr w:type="gramEnd"/>
      <w:r w:rsidRPr="00A31903">
        <w:rPr>
          <w:rFonts w:ascii="Times New Roman" w:hAnsi="Times New Roman" w:cs="Times New Roman"/>
        </w:rPr>
        <w:t xml:space="preserve"> </w:t>
      </w:r>
      <w:r w:rsidRPr="00A31903">
        <w:rPr>
          <w:rFonts w:ascii="Times New Roman" w:hAnsi="Times New Roman" w:cs="Times New Roman"/>
          <w:i/>
        </w:rPr>
        <w:t xml:space="preserve">The </w:t>
      </w:r>
      <w:r w:rsidRPr="00A31903">
        <w:rPr>
          <w:rFonts w:ascii="Times New Roman" w:hAnsi="Times New Roman" w:cs="Times New Roman"/>
          <w:i/>
        </w:rPr>
        <w:tab/>
        <w:t>Manchester School of Economic and Social Studies</w:t>
      </w:r>
      <w:r w:rsidRPr="00A31903">
        <w:rPr>
          <w:rFonts w:ascii="Times New Roman" w:hAnsi="Times New Roman" w:cs="Times New Roman"/>
        </w:rPr>
        <w:t>, XXIV</w:t>
      </w:r>
      <w:proofErr w:type="gramStart"/>
      <w:r w:rsidRPr="00A31903">
        <w:rPr>
          <w:rFonts w:ascii="Times New Roman" w:hAnsi="Times New Roman" w:cs="Times New Roman"/>
        </w:rPr>
        <w:t xml:space="preserve">,  </w:t>
      </w:r>
      <w:r w:rsidR="009871E2" w:rsidRPr="00A31903">
        <w:rPr>
          <w:rFonts w:ascii="Times New Roman" w:hAnsi="Times New Roman" w:cs="Times New Roman"/>
        </w:rPr>
        <w:t>203</w:t>
      </w:r>
      <w:proofErr w:type="gramEnd"/>
      <w:r w:rsidR="009871E2" w:rsidRPr="00A31903">
        <w:rPr>
          <w:rFonts w:ascii="Times New Roman" w:hAnsi="Times New Roman" w:cs="Times New Roman"/>
        </w:rPr>
        <w:t>-2</w:t>
      </w:r>
      <w:r w:rsidRPr="00A31903">
        <w:rPr>
          <w:rFonts w:ascii="Times New Roman" w:hAnsi="Times New Roman" w:cs="Times New Roman"/>
        </w:rPr>
        <w:t>44.</w:t>
      </w:r>
    </w:p>
    <w:p w:rsidR="003565CB" w:rsidRPr="00A31903" w:rsidRDefault="003565CB"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Mawejje</w:t>
      </w:r>
      <w:proofErr w:type="spellEnd"/>
      <w:r w:rsidRPr="00A31903">
        <w:rPr>
          <w:rFonts w:ascii="Times New Roman" w:hAnsi="Times New Roman" w:cs="Times New Roman"/>
        </w:rPr>
        <w:t>, J. (2013)</w:t>
      </w:r>
      <w:r w:rsidR="009871E2" w:rsidRPr="00A31903">
        <w:rPr>
          <w:rFonts w:ascii="Times New Roman" w:hAnsi="Times New Roman" w:cs="Times New Roman"/>
        </w:rPr>
        <w:t>.</w:t>
      </w:r>
      <w:r w:rsidRPr="00A31903">
        <w:rPr>
          <w:rFonts w:ascii="Times New Roman" w:hAnsi="Times New Roman" w:cs="Times New Roman"/>
        </w:rPr>
        <w:t xml:space="preserve"> </w:t>
      </w:r>
      <w:proofErr w:type="gramStart"/>
      <w:r w:rsidRPr="00A31903">
        <w:rPr>
          <w:rFonts w:ascii="Times New Roman" w:hAnsi="Times New Roman" w:cs="Times New Roman"/>
        </w:rPr>
        <w:t>Tax evasion, i</w:t>
      </w:r>
      <w:r w:rsidR="001A5A48" w:rsidRPr="00A31903">
        <w:rPr>
          <w:rFonts w:ascii="Times New Roman" w:hAnsi="Times New Roman" w:cs="Times New Roman"/>
        </w:rPr>
        <w:t xml:space="preserve">nformality and the </w:t>
      </w:r>
      <w:r w:rsidRPr="00A31903">
        <w:rPr>
          <w:rFonts w:ascii="Times New Roman" w:hAnsi="Times New Roman" w:cs="Times New Roman"/>
        </w:rPr>
        <w:t>business e</w:t>
      </w:r>
      <w:r w:rsidR="009871E2" w:rsidRPr="00A31903">
        <w:rPr>
          <w:rFonts w:ascii="Times New Roman" w:hAnsi="Times New Roman" w:cs="Times New Roman"/>
        </w:rPr>
        <w:t>nvironment in Uganda.</w:t>
      </w:r>
      <w:proofErr w:type="gramEnd"/>
    </w:p>
    <w:p w:rsidR="001A5A48" w:rsidRPr="00A31903" w:rsidRDefault="003565CB"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r w:rsidR="001A5A48" w:rsidRPr="00A31903">
        <w:rPr>
          <w:rFonts w:ascii="Times New Roman" w:hAnsi="Times New Roman" w:cs="Times New Roman"/>
        </w:rPr>
        <w:t xml:space="preserve"> </w:t>
      </w:r>
      <w:r w:rsidR="001A5A48" w:rsidRPr="00A31903">
        <w:rPr>
          <w:rFonts w:ascii="Times New Roman" w:hAnsi="Times New Roman" w:cs="Times New Roman"/>
          <w:i/>
        </w:rPr>
        <w:t xml:space="preserve">    </w:t>
      </w:r>
      <w:proofErr w:type="gramStart"/>
      <w:r w:rsidR="001A5A48" w:rsidRPr="00A31903">
        <w:rPr>
          <w:rFonts w:ascii="Times New Roman" w:hAnsi="Times New Roman" w:cs="Times New Roman"/>
          <w:i/>
        </w:rPr>
        <w:t>Economic Policy Research Centre</w:t>
      </w:r>
      <w:r w:rsidR="001A5A48" w:rsidRPr="00A31903">
        <w:rPr>
          <w:rFonts w:ascii="Times New Roman" w:hAnsi="Times New Roman" w:cs="Times New Roman"/>
        </w:rPr>
        <w:t>, Research Series No. 113</w:t>
      </w:r>
      <w:r w:rsidR="009871E2" w:rsidRPr="00A31903">
        <w:rPr>
          <w:rFonts w:ascii="Times New Roman" w:hAnsi="Times New Roman" w:cs="Times New Roman"/>
        </w:rPr>
        <w:t>.</w:t>
      </w:r>
      <w:proofErr w:type="gramEnd"/>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Mertens</w:t>
      </w:r>
      <w:proofErr w:type="spellEnd"/>
      <w:r w:rsidRPr="00A31903">
        <w:rPr>
          <w:rFonts w:ascii="Times New Roman" w:hAnsi="Times New Roman" w:cs="Times New Roman"/>
        </w:rPr>
        <w:t>, J. B. (2003</w:t>
      </w:r>
      <w:r w:rsidR="009871E2" w:rsidRPr="00A31903">
        <w:rPr>
          <w:rFonts w:ascii="Times New Roman" w:hAnsi="Times New Roman" w:cs="Times New Roman"/>
        </w:rPr>
        <w:t xml:space="preserve">). </w:t>
      </w:r>
      <w:r w:rsidRPr="00A31903">
        <w:rPr>
          <w:rFonts w:ascii="Times New Roman" w:hAnsi="Times New Roman" w:cs="Times New Roman"/>
        </w:rPr>
        <w:t xml:space="preserve">Measuring tax effort in central and </w:t>
      </w:r>
      <w:proofErr w:type="gramStart"/>
      <w:r w:rsidRPr="00A31903">
        <w:rPr>
          <w:rFonts w:ascii="Times New Roman" w:hAnsi="Times New Roman" w:cs="Times New Roman"/>
        </w:rPr>
        <w:t>eastern</w:t>
      </w:r>
      <w:proofErr w:type="gramEnd"/>
      <w:r w:rsidRPr="00A31903">
        <w:rPr>
          <w:rFonts w:ascii="Times New Roman" w:hAnsi="Times New Roman" w:cs="Times New Roman"/>
        </w:rPr>
        <w:t xml:space="preserve"> E</w:t>
      </w:r>
      <w:r w:rsidR="009871E2" w:rsidRPr="00A31903">
        <w:rPr>
          <w:rFonts w:ascii="Times New Roman" w:hAnsi="Times New Roman" w:cs="Times New Roman"/>
        </w:rPr>
        <w:t xml:space="preserve">urope. </w:t>
      </w:r>
      <w:r w:rsidRPr="00A31903">
        <w:rPr>
          <w:rFonts w:ascii="Times New Roman" w:hAnsi="Times New Roman" w:cs="Times New Roman"/>
        </w:rPr>
        <w:t xml:space="preserve">Department of </w:t>
      </w:r>
      <w:r w:rsidRPr="00A31903">
        <w:rPr>
          <w:rFonts w:ascii="Times New Roman" w:hAnsi="Times New Roman" w:cs="Times New Roman"/>
        </w:rPr>
        <w:tab/>
        <w:t xml:space="preserve">Economics, Hobart and William Smith Colleges, </w:t>
      </w:r>
      <w:r w:rsidRPr="00A31903">
        <w:rPr>
          <w:rFonts w:ascii="Times New Roman" w:hAnsi="Times New Roman" w:cs="Times New Roman"/>
          <w:i/>
        </w:rPr>
        <w:t>Public Finance and Management</w:t>
      </w:r>
      <w:r w:rsidRPr="00A31903">
        <w:rPr>
          <w:rFonts w:ascii="Times New Roman" w:hAnsi="Times New Roman" w:cs="Times New Roman"/>
        </w:rPr>
        <w:t xml:space="preserve">, </w:t>
      </w:r>
      <w:r w:rsidRPr="00A31903">
        <w:rPr>
          <w:rFonts w:ascii="Times New Roman" w:hAnsi="Times New Roman" w:cs="Times New Roman"/>
        </w:rPr>
        <w:tab/>
      </w:r>
      <w:r w:rsidRPr="00A31903">
        <w:rPr>
          <w:rFonts w:ascii="Times New Roman" w:hAnsi="Times New Roman" w:cs="Times New Roman"/>
          <w:i/>
        </w:rPr>
        <w:t>3</w:t>
      </w:r>
      <w:r w:rsidR="009871E2" w:rsidRPr="00A31903">
        <w:rPr>
          <w:rFonts w:ascii="Times New Roman" w:hAnsi="Times New Roman" w:cs="Times New Roman"/>
        </w:rPr>
        <w:t xml:space="preserve"> (4)</w:t>
      </w:r>
      <w:r w:rsidR="00555CB0" w:rsidRPr="00A31903">
        <w:rPr>
          <w:rFonts w:ascii="Times New Roman" w:hAnsi="Times New Roman" w:cs="Times New Roman"/>
        </w:rPr>
        <w:t>, 23-51</w:t>
      </w:r>
      <w:r w:rsidRPr="00A31903">
        <w:rPr>
          <w:rFonts w:ascii="Times New Roman" w:hAnsi="Times New Roman" w:cs="Times New Roman"/>
        </w:rPr>
        <w:t>.</w:t>
      </w:r>
    </w:p>
    <w:p w:rsidR="00F772C3" w:rsidRPr="00A31903" w:rsidRDefault="009871E2"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Mirrlees</w:t>
      </w:r>
      <w:proofErr w:type="spellEnd"/>
      <w:r w:rsidRPr="00A31903">
        <w:rPr>
          <w:rFonts w:ascii="Times New Roman" w:hAnsi="Times New Roman" w:cs="Times New Roman"/>
        </w:rPr>
        <w:t>, J. (2010).</w:t>
      </w:r>
      <w:r w:rsidR="00F772C3" w:rsidRPr="00A31903">
        <w:rPr>
          <w:rFonts w:ascii="Times New Roman" w:hAnsi="Times New Roman" w:cs="Times New Roman"/>
        </w:rPr>
        <w:t xml:space="preserve"> </w:t>
      </w:r>
      <w:proofErr w:type="gramStart"/>
      <w:r w:rsidR="00F772C3" w:rsidRPr="00A31903">
        <w:rPr>
          <w:rFonts w:ascii="Times New Roman" w:hAnsi="Times New Roman" w:cs="Times New Roman"/>
          <w:i/>
        </w:rPr>
        <w:t>Dimensions of Tax Design</w:t>
      </w:r>
      <w:r w:rsidRPr="00A31903">
        <w:rPr>
          <w:rFonts w:ascii="Times New Roman" w:hAnsi="Times New Roman" w:cs="Times New Roman"/>
        </w:rPr>
        <w:t>.</w:t>
      </w:r>
      <w:proofErr w:type="gramEnd"/>
      <w:r w:rsidR="00F772C3" w:rsidRPr="00A31903">
        <w:rPr>
          <w:rFonts w:ascii="Times New Roman" w:hAnsi="Times New Roman" w:cs="Times New Roman"/>
        </w:rPr>
        <w:t xml:space="preserve"> Institute for Fiscal Studies, Oxford University </w:t>
      </w:r>
      <w:r w:rsidR="00F772C3" w:rsidRPr="00A31903">
        <w:rPr>
          <w:rFonts w:ascii="Times New Roman" w:hAnsi="Times New Roman" w:cs="Times New Roman"/>
        </w:rPr>
        <w:tab/>
        <w:t>Press.</w:t>
      </w:r>
    </w:p>
    <w:p w:rsidR="00F772C3" w:rsidRPr="00A31903" w:rsidRDefault="00843E1E"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Musgrave, R., </w:t>
      </w:r>
      <w:r w:rsidR="00F772C3" w:rsidRPr="00A31903">
        <w:rPr>
          <w:rFonts w:ascii="Times New Roman" w:hAnsi="Times New Roman" w:cs="Times New Roman"/>
        </w:rPr>
        <w:t>Musgrave P. (1989)</w:t>
      </w:r>
      <w:r w:rsidR="009871E2" w:rsidRPr="00A31903">
        <w:rPr>
          <w:rFonts w:ascii="Times New Roman" w:hAnsi="Times New Roman" w:cs="Times New Roman"/>
        </w:rPr>
        <w:t>.</w:t>
      </w:r>
      <w:r w:rsidR="00F772C3" w:rsidRPr="00A31903">
        <w:rPr>
          <w:rFonts w:ascii="Times New Roman" w:hAnsi="Times New Roman" w:cs="Times New Roman"/>
        </w:rPr>
        <w:t xml:space="preserve"> </w:t>
      </w:r>
      <w:r w:rsidR="00F772C3" w:rsidRPr="00A31903">
        <w:rPr>
          <w:rFonts w:ascii="Times New Roman" w:hAnsi="Times New Roman" w:cs="Times New Roman"/>
          <w:i/>
        </w:rPr>
        <w:t>Public Finance in Theory and Practice</w:t>
      </w:r>
      <w:r w:rsidR="008E1FA7" w:rsidRPr="00A31903">
        <w:rPr>
          <w:rFonts w:ascii="Times New Roman" w:hAnsi="Times New Roman" w:cs="Times New Roman"/>
          <w:i/>
        </w:rPr>
        <w:t xml:space="preserve"> </w:t>
      </w:r>
      <w:r w:rsidR="008E1FA7" w:rsidRPr="00A31903">
        <w:rPr>
          <w:rFonts w:ascii="Times New Roman" w:hAnsi="Times New Roman" w:cs="Times New Roman"/>
        </w:rPr>
        <w:t>(</w:t>
      </w:r>
      <w:proofErr w:type="gramStart"/>
      <w:r w:rsidR="008E1FA7" w:rsidRPr="00A31903">
        <w:rPr>
          <w:rFonts w:ascii="Times New Roman" w:hAnsi="Times New Roman" w:cs="Times New Roman"/>
        </w:rPr>
        <w:t>5</w:t>
      </w:r>
      <w:r w:rsidR="008E1FA7" w:rsidRPr="00A31903">
        <w:rPr>
          <w:rFonts w:ascii="Times New Roman" w:hAnsi="Times New Roman" w:cs="Times New Roman"/>
          <w:vertAlign w:val="superscript"/>
        </w:rPr>
        <w:t>th</w:t>
      </w:r>
      <w:proofErr w:type="gramEnd"/>
      <w:r w:rsidR="008E1FA7" w:rsidRPr="00A31903">
        <w:rPr>
          <w:rFonts w:ascii="Times New Roman" w:hAnsi="Times New Roman" w:cs="Times New Roman"/>
        </w:rPr>
        <w:t xml:space="preserve"> Ed.)</w:t>
      </w:r>
      <w:r w:rsidR="009871E2" w:rsidRPr="00A31903">
        <w:rPr>
          <w:rFonts w:ascii="Times New Roman" w:hAnsi="Times New Roman" w:cs="Times New Roman"/>
        </w:rPr>
        <w:t>.</w:t>
      </w:r>
      <w:r w:rsidR="00F772C3" w:rsidRPr="00A31903">
        <w:rPr>
          <w:rFonts w:ascii="Times New Roman" w:hAnsi="Times New Roman" w:cs="Times New Roman"/>
        </w:rPr>
        <w:t xml:space="preserve">  </w:t>
      </w:r>
      <w:r w:rsidR="00F772C3" w:rsidRPr="00A31903">
        <w:rPr>
          <w:rFonts w:ascii="Times New Roman" w:hAnsi="Times New Roman" w:cs="Times New Roman"/>
        </w:rPr>
        <w:tab/>
        <w:t>McGraw-Hill, U. S. A.</w:t>
      </w:r>
      <w:r w:rsidR="00F772C3" w:rsidRPr="00A31903">
        <w:rPr>
          <w:rFonts w:ascii="Times New Roman" w:hAnsi="Times New Roman" w:cs="Times New Roman"/>
        </w:rPr>
        <w:tab/>
      </w:r>
    </w:p>
    <w:p w:rsidR="00F772C3" w:rsidRPr="00A31903" w:rsidRDefault="00F772C3" w:rsidP="001D671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Musgrave, R.</w:t>
      </w:r>
      <w:r w:rsidR="009871E2" w:rsidRPr="00A31903">
        <w:rPr>
          <w:rFonts w:ascii="Times New Roman" w:hAnsi="Times New Roman" w:cs="Times New Roman"/>
        </w:rPr>
        <w:t xml:space="preserve"> A. (1959).</w:t>
      </w:r>
      <w:r w:rsidR="001D6714" w:rsidRPr="00A31903">
        <w:rPr>
          <w:rFonts w:ascii="Times New Roman" w:hAnsi="Times New Roman" w:cs="Times New Roman"/>
        </w:rPr>
        <w:t xml:space="preserve"> </w:t>
      </w:r>
      <w:proofErr w:type="gramStart"/>
      <w:r w:rsidR="001D6714" w:rsidRPr="00A31903">
        <w:rPr>
          <w:rFonts w:ascii="Times New Roman" w:hAnsi="Times New Roman" w:cs="Times New Roman"/>
          <w:i/>
        </w:rPr>
        <w:t xml:space="preserve">The </w:t>
      </w:r>
      <w:r w:rsidRPr="00A31903">
        <w:rPr>
          <w:rFonts w:ascii="Times New Roman" w:hAnsi="Times New Roman" w:cs="Times New Roman"/>
          <w:i/>
        </w:rPr>
        <w:t>Theory of Public Fin</w:t>
      </w:r>
      <w:r w:rsidR="009871E2" w:rsidRPr="00A31903">
        <w:rPr>
          <w:rFonts w:ascii="Times New Roman" w:hAnsi="Times New Roman" w:cs="Times New Roman"/>
          <w:i/>
        </w:rPr>
        <w:t>ance: A Study in Public Economy.</w:t>
      </w:r>
      <w:proofErr w:type="gramEnd"/>
      <w:r w:rsidRPr="00A31903">
        <w:rPr>
          <w:rFonts w:ascii="Times New Roman" w:hAnsi="Times New Roman" w:cs="Times New Roman"/>
          <w:i/>
        </w:rPr>
        <w:t xml:space="preserve"> </w:t>
      </w:r>
      <w:r w:rsidRPr="00A31903">
        <w:rPr>
          <w:rFonts w:ascii="Times New Roman" w:hAnsi="Times New Roman" w:cs="Times New Roman"/>
          <w:i/>
        </w:rPr>
        <w:tab/>
      </w:r>
      <w:r w:rsidRPr="00A31903">
        <w:rPr>
          <w:rFonts w:ascii="Times New Roman" w:hAnsi="Times New Roman" w:cs="Times New Roman"/>
        </w:rPr>
        <w:t>International Student Edition, McGraw-Hill Boo</w:t>
      </w:r>
      <w:r w:rsidR="001D6714" w:rsidRPr="00A31903">
        <w:rPr>
          <w:rFonts w:ascii="Times New Roman" w:hAnsi="Times New Roman" w:cs="Times New Roman"/>
        </w:rPr>
        <w:t>k Company, Inc. New York</w:t>
      </w:r>
      <w:r w:rsidR="00CD3CFE" w:rsidRPr="00A31903">
        <w:rPr>
          <w:rFonts w:ascii="Times New Roman" w:hAnsi="Times New Roman" w:cs="Times New Roman"/>
        </w:rPr>
        <w:t>.</w:t>
      </w:r>
    </w:p>
    <w:p w:rsidR="00F772C3" w:rsidRPr="00A31903" w:rsidRDefault="00F772C3" w:rsidP="00821AB4">
      <w:pPr>
        <w:autoSpaceDE w:val="0"/>
        <w:autoSpaceDN w:val="0"/>
        <w:adjustRightInd w:val="0"/>
        <w:spacing w:after="0"/>
        <w:jc w:val="both"/>
        <w:rPr>
          <w:rFonts w:ascii="Times New Roman" w:hAnsi="Times New Roman" w:cs="Times New Roman"/>
        </w:rPr>
      </w:pPr>
      <w:r w:rsidRPr="00A31903">
        <w:rPr>
          <w:rFonts w:ascii="Times New Roman" w:hAnsi="Times New Roman" w:cs="Times New Roman"/>
        </w:rPr>
        <w:t>Narayan, P.K. (</w:t>
      </w:r>
      <w:r w:rsidR="009871E2" w:rsidRPr="00A31903">
        <w:rPr>
          <w:rFonts w:ascii="Times New Roman" w:hAnsi="Times New Roman" w:cs="Times New Roman"/>
        </w:rPr>
        <w:t>2004).</w:t>
      </w:r>
      <w:r w:rsidRPr="00A31903">
        <w:rPr>
          <w:rFonts w:ascii="Times New Roman" w:hAnsi="Times New Roman" w:cs="Times New Roman"/>
        </w:rPr>
        <w:t xml:space="preserve"> Reformulating cr</w:t>
      </w:r>
      <w:r w:rsidR="008E1FA7" w:rsidRPr="00A31903">
        <w:rPr>
          <w:rFonts w:ascii="Times New Roman" w:hAnsi="Times New Roman" w:cs="Times New Roman"/>
        </w:rPr>
        <w:t>itical values for the bounds F-s</w:t>
      </w:r>
      <w:r w:rsidRPr="00A31903">
        <w:rPr>
          <w:rFonts w:ascii="Times New Roman" w:hAnsi="Times New Roman" w:cs="Times New Roman"/>
        </w:rPr>
        <w:t xml:space="preserve">tatistics approach to </w:t>
      </w:r>
    </w:p>
    <w:p w:rsidR="00F772C3" w:rsidRPr="00A31903" w:rsidRDefault="00F772C3" w:rsidP="00821AB4">
      <w:pPr>
        <w:autoSpaceDE w:val="0"/>
        <w:autoSpaceDN w:val="0"/>
        <w:adjustRightInd w:val="0"/>
        <w:spacing w:after="0"/>
        <w:jc w:val="both"/>
        <w:rPr>
          <w:rFonts w:ascii="Times New Roman" w:hAnsi="Times New Roman" w:cs="Times New Roman"/>
          <w:i/>
        </w:rPr>
      </w:pPr>
      <w:r w:rsidRPr="00A31903">
        <w:rPr>
          <w:rFonts w:ascii="Times New Roman" w:hAnsi="Times New Roman" w:cs="Times New Roman"/>
        </w:rPr>
        <w:t xml:space="preserve">             </w:t>
      </w:r>
      <w:proofErr w:type="spellStart"/>
      <w:proofErr w:type="gramStart"/>
      <w:r w:rsidRPr="00A31903">
        <w:rPr>
          <w:rFonts w:ascii="Times New Roman" w:hAnsi="Times New Roman" w:cs="Times New Roman"/>
        </w:rPr>
        <w:t>cointegration</w:t>
      </w:r>
      <w:proofErr w:type="spellEnd"/>
      <w:proofErr w:type="gramEnd"/>
      <w:r w:rsidRPr="00A31903">
        <w:rPr>
          <w:rFonts w:ascii="Times New Roman" w:hAnsi="Times New Roman" w:cs="Times New Roman"/>
        </w:rPr>
        <w:t>: An application to the tourism demand model for Fiji</w:t>
      </w:r>
      <w:r w:rsidR="009871E2" w:rsidRPr="00A31903">
        <w:rPr>
          <w:rFonts w:ascii="Times New Roman" w:hAnsi="Times New Roman" w:cs="Times New Roman"/>
        </w:rPr>
        <w:t>.</w:t>
      </w:r>
      <w:r w:rsidRPr="00A31903">
        <w:rPr>
          <w:rFonts w:ascii="Times New Roman" w:hAnsi="Times New Roman" w:cs="Times New Roman"/>
        </w:rPr>
        <w:t xml:space="preserve"> </w:t>
      </w:r>
      <w:r w:rsidRPr="00A31903">
        <w:rPr>
          <w:rFonts w:ascii="Times New Roman" w:hAnsi="Times New Roman" w:cs="Times New Roman"/>
          <w:i/>
        </w:rPr>
        <w:t xml:space="preserve">Department of </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i/>
        </w:rPr>
        <w:t xml:space="preserve">             </w:t>
      </w:r>
      <w:proofErr w:type="gramStart"/>
      <w:r w:rsidRPr="00A31903">
        <w:rPr>
          <w:rFonts w:ascii="Times New Roman" w:hAnsi="Times New Roman" w:cs="Times New Roman"/>
          <w:i/>
        </w:rPr>
        <w:t>Economics Discussion Papers</w:t>
      </w:r>
      <w:r w:rsidRPr="00A31903">
        <w:rPr>
          <w:rFonts w:ascii="Times New Roman" w:hAnsi="Times New Roman" w:cs="Times New Roman"/>
        </w:rPr>
        <w:t>, No.02/04.</w:t>
      </w:r>
      <w:proofErr w:type="gramEnd"/>
      <w:r w:rsidRPr="00A31903">
        <w:rPr>
          <w:rFonts w:ascii="Times New Roman" w:hAnsi="Times New Roman" w:cs="Times New Roman"/>
        </w:rPr>
        <w:t xml:space="preserve"> </w:t>
      </w:r>
      <w:proofErr w:type="spellStart"/>
      <w:proofErr w:type="gramStart"/>
      <w:r w:rsidRPr="00A31903">
        <w:rPr>
          <w:rFonts w:ascii="Times New Roman" w:hAnsi="Times New Roman" w:cs="Times New Roman"/>
        </w:rPr>
        <w:t>Monash</w:t>
      </w:r>
      <w:proofErr w:type="spellEnd"/>
      <w:r w:rsidRPr="00A31903">
        <w:rPr>
          <w:rFonts w:ascii="Times New Roman" w:hAnsi="Times New Roman" w:cs="Times New Roman"/>
        </w:rPr>
        <w:t xml:space="preserve"> University, Melbourne, Australia.</w:t>
      </w:r>
      <w:proofErr w:type="gramEnd"/>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Nikoo</w:t>
      </w:r>
      <w:proofErr w:type="spellEnd"/>
      <w:r w:rsidRPr="00A31903">
        <w:rPr>
          <w:rFonts w:ascii="Times New Roman" w:hAnsi="Times New Roman" w:cs="Times New Roman"/>
        </w:rPr>
        <w:t xml:space="preserve"> S.H. (1996)</w:t>
      </w:r>
      <w:r w:rsidR="009871E2" w:rsidRPr="00A31903">
        <w:rPr>
          <w:rFonts w:ascii="Times New Roman" w:hAnsi="Times New Roman" w:cs="Times New Roman"/>
        </w:rPr>
        <w:t>.</w:t>
      </w:r>
      <w:r w:rsidRPr="00A31903">
        <w:rPr>
          <w:rFonts w:ascii="Times New Roman" w:hAnsi="Times New Roman" w:cs="Times New Roman"/>
        </w:rPr>
        <w:t xml:space="preserve"> </w:t>
      </w:r>
      <w:proofErr w:type="gramStart"/>
      <w:r w:rsidRPr="00A31903">
        <w:rPr>
          <w:rFonts w:ascii="Times New Roman" w:hAnsi="Times New Roman" w:cs="Times New Roman"/>
          <w:i/>
        </w:rPr>
        <w:t xml:space="preserve">Estimation of Tax Capacity of </w:t>
      </w:r>
      <w:proofErr w:type="spellStart"/>
      <w:r w:rsidRPr="00A31903">
        <w:rPr>
          <w:rFonts w:ascii="Times New Roman" w:hAnsi="Times New Roman" w:cs="Times New Roman"/>
          <w:i/>
        </w:rPr>
        <w:t>Hamedan</w:t>
      </w:r>
      <w:proofErr w:type="spellEnd"/>
      <w:r w:rsidRPr="00A31903">
        <w:rPr>
          <w:rFonts w:ascii="Times New Roman" w:hAnsi="Times New Roman" w:cs="Times New Roman"/>
          <w:i/>
        </w:rPr>
        <w:t xml:space="preserve"> Province</w:t>
      </w:r>
      <w:r w:rsidRPr="00A31903">
        <w:rPr>
          <w:rFonts w:ascii="Times New Roman" w:hAnsi="Times New Roman" w:cs="Times New Roman"/>
        </w:rPr>
        <w:t xml:space="preserve">, </w:t>
      </w:r>
      <w:proofErr w:type="spellStart"/>
      <w:r w:rsidRPr="00A31903">
        <w:rPr>
          <w:rFonts w:ascii="Times New Roman" w:hAnsi="Times New Roman" w:cs="Times New Roman"/>
        </w:rPr>
        <w:t>Hamedan</w:t>
      </w:r>
      <w:proofErr w:type="spellEnd"/>
      <w:r w:rsidRPr="00A31903">
        <w:rPr>
          <w:rFonts w:ascii="Times New Roman" w:hAnsi="Times New Roman" w:cs="Times New Roman"/>
        </w:rPr>
        <w:t xml:space="preserve"> University.</w:t>
      </w:r>
      <w:proofErr w:type="gramEnd"/>
    </w:p>
    <w:p w:rsidR="00EF05E5" w:rsidRPr="00A31903" w:rsidRDefault="009871E2" w:rsidP="00181D20">
      <w:pPr>
        <w:autoSpaceDE w:val="0"/>
        <w:autoSpaceDN w:val="0"/>
        <w:adjustRightInd w:val="0"/>
        <w:spacing w:after="0" w:line="240" w:lineRule="auto"/>
        <w:jc w:val="both"/>
        <w:rPr>
          <w:rFonts w:ascii="Times New Roman" w:hAnsi="Times New Roman" w:cs="Times New Roman"/>
          <w:lang w:val="en-GB"/>
        </w:rPr>
      </w:pPr>
      <w:proofErr w:type="gramStart"/>
      <w:r w:rsidRPr="00A31903">
        <w:rPr>
          <w:rFonts w:ascii="Times New Roman" w:hAnsi="Times New Roman" w:cs="Times New Roman"/>
          <w:lang w:val="en-GB"/>
        </w:rPr>
        <w:t>OECD (2011).</w:t>
      </w:r>
      <w:proofErr w:type="gramEnd"/>
      <w:r w:rsidR="00E27A7A" w:rsidRPr="00A31903">
        <w:rPr>
          <w:rFonts w:ascii="Times New Roman" w:hAnsi="Times New Roman" w:cs="Times New Roman"/>
          <w:lang w:val="en-GB"/>
        </w:rPr>
        <w:t xml:space="preserve"> The global forum on transparency and exchange of information for tax </w:t>
      </w:r>
    </w:p>
    <w:p w:rsidR="00EF05E5" w:rsidRPr="00A31903" w:rsidRDefault="00EF05E5" w:rsidP="00EF05E5">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lang w:val="en-GB"/>
        </w:rPr>
        <w:t xml:space="preserve">             </w:t>
      </w:r>
      <w:proofErr w:type="gramStart"/>
      <w:r w:rsidR="00E27A7A" w:rsidRPr="00A31903">
        <w:rPr>
          <w:rFonts w:ascii="Times New Roman" w:hAnsi="Times New Roman" w:cs="Times New Roman"/>
          <w:lang w:val="en-GB"/>
        </w:rPr>
        <w:t>purposes</w:t>
      </w:r>
      <w:proofErr w:type="gramEnd"/>
      <w:r w:rsidR="00E27A7A" w:rsidRPr="00A31903">
        <w:rPr>
          <w:rFonts w:ascii="Times New Roman" w:hAnsi="Times New Roman" w:cs="Times New Roman"/>
          <w:lang w:val="en-GB"/>
        </w:rPr>
        <w:t>.</w:t>
      </w:r>
      <w:r w:rsidRPr="00A31903">
        <w:rPr>
          <w:rFonts w:ascii="Times New Roman" w:hAnsi="Times New Roman" w:cs="Times New Roman"/>
          <w:lang w:val="en-GB"/>
        </w:rPr>
        <w:t xml:space="preserve"> </w:t>
      </w:r>
      <w:proofErr w:type="gramStart"/>
      <w:r w:rsidR="00E27A7A" w:rsidRPr="00A31903">
        <w:rPr>
          <w:rFonts w:ascii="Times New Roman" w:hAnsi="Times New Roman" w:cs="Times New Roman"/>
          <w:lang w:val="en-GB"/>
        </w:rPr>
        <w:t>Information brief.</w:t>
      </w:r>
      <w:proofErr w:type="gramEnd"/>
      <w:r w:rsidR="00181D20" w:rsidRPr="00A31903">
        <w:rPr>
          <w:rFonts w:ascii="Times New Roman" w:hAnsi="Times New Roman" w:cs="Times New Roman"/>
          <w:lang w:val="en-GB"/>
        </w:rPr>
        <w:t xml:space="preserve"> Retrieved from</w:t>
      </w:r>
      <w:r w:rsidRPr="00A31903">
        <w:rPr>
          <w:rFonts w:ascii="Times New Roman" w:hAnsi="Times New Roman" w:cs="Times New Roman"/>
          <w:lang w:val="en-GB"/>
        </w:rPr>
        <w:t xml:space="preserve"> </w:t>
      </w:r>
    </w:p>
    <w:p w:rsidR="00E27A7A" w:rsidRPr="00A31903" w:rsidRDefault="00EF05E5" w:rsidP="00EF05E5">
      <w:pPr>
        <w:autoSpaceDE w:val="0"/>
        <w:autoSpaceDN w:val="0"/>
        <w:adjustRightInd w:val="0"/>
        <w:spacing w:after="0" w:line="240" w:lineRule="auto"/>
        <w:jc w:val="both"/>
        <w:rPr>
          <w:rFonts w:ascii="Times New Roman" w:eastAsia="Times New Roman" w:hAnsi="Times New Roman" w:cs="Times New Roman"/>
        </w:rPr>
      </w:pPr>
      <w:r w:rsidRPr="00A31903">
        <w:rPr>
          <w:rFonts w:ascii="Times New Roman" w:eastAsia="Times New Roman" w:hAnsi="Times New Roman" w:cs="Times New Roman"/>
        </w:rPr>
        <w:t xml:space="preserve">             </w:t>
      </w:r>
      <w:r w:rsidR="00181D20" w:rsidRPr="00A31903">
        <w:rPr>
          <w:rFonts w:ascii="Times New Roman" w:eastAsia="Times New Roman" w:hAnsi="Times New Roman" w:cs="Times New Roman"/>
        </w:rPr>
        <w:t>https://www.oecd.org/tax/transparency/about-the-global-forum/.../48929580.pdf</w:t>
      </w:r>
    </w:p>
    <w:p w:rsidR="00F772C3" w:rsidRPr="00A31903" w:rsidRDefault="00F772C3" w:rsidP="00821AB4">
      <w:pPr>
        <w:pStyle w:val="Default"/>
        <w:jc w:val="both"/>
        <w:rPr>
          <w:rFonts w:ascii="Times New Roman" w:hAnsi="Times New Roman" w:cs="Times New Roman"/>
          <w:bCs/>
          <w:color w:val="auto"/>
          <w:sz w:val="22"/>
          <w:szCs w:val="22"/>
        </w:rPr>
      </w:pPr>
      <w:proofErr w:type="spellStart"/>
      <w:r w:rsidRPr="00A31903">
        <w:rPr>
          <w:rFonts w:ascii="Times New Roman" w:hAnsi="Times New Roman" w:cs="Times New Roman"/>
          <w:bCs/>
          <w:color w:val="auto"/>
          <w:sz w:val="22"/>
          <w:szCs w:val="22"/>
        </w:rPr>
        <w:t>Owusu-Afri</w:t>
      </w:r>
      <w:r w:rsidR="009871E2" w:rsidRPr="00A31903">
        <w:rPr>
          <w:rFonts w:ascii="Times New Roman" w:hAnsi="Times New Roman" w:cs="Times New Roman"/>
          <w:bCs/>
          <w:color w:val="auto"/>
          <w:sz w:val="22"/>
          <w:szCs w:val="22"/>
        </w:rPr>
        <w:t>yie</w:t>
      </w:r>
      <w:proofErr w:type="spellEnd"/>
      <w:r w:rsidR="009871E2" w:rsidRPr="00A31903">
        <w:rPr>
          <w:rFonts w:ascii="Times New Roman" w:hAnsi="Times New Roman" w:cs="Times New Roman"/>
          <w:bCs/>
          <w:color w:val="auto"/>
          <w:sz w:val="22"/>
          <w:szCs w:val="22"/>
        </w:rPr>
        <w:t xml:space="preserve"> E. (2009). </w:t>
      </w:r>
      <w:r w:rsidRPr="00A31903">
        <w:rPr>
          <w:rFonts w:ascii="Times New Roman" w:hAnsi="Times New Roman" w:cs="Times New Roman"/>
          <w:bCs/>
          <w:color w:val="auto"/>
          <w:sz w:val="22"/>
          <w:szCs w:val="22"/>
        </w:rPr>
        <w:t>An assessment of the impact of tax reforms on the tax s</w:t>
      </w:r>
      <w:r w:rsidR="009871E2" w:rsidRPr="00A31903">
        <w:rPr>
          <w:rFonts w:ascii="Times New Roman" w:hAnsi="Times New Roman" w:cs="Times New Roman"/>
          <w:bCs/>
          <w:color w:val="auto"/>
          <w:sz w:val="22"/>
          <w:szCs w:val="22"/>
        </w:rPr>
        <w:t>ystem of</w:t>
      </w:r>
      <w:r w:rsidR="009871E2" w:rsidRPr="00A31903">
        <w:rPr>
          <w:rFonts w:ascii="Times New Roman" w:hAnsi="Times New Roman" w:cs="Times New Roman"/>
          <w:bCs/>
          <w:color w:val="auto"/>
          <w:sz w:val="22"/>
          <w:szCs w:val="22"/>
        </w:rPr>
        <w:tab/>
      </w:r>
      <w:r w:rsidR="009871E2" w:rsidRPr="00A31903">
        <w:rPr>
          <w:rFonts w:ascii="Times New Roman" w:hAnsi="Times New Roman" w:cs="Times New Roman"/>
          <w:bCs/>
          <w:color w:val="auto"/>
          <w:sz w:val="22"/>
          <w:szCs w:val="22"/>
        </w:rPr>
        <w:tab/>
        <w:t xml:space="preserve"> Ghana.</w:t>
      </w:r>
      <w:r w:rsidRPr="00A31903">
        <w:rPr>
          <w:rFonts w:ascii="Times New Roman" w:hAnsi="Times New Roman" w:cs="Times New Roman"/>
          <w:bCs/>
          <w:color w:val="auto"/>
          <w:sz w:val="22"/>
          <w:szCs w:val="22"/>
        </w:rPr>
        <w:t xml:space="preserve"> </w:t>
      </w:r>
      <w:proofErr w:type="gramStart"/>
      <w:r w:rsidRPr="00A31903">
        <w:rPr>
          <w:rFonts w:ascii="Times New Roman" w:hAnsi="Times New Roman" w:cs="Times New Roman"/>
          <w:bCs/>
          <w:i/>
          <w:color w:val="auto"/>
          <w:sz w:val="22"/>
          <w:szCs w:val="22"/>
        </w:rPr>
        <w:t>Working paper</w:t>
      </w:r>
      <w:r w:rsidRPr="00A31903">
        <w:rPr>
          <w:rFonts w:ascii="Times New Roman" w:hAnsi="Times New Roman" w:cs="Times New Roman"/>
          <w:bCs/>
          <w:color w:val="auto"/>
          <w:sz w:val="22"/>
          <w:szCs w:val="22"/>
        </w:rPr>
        <w:t xml:space="preserve">, </w:t>
      </w:r>
      <w:r w:rsidRPr="00A31903">
        <w:rPr>
          <w:rFonts w:ascii="Times New Roman" w:hAnsi="Times New Roman" w:cs="Times New Roman"/>
          <w:bCs/>
          <w:i/>
          <w:color w:val="auto"/>
          <w:sz w:val="22"/>
          <w:szCs w:val="22"/>
        </w:rPr>
        <w:t>WP/BOG-2009/01</w:t>
      </w:r>
      <w:r w:rsidRPr="00A31903">
        <w:rPr>
          <w:rFonts w:ascii="Times New Roman" w:hAnsi="Times New Roman" w:cs="Times New Roman"/>
          <w:bCs/>
          <w:color w:val="auto"/>
          <w:sz w:val="22"/>
          <w:szCs w:val="22"/>
        </w:rPr>
        <w:t>,</w:t>
      </w:r>
      <w:r w:rsidR="009871E2" w:rsidRPr="00A31903">
        <w:rPr>
          <w:rFonts w:ascii="Times New Roman" w:hAnsi="Times New Roman" w:cs="Times New Roman"/>
          <w:bCs/>
          <w:color w:val="auto"/>
          <w:sz w:val="22"/>
          <w:szCs w:val="22"/>
        </w:rPr>
        <w:t xml:space="preserve"> Bank of Ghana.</w:t>
      </w:r>
      <w:proofErr w:type="gramEnd"/>
    </w:p>
    <w:p w:rsidR="00032CF9" w:rsidRPr="00A31903" w:rsidRDefault="009871E2"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Oshima</w:t>
      </w:r>
      <w:proofErr w:type="spellEnd"/>
      <w:r w:rsidRPr="00A31903">
        <w:rPr>
          <w:rFonts w:ascii="Times New Roman" w:hAnsi="Times New Roman" w:cs="Times New Roman"/>
        </w:rPr>
        <w:t xml:space="preserve">, H. (1957). </w:t>
      </w:r>
      <w:r w:rsidR="00F772C3" w:rsidRPr="00A31903">
        <w:rPr>
          <w:rFonts w:ascii="Times New Roman" w:hAnsi="Times New Roman" w:cs="Times New Roman"/>
        </w:rPr>
        <w:t>Share of government in gross national</w:t>
      </w:r>
      <w:r w:rsidR="008E1FA7" w:rsidRPr="00A31903">
        <w:rPr>
          <w:rFonts w:ascii="Times New Roman" w:hAnsi="Times New Roman" w:cs="Times New Roman"/>
        </w:rPr>
        <w:t xml:space="preserve"> product for various c</w:t>
      </w:r>
      <w:r w:rsidR="00F772C3" w:rsidRPr="00A31903">
        <w:rPr>
          <w:rFonts w:ascii="Times New Roman" w:hAnsi="Times New Roman" w:cs="Times New Roman"/>
        </w:rPr>
        <w:t>ountries”,</w:t>
      </w:r>
      <w:r w:rsidR="00F772C3" w:rsidRPr="00A31903">
        <w:rPr>
          <w:rFonts w:ascii="Times New Roman" w:hAnsi="Times New Roman" w:cs="Times New Roman"/>
        </w:rPr>
        <w:tab/>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ab/>
        <w:t xml:space="preserve"> </w:t>
      </w:r>
      <w:proofErr w:type="gramStart"/>
      <w:r w:rsidRPr="00A31903">
        <w:rPr>
          <w:rFonts w:ascii="Times New Roman" w:hAnsi="Times New Roman" w:cs="Times New Roman"/>
          <w:i/>
        </w:rPr>
        <w:t>American Economic Review</w:t>
      </w:r>
      <w:r w:rsidRPr="00A31903">
        <w:rPr>
          <w:rFonts w:ascii="Times New Roman" w:hAnsi="Times New Roman" w:cs="Times New Roman"/>
        </w:rPr>
        <w:t xml:space="preserve">, </w:t>
      </w:r>
      <w:r w:rsidR="00032CF9" w:rsidRPr="00A31903">
        <w:rPr>
          <w:rFonts w:ascii="Times New Roman" w:hAnsi="Times New Roman" w:cs="Times New Roman"/>
          <w:i/>
        </w:rPr>
        <w:t xml:space="preserve">47 </w:t>
      </w:r>
      <w:r w:rsidR="00032CF9" w:rsidRPr="00A31903">
        <w:rPr>
          <w:rFonts w:ascii="Times New Roman" w:hAnsi="Times New Roman" w:cs="Times New Roman"/>
        </w:rPr>
        <w:t>(</w:t>
      </w:r>
      <w:r w:rsidRPr="00A31903">
        <w:rPr>
          <w:rFonts w:ascii="Times New Roman" w:hAnsi="Times New Roman" w:cs="Times New Roman"/>
        </w:rPr>
        <w:t>June</w:t>
      </w:r>
      <w:r w:rsidR="00032CF9" w:rsidRPr="00A31903">
        <w:rPr>
          <w:rFonts w:ascii="Times New Roman" w:hAnsi="Times New Roman" w:cs="Times New Roman"/>
        </w:rPr>
        <w:t>)</w:t>
      </w:r>
      <w:r w:rsidRPr="00A31903">
        <w:rPr>
          <w:rFonts w:ascii="Times New Roman" w:hAnsi="Times New Roman" w:cs="Times New Roman"/>
        </w:rPr>
        <w:t>, 381-90.</w:t>
      </w:r>
      <w:proofErr w:type="gramEnd"/>
    </w:p>
    <w:p w:rsidR="00F772C3" w:rsidRPr="00A31903" w:rsidRDefault="00843E1E" w:rsidP="00821AB4">
      <w:pPr>
        <w:autoSpaceDE w:val="0"/>
        <w:autoSpaceDN w:val="0"/>
        <w:adjustRightInd w:val="0"/>
        <w:spacing w:after="0"/>
        <w:jc w:val="both"/>
        <w:rPr>
          <w:rFonts w:ascii="Times New Roman" w:hAnsi="Times New Roman" w:cs="Times New Roman"/>
        </w:rPr>
      </w:pPr>
      <w:proofErr w:type="spellStart"/>
      <w:r w:rsidRPr="00A31903">
        <w:rPr>
          <w:rFonts w:ascii="Times New Roman" w:hAnsi="Times New Roman" w:cs="Times New Roman"/>
        </w:rPr>
        <w:t>Pesaran</w:t>
      </w:r>
      <w:proofErr w:type="spellEnd"/>
      <w:r w:rsidRPr="00A31903">
        <w:rPr>
          <w:rFonts w:ascii="Times New Roman" w:hAnsi="Times New Roman" w:cs="Times New Roman"/>
        </w:rPr>
        <w:t>, M.H., Shin, Y.,</w:t>
      </w:r>
      <w:r w:rsidR="00F772C3" w:rsidRPr="00A31903">
        <w:rPr>
          <w:rFonts w:ascii="Times New Roman" w:hAnsi="Times New Roman" w:cs="Times New Roman"/>
        </w:rPr>
        <w:t xml:space="preserve"> Smith, R.J., (2</w:t>
      </w:r>
      <w:r w:rsidR="009871E2" w:rsidRPr="00A31903">
        <w:rPr>
          <w:rFonts w:ascii="Times New Roman" w:hAnsi="Times New Roman" w:cs="Times New Roman"/>
        </w:rPr>
        <w:t>001).</w:t>
      </w:r>
      <w:r w:rsidR="00F772C3" w:rsidRPr="00A31903">
        <w:rPr>
          <w:rFonts w:ascii="Times New Roman" w:hAnsi="Times New Roman" w:cs="Times New Roman"/>
        </w:rPr>
        <w:t xml:space="preserve"> Bounds testing approaches to the analysis</w:t>
      </w:r>
    </w:p>
    <w:p w:rsidR="00F772C3" w:rsidRPr="00A31903" w:rsidRDefault="00F772C3" w:rsidP="00821AB4">
      <w:pPr>
        <w:autoSpaceDE w:val="0"/>
        <w:autoSpaceDN w:val="0"/>
        <w:adjustRightInd w:val="0"/>
        <w:spacing w:after="0"/>
        <w:jc w:val="both"/>
        <w:rPr>
          <w:rFonts w:ascii="Times New Roman" w:hAnsi="Times New Roman" w:cs="Times New Roman"/>
          <w:b/>
        </w:rPr>
      </w:pPr>
      <w:r w:rsidRPr="00A31903">
        <w:rPr>
          <w:rFonts w:ascii="Times New Roman" w:hAnsi="Times New Roman" w:cs="Times New Roman"/>
        </w:rPr>
        <w:t xml:space="preserve">             </w:t>
      </w:r>
      <w:proofErr w:type="gramStart"/>
      <w:r w:rsidRPr="00A31903">
        <w:rPr>
          <w:rFonts w:ascii="Times New Roman" w:hAnsi="Times New Roman" w:cs="Times New Roman"/>
        </w:rPr>
        <w:t>of</w:t>
      </w:r>
      <w:proofErr w:type="gramEnd"/>
      <w:r w:rsidRPr="00A31903">
        <w:rPr>
          <w:rFonts w:ascii="Times New Roman" w:hAnsi="Times New Roman" w:cs="Times New Roman"/>
        </w:rPr>
        <w:t xml:space="preserve"> level relationships</w:t>
      </w:r>
      <w:r w:rsidR="009871E2" w:rsidRPr="00A31903">
        <w:rPr>
          <w:rFonts w:ascii="Times New Roman" w:hAnsi="Times New Roman" w:cs="Times New Roman"/>
        </w:rPr>
        <w:t>.</w:t>
      </w:r>
      <w:r w:rsidRPr="00A31903">
        <w:rPr>
          <w:rFonts w:ascii="Times New Roman" w:hAnsi="Times New Roman" w:cs="Times New Roman"/>
        </w:rPr>
        <w:t xml:space="preserve"> </w:t>
      </w:r>
      <w:r w:rsidRPr="00A31903">
        <w:rPr>
          <w:rFonts w:ascii="Times New Roman" w:hAnsi="Times New Roman" w:cs="Times New Roman"/>
          <w:i/>
          <w:iCs/>
        </w:rPr>
        <w:t>Journal of Applied Econometrics</w:t>
      </w:r>
      <w:r w:rsidR="008E1FA7" w:rsidRPr="00A31903">
        <w:rPr>
          <w:rFonts w:ascii="Times New Roman" w:hAnsi="Times New Roman" w:cs="Times New Roman"/>
        </w:rPr>
        <w:t xml:space="preserve">, </w:t>
      </w:r>
      <w:r w:rsidR="008E1FA7" w:rsidRPr="00A31903">
        <w:rPr>
          <w:rFonts w:ascii="Times New Roman" w:hAnsi="Times New Roman" w:cs="Times New Roman"/>
          <w:i/>
        </w:rPr>
        <w:t>6</w:t>
      </w:r>
      <w:r w:rsidR="009871E2" w:rsidRPr="00A31903">
        <w:rPr>
          <w:rFonts w:ascii="Times New Roman" w:hAnsi="Times New Roman" w:cs="Times New Roman"/>
        </w:rPr>
        <w:t>(</w:t>
      </w:r>
      <w:r w:rsidRPr="00A31903">
        <w:rPr>
          <w:rFonts w:ascii="Times New Roman" w:hAnsi="Times New Roman" w:cs="Times New Roman"/>
        </w:rPr>
        <w:t>3</w:t>
      </w:r>
      <w:r w:rsidR="009871E2" w:rsidRPr="00A31903">
        <w:rPr>
          <w:rFonts w:ascii="Times New Roman" w:hAnsi="Times New Roman" w:cs="Times New Roman"/>
        </w:rPr>
        <w:t>),</w:t>
      </w:r>
      <w:r w:rsidRPr="00A31903">
        <w:rPr>
          <w:rFonts w:ascii="Times New Roman" w:hAnsi="Times New Roman" w:cs="Times New Roman"/>
        </w:rPr>
        <w:t xml:space="preserve"> 289-326.</w:t>
      </w:r>
    </w:p>
    <w:p w:rsidR="00E27A7A" w:rsidRPr="00A31903" w:rsidRDefault="00843E1E"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Pessino</w:t>
      </w:r>
      <w:proofErr w:type="spellEnd"/>
      <w:r w:rsidRPr="00A31903">
        <w:rPr>
          <w:rFonts w:ascii="Times New Roman" w:hAnsi="Times New Roman" w:cs="Times New Roman"/>
        </w:rPr>
        <w:t xml:space="preserve">, C., </w:t>
      </w:r>
      <w:proofErr w:type="spellStart"/>
      <w:r w:rsidR="00E27A7A" w:rsidRPr="00A31903">
        <w:rPr>
          <w:rFonts w:ascii="Times New Roman" w:hAnsi="Times New Roman" w:cs="Times New Roman"/>
        </w:rPr>
        <w:t>Fenochietto</w:t>
      </w:r>
      <w:proofErr w:type="spellEnd"/>
      <w:r w:rsidR="00E27A7A" w:rsidRPr="00A31903">
        <w:rPr>
          <w:rFonts w:ascii="Times New Roman" w:hAnsi="Times New Roman" w:cs="Times New Roman"/>
        </w:rPr>
        <w:t>, R. (2010</w:t>
      </w:r>
      <w:r w:rsidR="009871E2" w:rsidRPr="00A31903">
        <w:rPr>
          <w:rFonts w:ascii="Times New Roman" w:hAnsi="Times New Roman" w:cs="Times New Roman"/>
        </w:rPr>
        <w:t xml:space="preserve">). </w:t>
      </w:r>
      <w:r w:rsidR="00E27A7A" w:rsidRPr="00A31903">
        <w:rPr>
          <w:rFonts w:ascii="Times New Roman" w:hAnsi="Times New Roman" w:cs="Times New Roman"/>
        </w:rPr>
        <w:t xml:space="preserve">Determining countries’ tax effort,” Hacienda </w:t>
      </w:r>
      <w:proofErr w:type="spellStart"/>
      <w:r w:rsidR="00E27A7A" w:rsidRPr="00A31903">
        <w:rPr>
          <w:rFonts w:ascii="Times New Roman" w:hAnsi="Times New Roman" w:cs="Times New Roman"/>
        </w:rPr>
        <w:t>Pública</w:t>
      </w:r>
      <w:proofErr w:type="spellEnd"/>
    </w:p>
    <w:p w:rsidR="00E27A7A" w:rsidRPr="00A31903" w:rsidRDefault="00E27A7A"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Pr="00A31903">
        <w:rPr>
          <w:rFonts w:ascii="Times New Roman" w:hAnsi="Times New Roman" w:cs="Times New Roman"/>
        </w:rPr>
        <w:t>Españo</w:t>
      </w:r>
      <w:r w:rsidR="009871E2" w:rsidRPr="00A31903">
        <w:rPr>
          <w:rFonts w:ascii="Times New Roman" w:hAnsi="Times New Roman" w:cs="Times New Roman"/>
        </w:rPr>
        <w:t>la/</w:t>
      </w:r>
      <w:proofErr w:type="spellStart"/>
      <w:r w:rsidR="009871E2" w:rsidRPr="00A31903">
        <w:rPr>
          <w:rFonts w:ascii="Times New Roman" w:hAnsi="Times New Roman" w:cs="Times New Roman"/>
        </w:rPr>
        <w:t>Revista</w:t>
      </w:r>
      <w:proofErr w:type="spellEnd"/>
      <w:r w:rsidR="009871E2" w:rsidRPr="00A31903">
        <w:rPr>
          <w:rFonts w:ascii="Times New Roman" w:hAnsi="Times New Roman" w:cs="Times New Roman"/>
        </w:rPr>
        <w:t xml:space="preserve"> de </w:t>
      </w:r>
      <w:proofErr w:type="spellStart"/>
      <w:r w:rsidR="009871E2" w:rsidRPr="00A31903">
        <w:rPr>
          <w:rFonts w:ascii="Times New Roman" w:hAnsi="Times New Roman" w:cs="Times New Roman"/>
        </w:rPr>
        <w:t>Economía</w:t>
      </w:r>
      <w:proofErr w:type="spellEnd"/>
      <w:r w:rsidR="009871E2" w:rsidRPr="00A31903">
        <w:rPr>
          <w:rFonts w:ascii="Times New Roman" w:hAnsi="Times New Roman" w:cs="Times New Roman"/>
        </w:rPr>
        <w:t xml:space="preserve"> </w:t>
      </w:r>
      <w:proofErr w:type="spellStart"/>
      <w:r w:rsidR="009871E2" w:rsidRPr="00A31903">
        <w:rPr>
          <w:rFonts w:ascii="Times New Roman" w:hAnsi="Times New Roman" w:cs="Times New Roman"/>
        </w:rPr>
        <w:t>Pública</w:t>
      </w:r>
      <w:proofErr w:type="spellEnd"/>
      <w:r w:rsidR="009871E2" w:rsidRPr="00A31903">
        <w:rPr>
          <w:rFonts w:ascii="Times New Roman" w:hAnsi="Times New Roman" w:cs="Times New Roman"/>
        </w:rPr>
        <w:t xml:space="preserve">, </w:t>
      </w:r>
      <w:r w:rsidRPr="00A31903">
        <w:rPr>
          <w:rFonts w:ascii="Times New Roman" w:hAnsi="Times New Roman" w:cs="Times New Roman"/>
          <w:i/>
        </w:rPr>
        <w:t>195</w:t>
      </w:r>
      <w:r w:rsidR="00032CF9" w:rsidRPr="00A31903">
        <w:rPr>
          <w:rFonts w:ascii="Times New Roman" w:hAnsi="Times New Roman" w:cs="Times New Roman"/>
          <w:i/>
        </w:rPr>
        <w:t xml:space="preserve"> </w:t>
      </w:r>
      <w:r w:rsidR="00032CF9" w:rsidRPr="00A31903">
        <w:rPr>
          <w:rFonts w:ascii="Times New Roman" w:hAnsi="Times New Roman" w:cs="Times New Roman"/>
        </w:rPr>
        <w:t>(4)</w:t>
      </w:r>
      <w:r w:rsidR="009871E2" w:rsidRPr="00A31903">
        <w:rPr>
          <w:rFonts w:ascii="Times New Roman" w:hAnsi="Times New Roman" w:cs="Times New Roman"/>
        </w:rPr>
        <w:t>,</w:t>
      </w:r>
      <w:r w:rsidRPr="00A31903">
        <w:rPr>
          <w:rFonts w:ascii="Times New Roman" w:hAnsi="Times New Roman" w:cs="Times New Roman"/>
        </w:rPr>
        <w:t xml:space="preserve"> 61–68.</w:t>
      </w:r>
      <w:proofErr w:type="gramEnd"/>
    </w:p>
    <w:p w:rsidR="00C74614" w:rsidRPr="00A31903" w:rsidRDefault="00F772C3" w:rsidP="00821AB4">
      <w:pPr>
        <w:autoSpaceDE w:val="0"/>
        <w:autoSpaceDN w:val="0"/>
        <w:adjustRightInd w:val="0"/>
        <w:spacing w:after="0" w:line="240" w:lineRule="auto"/>
        <w:jc w:val="both"/>
        <w:rPr>
          <w:rFonts w:ascii="Times New Roman" w:hAnsi="Times New Roman" w:cs="Times New Roman"/>
        </w:rPr>
      </w:pPr>
      <w:proofErr w:type="spellStart"/>
      <w:proofErr w:type="gramStart"/>
      <w:r w:rsidRPr="00A31903">
        <w:rPr>
          <w:rFonts w:ascii="Times New Roman" w:hAnsi="Times New Roman" w:cs="Times New Roman"/>
        </w:rPr>
        <w:t>Piancastelli</w:t>
      </w:r>
      <w:proofErr w:type="spellEnd"/>
      <w:r w:rsidRPr="00A31903">
        <w:rPr>
          <w:rFonts w:ascii="Times New Roman" w:hAnsi="Times New Roman" w:cs="Times New Roman"/>
        </w:rPr>
        <w:t>, M. (2001)</w:t>
      </w:r>
      <w:r w:rsidR="009871E2" w:rsidRPr="00A31903">
        <w:rPr>
          <w:rFonts w:ascii="Times New Roman" w:hAnsi="Times New Roman" w:cs="Times New Roman"/>
        </w:rPr>
        <w:t>.</w:t>
      </w:r>
      <w:proofErr w:type="gramEnd"/>
      <w:r w:rsidR="009871E2" w:rsidRPr="00A31903">
        <w:rPr>
          <w:rFonts w:ascii="Times New Roman" w:hAnsi="Times New Roman" w:cs="Times New Roman"/>
        </w:rPr>
        <w:t xml:space="preserve"> </w:t>
      </w:r>
      <w:proofErr w:type="gramStart"/>
      <w:r w:rsidRPr="00A31903">
        <w:rPr>
          <w:rFonts w:ascii="Times New Roman" w:hAnsi="Times New Roman" w:cs="Times New Roman"/>
        </w:rPr>
        <w:t>Measuring the tax effort of developed and developing c</w:t>
      </w:r>
      <w:r w:rsidR="009871E2" w:rsidRPr="00A31903">
        <w:rPr>
          <w:rFonts w:ascii="Times New Roman" w:hAnsi="Times New Roman" w:cs="Times New Roman"/>
        </w:rPr>
        <w:t>ountries.</w:t>
      </w:r>
      <w:proofErr w:type="gramEnd"/>
      <w:r w:rsidRPr="00A31903">
        <w:rPr>
          <w:rFonts w:ascii="Times New Roman" w:hAnsi="Times New Roman" w:cs="Times New Roman"/>
        </w:rPr>
        <w:t xml:space="preserve"> </w:t>
      </w:r>
      <w:r w:rsidRPr="00A31903">
        <w:rPr>
          <w:rFonts w:ascii="Times New Roman" w:hAnsi="Times New Roman" w:cs="Times New Roman"/>
        </w:rPr>
        <w:tab/>
      </w:r>
      <w:r w:rsidRPr="00A31903">
        <w:rPr>
          <w:rFonts w:ascii="Times New Roman" w:hAnsi="Times New Roman" w:cs="Times New Roman"/>
          <w:i/>
        </w:rPr>
        <w:t>Working Papers</w:t>
      </w:r>
      <w:r w:rsidRPr="00A31903">
        <w:rPr>
          <w:rFonts w:ascii="Times New Roman" w:hAnsi="Times New Roman" w:cs="Times New Roman"/>
        </w:rPr>
        <w:t xml:space="preserve">, </w:t>
      </w:r>
      <w:proofErr w:type="gramStart"/>
      <w:r w:rsidRPr="00A31903">
        <w:rPr>
          <w:rFonts w:ascii="Times New Roman" w:hAnsi="Times New Roman" w:cs="Times New Roman"/>
        </w:rPr>
        <w:t>The</w:t>
      </w:r>
      <w:proofErr w:type="gramEnd"/>
      <w:r w:rsidRPr="00A31903">
        <w:rPr>
          <w:rFonts w:ascii="Times New Roman" w:hAnsi="Times New Roman" w:cs="Times New Roman"/>
        </w:rPr>
        <w:t xml:space="preserve"> Institute for Applied Economic Research, IPEA, Work Paper</w:t>
      </w:r>
    </w:p>
    <w:p w:rsidR="00F772C3" w:rsidRPr="00A31903" w:rsidRDefault="00C74614"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00F772C3" w:rsidRPr="00A31903">
        <w:rPr>
          <w:rFonts w:ascii="Times New Roman" w:hAnsi="Times New Roman" w:cs="Times New Roman"/>
        </w:rPr>
        <w:t>No.</w:t>
      </w:r>
      <w:r w:rsidRPr="00A31903">
        <w:rPr>
          <w:rFonts w:ascii="Times New Roman" w:hAnsi="Times New Roman" w:cs="Times New Roman"/>
        </w:rPr>
        <w:t xml:space="preserve"> </w:t>
      </w:r>
      <w:r w:rsidR="00F772C3" w:rsidRPr="00A31903">
        <w:rPr>
          <w:rFonts w:ascii="Times New Roman" w:hAnsi="Times New Roman" w:cs="Times New Roman"/>
        </w:rPr>
        <w:t>818.</w:t>
      </w:r>
      <w:proofErr w:type="gramEnd"/>
    </w:p>
    <w:p w:rsidR="00F772C3" w:rsidRPr="00A31903" w:rsidRDefault="00F772C3" w:rsidP="00821AB4">
      <w:pPr>
        <w:autoSpaceDE w:val="0"/>
        <w:autoSpaceDN w:val="0"/>
        <w:adjustRightInd w:val="0"/>
        <w:spacing w:after="0"/>
        <w:jc w:val="both"/>
        <w:rPr>
          <w:rFonts w:ascii="Times New Roman" w:hAnsi="Times New Roman" w:cs="Times New Roman"/>
        </w:rPr>
      </w:pPr>
      <w:r w:rsidRPr="00A31903">
        <w:rPr>
          <w:rFonts w:ascii="Times New Roman" w:hAnsi="Times New Roman" w:cs="Times New Roman"/>
        </w:rPr>
        <w:t>Phillip</w:t>
      </w:r>
      <w:r w:rsidR="00843E1E" w:rsidRPr="00A31903">
        <w:rPr>
          <w:rFonts w:ascii="Times New Roman" w:hAnsi="Times New Roman" w:cs="Times New Roman"/>
        </w:rPr>
        <w:t>s, P.C.B.,</w:t>
      </w:r>
      <w:r w:rsidR="00032CF9" w:rsidRPr="00A31903">
        <w:rPr>
          <w:rFonts w:ascii="Times New Roman" w:hAnsi="Times New Roman" w:cs="Times New Roman"/>
        </w:rPr>
        <w:t xml:space="preserve"> Peron, P.</w:t>
      </w:r>
      <w:r w:rsidR="009871E2" w:rsidRPr="00A31903">
        <w:rPr>
          <w:rFonts w:ascii="Times New Roman" w:hAnsi="Times New Roman" w:cs="Times New Roman"/>
        </w:rPr>
        <w:t xml:space="preserve"> (1988).</w:t>
      </w:r>
      <w:r w:rsidRPr="00A31903">
        <w:rPr>
          <w:rFonts w:ascii="Times New Roman" w:hAnsi="Times New Roman" w:cs="Times New Roman"/>
        </w:rPr>
        <w:t xml:space="preserve"> Testing for unit root in time series regression’,</w:t>
      </w:r>
    </w:p>
    <w:p w:rsidR="00F772C3" w:rsidRPr="00A31903" w:rsidRDefault="00F772C3" w:rsidP="00821AB4">
      <w:pPr>
        <w:autoSpaceDE w:val="0"/>
        <w:autoSpaceDN w:val="0"/>
        <w:adjustRightInd w:val="0"/>
        <w:spacing w:after="0"/>
        <w:jc w:val="both"/>
        <w:rPr>
          <w:rFonts w:ascii="Times New Roman" w:hAnsi="Times New Roman" w:cs="Times New Roman"/>
        </w:rPr>
      </w:pPr>
      <w:r w:rsidRPr="00A31903">
        <w:rPr>
          <w:rFonts w:ascii="Times New Roman" w:hAnsi="Times New Roman" w:cs="Times New Roman"/>
        </w:rPr>
        <w:t xml:space="preserve">             </w:t>
      </w:r>
      <w:proofErr w:type="spellStart"/>
      <w:r w:rsidRPr="00A31903">
        <w:rPr>
          <w:rFonts w:ascii="Times New Roman" w:hAnsi="Times New Roman" w:cs="Times New Roman"/>
          <w:i/>
          <w:iCs/>
        </w:rPr>
        <w:t>Biometrica</w:t>
      </w:r>
      <w:proofErr w:type="spellEnd"/>
      <w:proofErr w:type="gramStart"/>
      <w:r w:rsidRPr="00A31903">
        <w:rPr>
          <w:rFonts w:ascii="Times New Roman" w:hAnsi="Times New Roman" w:cs="Times New Roman"/>
        </w:rPr>
        <w:t xml:space="preserve">,  </w:t>
      </w:r>
      <w:r w:rsidRPr="00A31903">
        <w:rPr>
          <w:rFonts w:ascii="Times New Roman" w:hAnsi="Times New Roman" w:cs="Times New Roman"/>
          <w:i/>
        </w:rPr>
        <w:t>75</w:t>
      </w:r>
      <w:proofErr w:type="gramEnd"/>
      <w:r w:rsidR="00032CF9" w:rsidRPr="00A31903">
        <w:rPr>
          <w:rFonts w:ascii="Times New Roman" w:hAnsi="Times New Roman" w:cs="Times New Roman"/>
        </w:rPr>
        <w:t xml:space="preserve"> (2)</w:t>
      </w:r>
      <w:r w:rsidRPr="00A31903">
        <w:rPr>
          <w:rFonts w:ascii="Times New Roman" w:hAnsi="Times New Roman" w:cs="Times New Roman"/>
        </w:rPr>
        <w:t>, 335-346.</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proofErr w:type="spellStart"/>
      <w:proofErr w:type="gramStart"/>
      <w:r w:rsidRPr="00A31903">
        <w:rPr>
          <w:rFonts w:ascii="Times New Roman" w:hAnsi="Times New Roman" w:cs="Times New Roman"/>
        </w:rPr>
        <w:t>Plasschaert</w:t>
      </w:r>
      <w:proofErr w:type="spellEnd"/>
      <w:r w:rsidRPr="00A31903">
        <w:rPr>
          <w:rFonts w:ascii="Times New Roman" w:hAnsi="Times New Roman" w:cs="Times New Roman"/>
        </w:rPr>
        <w:t>,</w:t>
      </w:r>
      <w:r w:rsidR="009871E2" w:rsidRPr="00A31903">
        <w:rPr>
          <w:rFonts w:ascii="Times New Roman" w:hAnsi="Times New Roman" w:cs="Times New Roman"/>
        </w:rPr>
        <w:t xml:space="preserve"> S. (1962).</w:t>
      </w:r>
      <w:proofErr w:type="gramEnd"/>
      <w:r w:rsidR="009871E2" w:rsidRPr="00A31903">
        <w:rPr>
          <w:rFonts w:ascii="Times New Roman" w:hAnsi="Times New Roman" w:cs="Times New Roman"/>
        </w:rPr>
        <w:t xml:space="preserve"> </w:t>
      </w:r>
      <w:proofErr w:type="gramStart"/>
      <w:r w:rsidRPr="00A31903">
        <w:rPr>
          <w:rFonts w:ascii="Times New Roman" w:hAnsi="Times New Roman" w:cs="Times New Roman"/>
        </w:rPr>
        <w:t>Taxable capacity in developing c</w:t>
      </w:r>
      <w:r w:rsidR="009871E2" w:rsidRPr="00A31903">
        <w:rPr>
          <w:rFonts w:ascii="Times New Roman" w:hAnsi="Times New Roman" w:cs="Times New Roman"/>
        </w:rPr>
        <w:t>ountries.</w:t>
      </w:r>
      <w:proofErr w:type="gramEnd"/>
      <w:r w:rsidRPr="00A31903">
        <w:rPr>
          <w:rFonts w:ascii="Times New Roman" w:hAnsi="Times New Roman" w:cs="Times New Roman"/>
        </w:rPr>
        <w:t xml:space="preserve"> </w:t>
      </w:r>
      <w:proofErr w:type="gramStart"/>
      <w:r w:rsidRPr="00A31903">
        <w:rPr>
          <w:rFonts w:ascii="Times New Roman" w:hAnsi="Times New Roman" w:cs="Times New Roman"/>
        </w:rPr>
        <w:t xml:space="preserve">International Bank for </w:t>
      </w:r>
      <w:r w:rsidRPr="00A31903">
        <w:rPr>
          <w:rFonts w:ascii="Times New Roman" w:hAnsi="Times New Roman" w:cs="Times New Roman"/>
        </w:rPr>
        <w:tab/>
        <w:t>Reconstruction and Development, Report No.EC- 103, Washington.</w:t>
      </w:r>
      <w:proofErr w:type="gramEnd"/>
    </w:p>
    <w:p w:rsidR="00D912A3" w:rsidRPr="00A31903" w:rsidRDefault="009871E2" w:rsidP="00821AB4">
      <w:pPr>
        <w:autoSpaceDE w:val="0"/>
        <w:autoSpaceDN w:val="0"/>
        <w:adjustRightInd w:val="0"/>
        <w:spacing w:after="0" w:line="240" w:lineRule="auto"/>
        <w:jc w:val="both"/>
        <w:rPr>
          <w:rFonts w:ascii="Times New Roman" w:hAnsi="Times New Roman" w:cs="Times New Roman"/>
          <w:i/>
        </w:rPr>
      </w:pPr>
      <w:proofErr w:type="spellStart"/>
      <w:r w:rsidRPr="00A31903">
        <w:rPr>
          <w:rFonts w:ascii="Times New Roman" w:hAnsi="Times New Roman" w:cs="Times New Roman"/>
        </w:rPr>
        <w:t>Prest</w:t>
      </w:r>
      <w:proofErr w:type="spellEnd"/>
      <w:r w:rsidRPr="00A31903">
        <w:rPr>
          <w:rFonts w:ascii="Times New Roman" w:hAnsi="Times New Roman" w:cs="Times New Roman"/>
        </w:rPr>
        <w:t xml:space="preserve">, A.R. (1978). </w:t>
      </w:r>
      <w:r w:rsidR="00F772C3" w:rsidRPr="00A31903">
        <w:rPr>
          <w:rFonts w:ascii="Times New Roman" w:hAnsi="Times New Roman" w:cs="Times New Roman"/>
        </w:rPr>
        <w:t>The taxable capacity of a c</w:t>
      </w:r>
      <w:r w:rsidRPr="00A31903">
        <w:rPr>
          <w:rFonts w:ascii="Times New Roman" w:hAnsi="Times New Roman" w:cs="Times New Roman"/>
        </w:rPr>
        <w:t>ountry</w:t>
      </w:r>
      <w:r w:rsidR="00F772C3" w:rsidRPr="00A31903">
        <w:rPr>
          <w:rFonts w:ascii="Times New Roman" w:hAnsi="Times New Roman" w:cs="Times New Roman"/>
        </w:rPr>
        <w:t xml:space="preserve">, in </w:t>
      </w:r>
      <w:r w:rsidR="00F772C3" w:rsidRPr="00A31903">
        <w:rPr>
          <w:rFonts w:ascii="Times New Roman" w:hAnsi="Times New Roman" w:cs="Times New Roman"/>
          <w:i/>
        </w:rPr>
        <w:t>Taxation and Economic</w:t>
      </w:r>
      <w:r w:rsidR="003565CB" w:rsidRPr="00A31903">
        <w:rPr>
          <w:rFonts w:ascii="Times New Roman" w:hAnsi="Times New Roman" w:cs="Times New Roman"/>
          <w:i/>
        </w:rPr>
        <w:t xml:space="preserve"> </w:t>
      </w:r>
    </w:p>
    <w:p w:rsidR="00F772C3" w:rsidRPr="00A31903" w:rsidRDefault="00D912A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i/>
        </w:rPr>
        <w:t xml:space="preserve">            </w:t>
      </w:r>
      <w:r w:rsidR="003565CB" w:rsidRPr="00A31903">
        <w:rPr>
          <w:rFonts w:ascii="Times New Roman" w:hAnsi="Times New Roman" w:cs="Times New Roman"/>
          <w:i/>
        </w:rPr>
        <w:t>Development</w:t>
      </w:r>
      <w:proofErr w:type="gramStart"/>
      <w:r w:rsidR="00480707" w:rsidRPr="00A31903">
        <w:rPr>
          <w:rFonts w:ascii="Times New Roman" w:hAnsi="Times New Roman" w:cs="Times New Roman"/>
          <w:i/>
        </w:rPr>
        <w:t>,</w:t>
      </w:r>
      <w:r w:rsidRPr="00A31903">
        <w:rPr>
          <w:rFonts w:ascii="Times New Roman" w:hAnsi="Times New Roman" w:cs="Times New Roman"/>
          <w:i/>
        </w:rPr>
        <w:t xml:space="preserve"> </w:t>
      </w:r>
      <w:r w:rsidR="00F772C3" w:rsidRPr="00A31903">
        <w:rPr>
          <w:rFonts w:ascii="Times New Roman" w:hAnsi="Times New Roman" w:cs="Times New Roman"/>
          <w:i/>
        </w:rPr>
        <w:t xml:space="preserve"> </w:t>
      </w:r>
      <w:r w:rsidR="00F772C3" w:rsidRPr="00A31903">
        <w:rPr>
          <w:rFonts w:ascii="Times New Roman" w:hAnsi="Times New Roman" w:cs="Times New Roman"/>
        </w:rPr>
        <w:t>Edited</w:t>
      </w:r>
      <w:proofErr w:type="gramEnd"/>
      <w:r w:rsidR="00F772C3" w:rsidRPr="00A31903">
        <w:rPr>
          <w:rFonts w:ascii="Times New Roman" w:hAnsi="Times New Roman" w:cs="Times New Roman"/>
        </w:rPr>
        <w:t xml:space="preserve"> by </w:t>
      </w:r>
      <w:proofErr w:type="spellStart"/>
      <w:r w:rsidR="00F772C3" w:rsidRPr="00A31903">
        <w:rPr>
          <w:rFonts w:ascii="Times New Roman" w:hAnsi="Times New Roman" w:cs="Times New Roman"/>
        </w:rPr>
        <w:t>Toy</w:t>
      </w:r>
      <w:r w:rsidR="009871E2" w:rsidRPr="00A31903">
        <w:rPr>
          <w:rFonts w:ascii="Times New Roman" w:hAnsi="Times New Roman" w:cs="Times New Roman"/>
        </w:rPr>
        <w:t>e</w:t>
      </w:r>
      <w:proofErr w:type="spellEnd"/>
      <w:r w:rsidR="009871E2" w:rsidRPr="00A31903">
        <w:rPr>
          <w:rFonts w:ascii="Times New Roman" w:hAnsi="Times New Roman" w:cs="Times New Roman"/>
        </w:rPr>
        <w:t xml:space="preserve">, J. Frank Cass &amp; Co. Ltd, </w:t>
      </w:r>
      <w:r w:rsidR="00F772C3" w:rsidRPr="00A31903">
        <w:rPr>
          <w:rFonts w:ascii="Times New Roman" w:hAnsi="Times New Roman" w:cs="Times New Roman"/>
        </w:rPr>
        <w:t>13-31.</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proofErr w:type="gramStart"/>
      <w:r w:rsidRPr="00A31903">
        <w:rPr>
          <w:rFonts w:ascii="Times New Roman" w:hAnsi="Times New Roman" w:cs="Times New Roman"/>
        </w:rPr>
        <w:t>Radian, A. (1980)</w:t>
      </w:r>
      <w:r w:rsidR="009871E2" w:rsidRPr="00A31903">
        <w:rPr>
          <w:rFonts w:ascii="Times New Roman" w:hAnsi="Times New Roman" w:cs="Times New Roman"/>
        </w:rPr>
        <w:t>.</w:t>
      </w:r>
      <w:proofErr w:type="gramEnd"/>
      <w:r w:rsidRPr="00A31903">
        <w:rPr>
          <w:rFonts w:ascii="Times New Roman" w:hAnsi="Times New Roman" w:cs="Times New Roman"/>
        </w:rPr>
        <w:t xml:space="preserve">  </w:t>
      </w:r>
      <w:proofErr w:type="gramStart"/>
      <w:r w:rsidRPr="00A31903">
        <w:rPr>
          <w:rFonts w:ascii="Times New Roman" w:hAnsi="Times New Roman" w:cs="Times New Roman"/>
          <w:i/>
        </w:rPr>
        <w:t>Resource Mobilization in Poor Countries</w:t>
      </w:r>
      <w:r w:rsidRPr="00A31903">
        <w:rPr>
          <w:rFonts w:ascii="Times New Roman" w:hAnsi="Times New Roman" w:cs="Times New Roman"/>
        </w:rPr>
        <w:t>, Transaction Publishers.</w:t>
      </w:r>
      <w:proofErr w:type="gramEnd"/>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Snider, L.W. (1996), </w:t>
      </w:r>
      <w:r w:rsidRPr="00A31903">
        <w:rPr>
          <w:rFonts w:ascii="Times New Roman" w:hAnsi="Times New Roman" w:cs="Times New Roman"/>
          <w:i/>
        </w:rPr>
        <w:t xml:space="preserve">Growth, Debt, and Politics: Economic Adjustment and the Political </w:t>
      </w:r>
      <w:r w:rsidRPr="00A31903">
        <w:rPr>
          <w:rFonts w:ascii="Times New Roman" w:hAnsi="Times New Roman" w:cs="Times New Roman"/>
          <w:i/>
        </w:rPr>
        <w:tab/>
        <w:t>Performance of Developing Countries</w:t>
      </w:r>
      <w:r w:rsidRPr="00A31903">
        <w:rPr>
          <w:rFonts w:ascii="Times New Roman" w:hAnsi="Times New Roman" w:cs="Times New Roman"/>
        </w:rPr>
        <w:t xml:space="preserve">, Westview Press, Boulder, CO. </w:t>
      </w:r>
    </w:p>
    <w:p w:rsidR="009871E2" w:rsidRPr="00A31903" w:rsidRDefault="00843E1E" w:rsidP="00821AB4">
      <w:pPr>
        <w:autoSpaceDE w:val="0"/>
        <w:autoSpaceDN w:val="0"/>
        <w:adjustRightInd w:val="0"/>
        <w:spacing w:after="0" w:line="240" w:lineRule="auto"/>
        <w:jc w:val="both"/>
        <w:rPr>
          <w:rFonts w:ascii="Times New Roman" w:hAnsi="Times New Roman" w:cs="Times New Roman"/>
          <w:i/>
        </w:rPr>
      </w:pPr>
      <w:proofErr w:type="spellStart"/>
      <w:r w:rsidRPr="00A31903">
        <w:rPr>
          <w:rFonts w:ascii="Times New Roman" w:hAnsi="Times New Roman" w:cs="Times New Roman"/>
        </w:rPr>
        <w:t>Stotsky</w:t>
      </w:r>
      <w:proofErr w:type="spellEnd"/>
      <w:r w:rsidRPr="00A31903">
        <w:rPr>
          <w:rFonts w:ascii="Times New Roman" w:hAnsi="Times New Roman" w:cs="Times New Roman"/>
        </w:rPr>
        <w:t>, J. G.,</w:t>
      </w:r>
      <w:r w:rsidR="00F772C3" w:rsidRPr="00A31903">
        <w:rPr>
          <w:rFonts w:ascii="Times New Roman" w:hAnsi="Times New Roman" w:cs="Times New Roman"/>
        </w:rPr>
        <w:t xml:space="preserve"> </w:t>
      </w:r>
      <w:proofErr w:type="spellStart"/>
      <w:r w:rsidR="00F772C3" w:rsidRPr="00A31903">
        <w:rPr>
          <w:rFonts w:ascii="Times New Roman" w:hAnsi="Times New Roman" w:cs="Times New Roman"/>
        </w:rPr>
        <w:t>WoldeMariam</w:t>
      </w:r>
      <w:proofErr w:type="spellEnd"/>
      <w:r w:rsidR="009871E2" w:rsidRPr="00A31903">
        <w:rPr>
          <w:rFonts w:ascii="Times New Roman" w:hAnsi="Times New Roman" w:cs="Times New Roman"/>
        </w:rPr>
        <w:t xml:space="preserve">, A. (1997). </w:t>
      </w:r>
      <w:proofErr w:type="gramStart"/>
      <w:r w:rsidR="00F772C3" w:rsidRPr="00A31903">
        <w:rPr>
          <w:rFonts w:ascii="Times New Roman" w:hAnsi="Times New Roman" w:cs="Times New Roman"/>
        </w:rPr>
        <w:t>Tax effort in s</w:t>
      </w:r>
      <w:r w:rsidR="00480707" w:rsidRPr="00A31903">
        <w:rPr>
          <w:rFonts w:ascii="Times New Roman" w:hAnsi="Times New Roman" w:cs="Times New Roman"/>
        </w:rPr>
        <w:t>ub-S</w:t>
      </w:r>
      <w:r w:rsidR="009871E2" w:rsidRPr="00A31903">
        <w:rPr>
          <w:rFonts w:ascii="Times New Roman" w:hAnsi="Times New Roman" w:cs="Times New Roman"/>
        </w:rPr>
        <w:t>aharan Africa.</w:t>
      </w:r>
      <w:proofErr w:type="gramEnd"/>
      <w:r w:rsidR="00F772C3" w:rsidRPr="00A31903">
        <w:rPr>
          <w:rFonts w:ascii="Times New Roman" w:hAnsi="Times New Roman" w:cs="Times New Roman"/>
        </w:rPr>
        <w:t xml:space="preserve"> </w:t>
      </w:r>
      <w:r w:rsidR="009871E2" w:rsidRPr="00A31903">
        <w:rPr>
          <w:rFonts w:ascii="Times New Roman" w:hAnsi="Times New Roman" w:cs="Times New Roman"/>
          <w:i/>
        </w:rPr>
        <w:t xml:space="preserve">IMF Working </w:t>
      </w:r>
    </w:p>
    <w:p w:rsidR="00F772C3" w:rsidRPr="00A31903" w:rsidRDefault="009871E2"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i/>
        </w:rPr>
        <w:t xml:space="preserve">            </w:t>
      </w:r>
      <w:r w:rsidR="00F772C3" w:rsidRPr="00A31903">
        <w:rPr>
          <w:rFonts w:ascii="Times New Roman" w:hAnsi="Times New Roman" w:cs="Times New Roman"/>
          <w:i/>
        </w:rPr>
        <w:t>Paper</w:t>
      </w:r>
      <w:proofErr w:type="gramStart"/>
      <w:r w:rsidRPr="00A31903">
        <w:rPr>
          <w:rFonts w:ascii="Times New Roman" w:hAnsi="Times New Roman" w:cs="Times New Roman"/>
          <w:i/>
        </w:rPr>
        <w:t>,</w:t>
      </w:r>
      <w:r w:rsidRPr="00A31903">
        <w:rPr>
          <w:rFonts w:ascii="Times New Roman" w:hAnsi="Times New Roman" w:cs="Times New Roman"/>
        </w:rPr>
        <w:t xml:space="preserve"> </w:t>
      </w:r>
      <w:r w:rsidR="00F772C3" w:rsidRPr="00A31903">
        <w:rPr>
          <w:rFonts w:ascii="Times New Roman" w:hAnsi="Times New Roman" w:cs="Times New Roman"/>
        </w:rPr>
        <w:t xml:space="preserve"> No</w:t>
      </w:r>
      <w:proofErr w:type="gramEnd"/>
      <w:r w:rsidR="00F772C3" w:rsidRPr="00A31903">
        <w:rPr>
          <w:rFonts w:ascii="Times New Roman" w:hAnsi="Times New Roman" w:cs="Times New Roman"/>
        </w:rPr>
        <w:t>: 107, September.</w:t>
      </w:r>
    </w:p>
    <w:p w:rsidR="00445422" w:rsidRPr="00A31903" w:rsidRDefault="00BD3576"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Tait</w:t>
      </w:r>
      <w:proofErr w:type="spellEnd"/>
      <w:r w:rsidRPr="00A31903">
        <w:rPr>
          <w:rFonts w:ascii="Times New Roman" w:hAnsi="Times New Roman" w:cs="Times New Roman"/>
        </w:rPr>
        <w:t>,</w:t>
      </w:r>
      <w:r w:rsidR="00032CF9" w:rsidRPr="00A31903">
        <w:rPr>
          <w:rFonts w:ascii="Times New Roman" w:hAnsi="Times New Roman" w:cs="Times New Roman"/>
        </w:rPr>
        <w:t xml:space="preserve"> A.,</w:t>
      </w:r>
      <w:r w:rsidRPr="00A31903">
        <w:rPr>
          <w:rFonts w:ascii="Times New Roman" w:hAnsi="Times New Roman" w:cs="Times New Roman"/>
        </w:rPr>
        <w:t xml:space="preserve"> </w:t>
      </w:r>
      <w:proofErr w:type="spellStart"/>
      <w:r w:rsidRPr="00A31903">
        <w:rPr>
          <w:rFonts w:ascii="Times New Roman" w:hAnsi="Times New Roman" w:cs="Times New Roman"/>
        </w:rPr>
        <w:t>Gratz</w:t>
      </w:r>
      <w:proofErr w:type="spellEnd"/>
      <w:r w:rsidR="00445422" w:rsidRPr="00A31903">
        <w:rPr>
          <w:rFonts w:ascii="Times New Roman" w:hAnsi="Times New Roman" w:cs="Times New Roman"/>
        </w:rPr>
        <w:t>, W.,</w:t>
      </w:r>
      <w:r w:rsidR="00843E1E" w:rsidRPr="00A31903">
        <w:rPr>
          <w:rFonts w:ascii="Times New Roman" w:hAnsi="Times New Roman" w:cs="Times New Roman"/>
        </w:rPr>
        <w:t xml:space="preserve"> </w:t>
      </w:r>
      <w:proofErr w:type="spellStart"/>
      <w:r w:rsidR="00F772C3" w:rsidRPr="00A31903">
        <w:rPr>
          <w:rFonts w:ascii="Times New Roman" w:hAnsi="Times New Roman" w:cs="Times New Roman"/>
        </w:rPr>
        <w:t>Eichengreen</w:t>
      </w:r>
      <w:proofErr w:type="spellEnd"/>
      <w:r w:rsidR="00F772C3" w:rsidRPr="00A31903">
        <w:rPr>
          <w:rFonts w:ascii="Times New Roman" w:hAnsi="Times New Roman" w:cs="Times New Roman"/>
        </w:rPr>
        <w:t>,</w:t>
      </w:r>
      <w:r w:rsidR="00032CF9" w:rsidRPr="00A31903">
        <w:rPr>
          <w:rFonts w:ascii="Times New Roman" w:hAnsi="Times New Roman" w:cs="Times New Roman"/>
        </w:rPr>
        <w:t xml:space="preserve"> B.</w:t>
      </w:r>
      <w:r w:rsidR="00F772C3" w:rsidRPr="00A31903">
        <w:rPr>
          <w:rFonts w:ascii="Times New Roman" w:hAnsi="Times New Roman" w:cs="Times New Roman"/>
        </w:rPr>
        <w:t xml:space="preserve"> (1979), “International comparisons of taxation for </w:t>
      </w:r>
    </w:p>
    <w:p w:rsidR="00D912A3" w:rsidRPr="00A31903" w:rsidRDefault="00445422"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Selected </w:t>
      </w:r>
      <w:r w:rsidR="00F772C3" w:rsidRPr="00A31903">
        <w:rPr>
          <w:rFonts w:ascii="Times New Roman" w:hAnsi="Times New Roman" w:cs="Times New Roman"/>
        </w:rPr>
        <w:t>developing countries, 1972-1976”,</w:t>
      </w:r>
      <w:r w:rsidR="00D912A3" w:rsidRPr="00A31903">
        <w:rPr>
          <w:rFonts w:ascii="Times New Roman" w:hAnsi="Times New Roman" w:cs="Times New Roman"/>
        </w:rPr>
        <w:t xml:space="preserve"> Working Paper, </w:t>
      </w:r>
      <w:r w:rsidR="009C57B9" w:rsidRPr="00A31903">
        <w:rPr>
          <w:rFonts w:ascii="Times New Roman" w:hAnsi="Times New Roman" w:cs="Times New Roman"/>
        </w:rPr>
        <w:t>IMF</w:t>
      </w:r>
      <w:r w:rsidR="00F772C3" w:rsidRPr="00A31903">
        <w:rPr>
          <w:rFonts w:ascii="Times New Roman" w:hAnsi="Times New Roman" w:cs="Times New Roman"/>
        </w:rPr>
        <w:t xml:space="preserve"> Staff P</w:t>
      </w:r>
      <w:r w:rsidR="009C57B9" w:rsidRPr="00A31903">
        <w:rPr>
          <w:rFonts w:ascii="Times New Roman" w:hAnsi="Times New Roman" w:cs="Times New Roman"/>
        </w:rPr>
        <w:t xml:space="preserve">apers, </w:t>
      </w:r>
      <w:r w:rsidR="00F772C3" w:rsidRPr="00A31903">
        <w:rPr>
          <w:rFonts w:ascii="Times New Roman" w:hAnsi="Times New Roman" w:cs="Times New Roman"/>
          <w:i/>
        </w:rPr>
        <w:t>26</w:t>
      </w:r>
      <w:r w:rsidR="009871E2" w:rsidRPr="00A31903">
        <w:rPr>
          <w:rFonts w:ascii="Times New Roman" w:hAnsi="Times New Roman" w:cs="Times New Roman"/>
          <w:i/>
        </w:rPr>
        <w:t xml:space="preserve"> </w:t>
      </w:r>
      <w:r w:rsidR="009871E2" w:rsidRPr="00A31903">
        <w:rPr>
          <w:rFonts w:ascii="Times New Roman" w:hAnsi="Times New Roman" w:cs="Times New Roman"/>
        </w:rPr>
        <w:t>(</w:t>
      </w:r>
      <w:r w:rsidR="00480707" w:rsidRPr="00A31903">
        <w:rPr>
          <w:rFonts w:ascii="Times New Roman" w:hAnsi="Times New Roman" w:cs="Times New Roman"/>
        </w:rPr>
        <w:t>1</w:t>
      </w:r>
      <w:r w:rsidR="009871E2" w:rsidRPr="00A31903">
        <w:rPr>
          <w:rFonts w:ascii="Times New Roman" w:hAnsi="Times New Roman" w:cs="Times New Roman"/>
        </w:rPr>
        <w:t>)</w:t>
      </w:r>
      <w:r w:rsidR="00480707" w:rsidRPr="00A31903">
        <w:rPr>
          <w:rFonts w:ascii="Times New Roman" w:hAnsi="Times New Roman" w:cs="Times New Roman"/>
        </w:rPr>
        <w:t>,</w:t>
      </w:r>
    </w:p>
    <w:p w:rsidR="00F772C3" w:rsidRPr="00A31903" w:rsidRDefault="00D912A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 xml:space="preserve">            </w:t>
      </w:r>
      <w:proofErr w:type="gramStart"/>
      <w:r w:rsidR="00F772C3" w:rsidRPr="00A31903">
        <w:rPr>
          <w:rFonts w:ascii="Times New Roman" w:hAnsi="Times New Roman" w:cs="Times New Roman"/>
        </w:rPr>
        <w:t>123-56.</w:t>
      </w:r>
      <w:proofErr w:type="gramEnd"/>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proofErr w:type="spellStart"/>
      <w:proofErr w:type="gramStart"/>
      <w:r w:rsidRPr="00A31903">
        <w:rPr>
          <w:rFonts w:ascii="Times New Roman" w:hAnsi="Times New Roman" w:cs="Times New Roman"/>
        </w:rPr>
        <w:t>Tanzi</w:t>
      </w:r>
      <w:proofErr w:type="spellEnd"/>
      <w:r w:rsidRPr="00A31903">
        <w:rPr>
          <w:rFonts w:ascii="Times New Roman" w:hAnsi="Times New Roman" w:cs="Times New Roman"/>
        </w:rPr>
        <w:t>, V. (1987)</w:t>
      </w:r>
      <w:r w:rsidR="009871E2" w:rsidRPr="00A31903">
        <w:rPr>
          <w:rFonts w:ascii="Times New Roman" w:hAnsi="Times New Roman" w:cs="Times New Roman"/>
        </w:rPr>
        <w:t>.</w:t>
      </w:r>
      <w:proofErr w:type="gramEnd"/>
      <w:r w:rsidR="009871E2" w:rsidRPr="00A31903">
        <w:rPr>
          <w:rFonts w:ascii="Times New Roman" w:hAnsi="Times New Roman" w:cs="Times New Roman"/>
        </w:rPr>
        <w:t xml:space="preserve"> </w:t>
      </w:r>
      <w:r w:rsidRPr="00A31903">
        <w:rPr>
          <w:rFonts w:ascii="Times New Roman" w:hAnsi="Times New Roman" w:cs="Times New Roman"/>
        </w:rPr>
        <w:t>Quantitative characteristics of the tax systems of developing c</w:t>
      </w:r>
      <w:r w:rsidR="009871E2" w:rsidRPr="00A31903">
        <w:rPr>
          <w:rFonts w:ascii="Times New Roman" w:hAnsi="Times New Roman" w:cs="Times New Roman"/>
        </w:rPr>
        <w:t>ountries</w:t>
      </w:r>
      <w:r w:rsidRPr="00A31903">
        <w:rPr>
          <w:rFonts w:ascii="Times New Roman" w:hAnsi="Times New Roman" w:cs="Times New Roman"/>
        </w:rPr>
        <w:t>,</w:t>
      </w:r>
    </w:p>
    <w:p w:rsidR="00F772C3" w:rsidRPr="00A31903" w:rsidRDefault="00F772C3" w:rsidP="00821AB4">
      <w:pPr>
        <w:autoSpaceDE w:val="0"/>
        <w:autoSpaceDN w:val="0"/>
        <w:adjustRightInd w:val="0"/>
        <w:spacing w:after="0" w:line="240" w:lineRule="auto"/>
        <w:ind w:left="720"/>
        <w:jc w:val="both"/>
        <w:rPr>
          <w:rFonts w:ascii="Times New Roman" w:hAnsi="Times New Roman" w:cs="Times New Roman"/>
        </w:rPr>
      </w:pPr>
      <w:proofErr w:type="gramStart"/>
      <w:r w:rsidRPr="00A31903">
        <w:rPr>
          <w:rFonts w:ascii="Times New Roman" w:hAnsi="Times New Roman" w:cs="Times New Roman"/>
        </w:rPr>
        <w:t>in</w:t>
      </w:r>
      <w:proofErr w:type="gramEnd"/>
      <w:r w:rsidRPr="00A31903">
        <w:rPr>
          <w:rFonts w:ascii="Times New Roman" w:hAnsi="Times New Roman" w:cs="Times New Roman"/>
        </w:rPr>
        <w:t xml:space="preserve"> </w:t>
      </w:r>
      <w:r w:rsidRPr="00A31903">
        <w:rPr>
          <w:rFonts w:ascii="Times New Roman" w:hAnsi="Times New Roman" w:cs="Times New Roman"/>
          <w:i/>
        </w:rPr>
        <w:t>The Theory of Taxation for Developing Countries</w:t>
      </w:r>
      <w:r w:rsidRPr="00A31903">
        <w:rPr>
          <w:rFonts w:ascii="Times New Roman" w:hAnsi="Times New Roman" w:cs="Times New Roman"/>
        </w:rPr>
        <w:t>, ed. by David Newbery and Nicholas Stern (New York: Oxford Universi</w:t>
      </w:r>
      <w:r w:rsidR="009871E2" w:rsidRPr="00A31903">
        <w:rPr>
          <w:rFonts w:ascii="Times New Roman" w:hAnsi="Times New Roman" w:cs="Times New Roman"/>
        </w:rPr>
        <w:t xml:space="preserve">ty Press), </w:t>
      </w:r>
      <w:r w:rsidRPr="00A31903">
        <w:rPr>
          <w:rFonts w:ascii="Times New Roman" w:hAnsi="Times New Roman" w:cs="Times New Roman"/>
        </w:rPr>
        <w:t>205-41.</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proofErr w:type="spellStart"/>
      <w:proofErr w:type="gramStart"/>
      <w:r w:rsidRPr="00A31903">
        <w:rPr>
          <w:rFonts w:ascii="Times New Roman" w:hAnsi="Times New Roman" w:cs="Times New Roman"/>
        </w:rPr>
        <w:t>Tanzi</w:t>
      </w:r>
      <w:proofErr w:type="spellEnd"/>
      <w:r w:rsidRPr="00A31903">
        <w:rPr>
          <w:rFonts w:ascii="Times New Roman" w:hAnsi="Times New Roman" w:cs="Times New Roman"/>
        </w:rPr>
        <w:t>, V. (1992)</w:t>
      </w:r>
      <w:r w:rsidR="009871E2" w:rsidRPr="00A31903">
        <w:rPr>
          <w:rFonts w:ascii="Times New Roman" w:hAnsi="Times New Roman" w:cs="Times New Roman"/>
        </w:rPr>
        <w:t>.</w:t>
      </w:r>
      <w:proofErr w:type="gramEnd"/>
      <w:r w:rsidRPr="00A31903">
        <w:rPr>
          <w:rFonts w:ascii="Times New Roman" w:hAnsi="Times New Roman" w:cs="Times New Roman"/>
        </w:rPr>
        <w:t xml:space="preserve"> Structural factors and tax revenue in developing countries: A Decade of</w:t>
      </w:r>
      <w:r w:rsidRPr="00A31903">
        <w:rPr>
          <w:rFonts w:ascii="Times New Roman" w:hAnsi="Times New Roman" w:cs="Times New Roman"/>
        </w:rPr>
        <w:tab/>
      </w:r>
    </w:p>
    <w:p w:rsidR="00F772C3" w:rsidRPr="00A31903" w:rsidRDefault="00F772C3" w:rsidP="00821AB4">
      <w:pPr>
        <w:autoSpaceDE w:val="0"/>
        <w:autoSpaceDN w:val="0"/>
        <w:adjustRightInd w:val="0"/>
        <w:spacing w:after="0" w:line="240" w:lineRule="auto"/>
        <w:ind w:left="720"/>
        <w:jc w:val="both"/>
        <w:rPr>
          <w:rFonts w:ascii="Times New Roman" w:hAnsi="Times New Roman" w:cs="Times New Roman"/>
        </w:rPr>
      </w:pPr>
      <w:proofErr w:type="gramStart"/>
      <w:r w:rsidRPr="00A31903">
        <w:rPr>
          <w:rFonts w:ascii="Times New Roman" w:hAnsi="Times New Roman" w:cs="Times New Roman"/>
        </w:rPr>
        <w:t>E</w:t>
      </w:r>
      <w:r w:rsidR="009871E2" w:rsidRPr="00A31903">
        <w:rPr>
          <w:rFonts w:ascii="Times New Roman" w:hAnsi="Times New Roman" w:cs="Times New Roman"/>
        </w:rPr>
        <w:t>vidence</w:t>
      </w:r>
      <w:r w:rsidRPr="00A31903">
        <w:rPr>
          <w:rFonts w:ascii="Times New Roman" w:hAnsi="Times New Roman" w:cs="Times New Roman"/>
        </w:rPr>
        <w:t xml:space="preserve">, in Open Economies: </w:t>
      </w:r>
      <w:r w:rsidRPr="00A31903">
        <w:rPr>
          <w:rFonts w:ascii="Times New Roman" w:hAnsi="Times New Roman" w:cs="Times New Roman"/>
          <w:i/>
        </w:rPr>
        <w:t>Structural Adjustment and Agriculture</w:t>
      </w:r>
      <w:r w:rsidRPr="00A31903">
        <w:rPr>
          <w:rFonts w:ascii="Times New Roman" w:hAnsi="Times New Roman" w:cs="Times New Roman"/>
        </w:rPr>
        <w:t>.</w:t>
      </w:r>
      <w:proofErr w:type="gramEnd"/>
      <w:r w:rsidRPr="00A31903">
        <w:rPr>
          <w:rFonts w:ascii="Times New Roman" w:hAnsi="Times New Roman" w:cs="Times New Roman"/>
        </w:rPr>
        <w:t xml:space="preserve"> I. </w:t>
      </w:r>
      <w:proofErr w:type="spellStart"/>
      <w:r w:rsidRPr="00A31903">
        <w:rPr>
          <w:rFonts w:ascii="Times New Roman" w:hAnsi="Times New Roman" w:cs="Times New Roman"/>
        </w:rPr>
        <w:t>Goldin</w:t>
      </w:r>
      <w:proofErr w:type="spellEnd"/>
      <w:r w:rsidRPr="00A31903">
        <w:rPr>
          <w:rFonts w:ascii="Times New Roman" w:hAnsi="Times New Roman" w:cs="Times New Roman"/>
        </w:rPr>
        <w:t xml:space="preserve"> and L. A. Winters eds. Cambridge: Cambridge University Press.</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proofErr w:type="spellStart"/>
      <w:proofErr w:type="gramStart"/>
      <w:r w:rsidRPr="00A31903">
        <w:rPr>
          <w:rFonts w:ascii="Times New Roman" w:hAnsi="Times New Roman" w:cs="Times New Roman"/>
        </w:rPr>
        <w:t>Tanzi</w:t>
      </w:r>
      <w:proofErr w:type="spellEnd"/>
      <w:r w:rsidRPr="00A31903">
        <w:rPr>
          <w:rFonts w:ascii="Times New Roman" w:hAnsi="Times New Roman" w:cs="Times New Roman"/>
        </w:rPr>
        <w:t>, V.</w:t>
      </w:r>
      <w:r w:rsidR="00E27A7A" w:rsidRPr="00A31903">
        <w:rPr>
          <w:rFonts w:ascii="Times New Roman" w:hAnsi="Times New Roman" w:cs="Times New Roman"/>
        </w:rPr>
        <w:t>,</w:t>
      </w:r>
      <w:r w:rsidR="00843E1E" w:rsidRPr="00A31903">
        <w:rPr>
          <w:rFonts w:ascii="Times New Roman" w:hAnsi="Times New Roman" w:cs="Times New Roman"/>
        </w:rPr>
        <w:t xml:space="preserve"> </w:t>
      </w:r>
      <w:r w:rsidRPr="00A31903">
        <w:rPr>
          <w:rFonts w:ascii="Times New Roman" w:hAnsi="Times New Roman" w:cs="Times New Roman"/>
        </w:rPr>
        <w:t>Hamid D. (1997)</w:t>
      </w:r>
      <w:r w:rsidR="005106B0" w:rsidRPr="00A31903">
        <w:rPr>
          <w:rFonts w:ascii="Times New Roman" w:hAnsi="Times New Roman" w:cs="Times New Roman"/>
        </w:rPr>
        <w:t>.</w:t>
      </w:r>
      <w:proofErr w:type="gramEnd"/>
      <w:r w:rsidRPr="00A31903">
        <w:rPr>
          <w:rFonts w:ascii="Times New Roman" w:hAnsi="Times New Roman" w:cs="Times New Roman"/>
        </w:rPr>
        <w:t xml:space="preserve"> </w:t>
      </w:r>
      <w:proofErr w:type="gramStart"/>
      <w:r w:rsidRPr="00A31903">
        <w:rPr>
          <w:rFonts w:ascii="Times New Roman" w:hAnsi="Times New Roman" w:cs="Times New Roman"/>
        </w:rPr>
        <w:t>Corruption,</w:t>
      </w:r>
      <w:r w:rsidR="005106B0" w:rsidRPr="00A31903">
        <w:rPr>
          <w:rFonts w:ascii="Times New Roman" w:hAnsi="Times New Roman" w:cs="Times New Roman"/>
        </w:rPr>
        <w:t xml:space="preserve"> Public Investment, and Growth.</w:t>
      </w:r>
      <w:proofErr w:type="gramEnd"/>
      <w:r w:rsidRPr="00A31903">
        <w:rPr>
          <w:rFonts w:ascii="Times New Roman" w:hAnsi="Times New Roman" w:cs="Times New Roman"/>
        </w:rPr>
        <w:t xml:space="preserve">  </w:t>
      </w:r>
      <w:r w:rsidRPr="00A31903">
        <w:rPr>
          <w:rFonts w:ascii="Times New Roman" w:hAnsi="Times New Roman" w:cs="Times New Roman"/>
          <w:i/>
        </w:rPr>
        <w:t>IMF</w:t>
      </w:r>
      <w:r w:rsidR="00480707" w:rsidRPr="00A31903">
        <w:rPr>
          <w:rFonts w:ascii="Times New Roman" w:hAnsi="Times New Roman" w:cs="Times New Roman"/>
        </w:rPr>
        <w:t>,</w:t>
      </w:r>
    </w:p>
    <w:p w:rsidR="00F772C3" w:rsidRPr="00A31903" w:rsidRDefault="00F772C3" w:rsidP="00821AB4">
      <w:pPr>
        <w:autoSpaceDE w:val="0"/>
        <w:autoSpaceDN w:val="0"/>
        <w:adjustRightInd w:val="0"/>
        <w:spacing w:after="0" w:line="240" w:lineRule="auto"/>
        <w:ind w:firstLine="720"/>
        <w:jc w:val="both"/>
        <w:rPr>
          <w:rFonts w:ascii="Times New Roman" w:hAnsi="Times New Roman" w:cs="Times New Roman"/>
        </w:rPr>
      </w:pPr>
      <w:r w:rsidRPr="00A31903">
        <w:rPr>
          <w:rFonts w:ascii="Times New Roman" w:hAnsi="Times New Roman" w:cs="Times New Roman"/>
        </w:rPr>
        <w:t>Washington, DC.</w:t>
      </w:r>
    </w:p>
    <w:p w:rsidR="00F772C3" w:rsidRPr="00A31903" w:rsidRDefault="005106B0"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lastRenderedPageBreak/>
        <w:t>Thimmaiah</w:t>
      </w:r>
      <w:proofErr w:type="spellEnd"/>
      <w:r w:rsidRPr="00A31903">
        <w:rPr>
          <w:rFonts w:ascii="Times New Roman" w:hAnsi="Times New Roman" w:cs="Times New Roman"/>
        </w:rPr>
        <w:t>, G. (1976).</w:t>
      </w:r>
      <w:r w:rsidR="00F772C3" w:rsidRPr="00A31903">
        <w:rPr>
          <w:rFonts w:ascii="Times New Roman" w:hAnsi="Times New Roman" w:cs="Times New Roman"/>
        </w:rPr>
        <w:t xml:space="preserve"> Inter-state tax e</w:t>
      </w:r>
      <w:r w:rsidRPr="00A31903">
        <w:rPr>
          <w:rFonts w:ascii="Times New Roman" w:hAnsi="Times New Roman" w:cs="Times New Roman"/>
        </w:rPr>
        <w:t>ffort: A comment.</w:t>
      </w:r>
      <w:r w:rsidR="00F772C3" w:rsidRPr="00A31903">
        <w:rPr>
          <w:rFonts w:ascii="Times New Roman" w:hAnsi="Times New Roman" w:cs="Times New Roman"/>
        </w:rPr>
        <w:t xml:space="preserve"> </w:t>
      </w:r>
      <w:r w:rsidR="00F772C3" w:rsidRPr="00A31903">
        <w:rPr>
          <w:rFonts w:ascii="Times New Roman" w:hAnsi="Times New Roman" w:cs="Times New Roman"/>
          <w:i/>
        </w:rPr>
        <w:t>Economic and Political Weekly</w:t>
      </w:r>
      <w:r w:rsidR="00F772C3" w:rsidRPr="00A31903">
        <w:rPr>
          <w:rFonts w:ascii="Times New Roman" w:hAnsi="Times New Roman" w:cs="Times New Roman"/>
        </w:rPr>
        <w:t xml:space="preserve">, </w:t>
      </w:r>
      <w:r w:rsidR="00F772C3" w:rsidRPr="00A31903">
        <w:rPr>
          <w:rFonts w:ascii="Times New Roman" w:hAnsi="Times New Roman" w:cs="Times New Roman"/>
        </w:rPr>
        <w:tab/>
      </w:r>
      <w:r w:rsidR="00F772C3" w:rsidRPr="00A31903">
        <w:rPr>
          <w:rFonts w:ascii="Times New Roman" w:hAnsi="Times New Roman" w:cs="Times New Roman"/>
          <w:i/>
        </w:rPr>
        <w:t>11</w:t>
      </w:r>
      <w:r w:rsidRPr="00A31903">
        <w:rPr>
          <w:rFonts w:ascii="Times New Roman" w:hAnsi="Times New Roman" w:cs="Times New Roman"/>
        </w:rPr>
        <w:t xml:space="preserve"> (3)</w:t>
      </w:r>
      <w:r w:rsidR="00F772C3" w:rsidRPr="00A31903">
        <w:rPr>
          <w:rFonts w:ascii="Times New Roman" w:hAnsi="Times New Roman" w:cs="Times New Roman"/>
        </w:rPr>
        <w:t>, 1513-1516.</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Toye</w:t>
      </w:r>
      <w:proofErr w:type="spellEnd"/>
      <w:r w:rsidRPr="00A31903">
        <w:rPr>
          <w:rFonts w:ascii="Times New Roman" w:hAnsi="Times New Roman" w:cs="Times New Roman"/>
        </w:rPr>
        <w:t>, J.F.J. (1978</w:t>
      </w:r>
      <w:r w:rsidR="005106B0" w:rsidRPr="00A31903">
        <w:rPr>
          <w:rFonts w:ascii="Times New Roman" w:hAnsi="Times New Roman" w:cs="Times New Roman"/>
        </w:rPr>
        <w:t>).</w:t>
      </w:r>
      <w:r w:rsidRPr="00A31903">
        <w:rPr>
          <w:rFonts w:ascii="Times New Roman" w:hAnsi="Times New Roman" w:cs="Times New Roman"/>
        </w:rPr>
        <w:t xml:space="preserve"> </w:t>
      </w:r>
      <w:proofErr w:type="gramStart"/>
      <w:r w:rsidRPr="00A31903">
        <w:rPr>
          <w:rFonts w:ascii="Times New Roman" w:hAnsi="Times New Roman" w:cs="Times New Roman"/>
          <w:i/>
        </w:rPr>
        <w:t>Taxation and Economic Development</w:t>
      </w:r>
      <w:r w:rsidR="005106B0" w:rsidRPr="00A31903">
        <w:rPr>
          <w:rFonts w:ascii="Times New Roman" w:hAnsi="Times New Roman" w:cs="Times New Roman"/>
          <w:i/>
        </w:rPr>
        <w:t>.</w:t>
      </w:r>
      <w:proofErr w:type="gramEnd"/>
      <w:r w:rsidR="005106B0" w:rsidRPr="00A31903">
        <w:rPr>
          <w:rFonts w:ascii="Times New Roman" w:hAnsi="Times New Roman" w:cs="Times New Roman"/>
          <w:i/>
        </w:rPr>
        <w:t xml:space="preserve"> </w:t>
      </w:r>
      <w:r w:rsidRPr="00A31903">
        <w:rPr>
          <w:rFonts w:ascii="Times New Roman" w:hAnsi="Times New Roman" w:cs="Times New Roman"/>
        </w:rPr>
        <w:t>Frank Cass &amp; Co. Ltd.</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Tru</w:t>
      </w:r>
      <w:r w:rsidR="00843E1E" w:rsidRPr="00A31903">
        <w:rPr>
          <w:rFonts w:ascii="Times New Roman" w:hAnsi="Times New Roman" w:cs="Times New Roman"/>
        </w:rPr>
        <w:t>ong, T.V.,</w:t>
      </w:r>
      <w:r w:rsidR="005106B0" w:rsidRPr="00A31903">
        <w:rPr>
          <w:rFonts w:ascii="Times New Roman" w:hAnsi="Times New Roman" w:cs="Times New Roman"/>
        </w:rPr>
        <w:t xml:space="preserve"> Gash, D.N. (1979).</w:t>
      </w:r>
      <w:r w:rsidRPr="00A31903">
        <w:rPr>
          <w:rFonts w:ascii="Times New Roman" w:hAnsi="Times New Roman" w:cs="Times New Roman"/>
        </w:rPr>
        <w:t xml:space="preserve"> Less-developed countries’ taxable capacity and </w:t>
      </w:r>
    </w:p>
    <w:p w:rsidR="00F772C3" w:rsidRPr="00A31903" w:rsidRDefault="00F772C3" w:rsidP="00821AB4">
      <w:pPr>
        <w:autoSpaceDE w:val="0"/>
        <w:autoSpaceDN w:val="0"/>
        <w:adjustRightInd w:val="0"/>
        <w:spacing w:after="0" w:line="240" w:lineRule="auto"/>
        <w:jc w:val="both"/>
        <w:rPr>
          <w:rFonts w:ascii="Times New Roman" w:hAnsi="Times New Roman" w:cs="Times New Roman"/>
          <w:i/>
        </w:rPr>
      </w:pPr>
      <w:r w:rsidRPr="00A31903">
        <w:rPr>
          <w:rFonts w:ascii="Times New Roman" w:hAnsi="Times New Roman" w:cs="Times New Roman"/>
        </w:rPr>
        <w:t xml:space="preserve">             </w:t>
      </w:r>
      <w:proofErr w:type="gramStart"/>
      <w:r w:rsidRPr="00A31903">
        <w:rPr>
          <w:rFonts w:ascii="Times New Roman" w:hAnsi="Times New Roman" w:cs="Times New Roman"/>
        </w:rPr>
        <w:t>economic</w:t>
      </w:r>
      <w:proofErr w:type="gramEnd"/>
      <w:r w:rsidRPr="00A31903">
        <w:rPr>
          <w:rFonts w:ascii="Times New Roman" w:hAnsi="Times New Roman" w:cs="Times New Roman"/>
        </w:rPr>
        <w:t xml:space="preserve"> integrat</w:t>
      </w:r>
      <w:r w:rsidR="00480707" w:rsidRPr="00A31903">
        <w:rPr>
          <w:rFonts w:ascii="Times New Roman" w:hAnsi="Times New Roman" w:cs="Times New Roman"/>
        </w:rPr>
        <w:t>ion: A Cross-sectional a</w:t>
      </w:r>
      <w:r w:rsidR="005106B0" w:rsidRPr="00A31903">
        <w:rPr>
          <w:rFonts w:ascii="Times New Roman" w:hAnsi="Times New Roman" w:cs="Times New Roman"/>
        </w:rPr>
        <w:t>nalysis.</w:t>
      </w:r>
      <w:r w:rsidRPr="00A31903">
        <w:rPr>
          <w:rFonts w:ascii="Times New Roman" w:hAnsi="Times New Roman" w:cs="Times New Roman"/>
        </w:rPr>
        <w:t xml:space="preserve"> </w:t>
      </w:r>
      <w:r w:rsidRPr="00A31903">
        <w:rPr>
          <w:rFonts w:ascii="Times New Roman" w:hAnsi="Times New Roman" w:cs="Times New Roman"/>
          <w:i/>
        </w:rPr>
        <w:t xml:space="preserve">The Review of Economics and </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i/>
        </w:rPr>
        <w:t xml:space="preserve">             </w:t>
      </w:r>
      <w:proofErr w:type="gramStart"/>
      <w:r w:rsidRPr="00A31903">
        <w:rPr>
          <w:rFonts w:ascii="Times New Roman" w:hAnsi="Times New Roman" w:cs="Times New Roman"/>
          <w:i/>
        </w:rPr>
        <w:t>Statistics</w:t>
      </w:r>
      <w:r w:rsidR="005106B0" w:rsidRPr="00A31903">
        <w:rPr>
          <w:rFonts w:ascii="Times New Roman" w:hAnsi="Times New Roman" w:cs="Times New Roman"/>
        </w:rPr>
        <w:t xml:space="preserve">, </w:t>
      </w:r>
      <w:r w:rsidR="009C57B9" w:rsidRPr="00A31903">
        <w:rPr>
          <w:rFonts w:ascii="Times New Roman" w:hAnsi="Times New Roman" w:cs="Times New Roman"/>
          <w:i/>
        </w:rPr>
        <w:t>61</w:t>
      </w:r>
      <w:r w:rsidR="005106B0" w:rsidRPr="00A31903">
        <w:rPr>
          <w:rFonts w:ascii="Times New Roman" w:hAnsi="Times New Roman" w:cs="Times New Roman"/>
        </w:rPr>
        <w:t>(</w:t>
      </w:r>
      <w:r w:rsidRPr="00A31903">
        <w:rPr>
          <w:rFonts w:ascii="Times New Roman" w:hAnsi="Times New Roman" w:cs="Times New Roman"/>
        </w:rPr>
        <w:t>2</w:t>
      </w:r>
      <w:r w:rsidR="005106B0" w:rsidRPr="00A31903">
        <w:rPr>
          <w:rFonts w:ascii="Times New Roman" w:hAnsi="Times New Roman" w:cs="Times New Roman"/>
        </w:rPr>
        <w:t>)</w:t>
      </w:r>
      <w:r w:rsidRPr="00A31903">
        <w:rPr>
          <w:rFonts w:ascii="Times New Roman" w:hAnsi="Times New Roman" w:cs="Times New Roman"/>
        </w:rPr>
        <w:t>,</w:t>
      </w:r>
      <w:r w:rsidR="005106B0" w:rsidRPr="00A31903">
        <w:rPr>
          <w:rFonts w:ascii="Times New Roman" w:hAnsi="Times New Roman" w:cs="Times New Roman"/>
        </w:rPr>
        <w:t xml:space="preserve"> 312-</w:t>
      </w:r>
      <w:r w:rsidRPr="00A31903">
        <w:rPr>
          <w:rFonts w:ascii="Times New Roman" w:hAnsi="Times New Roman" w:cs="Times New Roman"/>
        </w:rPr>
        <w:t>16.</w:t>
      </w:r>
      <w:proofErr w:type="gramEnd"/>
    </w:p>
    <w:p w:rsidR="00E27A7A" w:rsidRPr="00A31903" w:rsidRDefault="00E27A7A" w:rsidP="00821AB4">
      <w:pPr>
        <w:autoSpaceDE w:val="0"/>
        <w:autoSpaceDN w:val="0"/>
        <w:adjustRightInd w:val="0"/>
        <w:spacing w:after="0" w:line="240" w:lineRule="auto"/>
        <w:jc w:val="both"/>
        <w:rPr>
          <w:rFonts w:ascii="Times New Roman" w:hAnsi="Times New Roman" w:cs="Times New Roman"/>
          <w:i/>
          <w:iCs/>
          <w:lang w:val="en-GB"/>
        </w:rPr>
      </w:pPr>
      <w:proofErr w:type="gramStart"/>
      <w:r w:rsidRPr="00A31903">
        <w:rPr>
          <w:rFonts w:ascii="Times New Roman" w:hAnsi="Times New Roman" w:cs="Times New Roman"/>
          <w:lang w:val="en-GB"/>
        </w:rPr>
        <w:t>UN (2015)</w:t>
      </w:r>
      <w:r w:rsidR="005106B0" w:rsidRPr="00A31903">
        <w:rPr>
          <w:rFonts w:ascii="Times New Roman" w:hAnsi="Times New Roman" w:cs="Times New Roman"/>
          <w:lang w:val="en-GB"/>
        </w:rPr>
        <w:t>.</w:t>
      </w:r>
      <w:proofErr w:type="gramEnd"/>
      <w:r w:rsidRPr="00A31903">
        <w:rPr>
          <w:rFonts w:ascii="Times New Roman" w:hAnsi="Times New Roman" w:cs="Times New Roman"/>
          <w:lang w:val="en-GB"/>
        </w:rPr>
        <w:t xml:space="preserve"> </w:t>
      </w:r>
      <w:proofErr w:type="gramStart"/>
      <w:r w:rsidRPr="00A31903">
        <w:rPr>
          <w:rFonts w:ascii="Times New Roman" w:hAnsi="Times New Roman" w:cs="Times New Roman"/>
          <w:i/>
          <w:iCs/>
          <w:lang w:val="en-GB"/>
        </w:rPr>
        <w:t>Addis Ababa Action Agenda.</w:t>
      </w:r>
      <w:proofErr w:type="gramEnd"/>
      <w:r w:rsidRPr="00A31903">
        <w:rPr>
          <w:rFonts w:ascii="Times New Roman" w:hAnsi="Times New Roman" w:cs="Times New Roman"/>
          <w:i/>
          <w:iCs/>
          <w:lang w:val="en-GB"/>
        </w:rPr>
        <w:t xml:space="preserve"> Third International Conference on Financing for </w:t>
      </w:r>
    </w:p>
    <w:p w:rsidR="005106B0" w:rsidRPr="00A31903" w:rsidRDefault="00E27A7A" w:rsidP="00821AB4">
      <w:pPr>
        <w:autoSpaceDE w:val="0"/>
        <w:autoSpaceDN w:val="0"/>
        <w:adjustRightInd w:val="0"/>
        <w:spacing w:after="0" w:line="240" w:lineRule="auto"/>
        <w:jc w:val="both"/>
        <w:rPr>
          <w:rFonts w:ascii="Times New Roman" w:hAnsi="Times New Roman" w:cs="Times New Roman"/>
          <w:lang w:val="en-GB"/>
        </w:rPr>
      </w:pPr>
      <w:r w:rsidRPr="00A31903">
        <w:rPr>
          <w:rFonts w:ascii="Times New Roman" w:hAnsi="Times New Roman" w:cs="Times New Roman"/>
          <w:i/>
          <w:iCs/>
          <w:lang w:val="en-GB"/>
        </w:rPr>
        <w:t xml:space="preserve">             </w:t>
      </w:r>
      <w:proofErr w:type="gramStart"/>
      <w:r w:rsidRPr="00A31903">
        <w:rPr>
          <w:rFonts w:ascii="Times New Roman" w:hAnsi="Times New Roman" w:cs="Times New Roman"/>
          <w:i/>
          <w:iCs/>
          <w:lang w:val="en-GB"/>
        </w:rPr>
        <w:t>Development, Outcome Document</w:t>
      </w:r>
      <w:r w:rsidRPr="00A31903">
        <w:rPr>
          <w:rFonts w:ascii="Times New Roman" w:hAnsi="Times New Roman" w:cs="Times New Roman"/>
          <w:lang w:val="en-GB"/>
        </w:rPr>
        <w:t>.</w:t>
      </w:r>
      <w:proofErr w:type="gramEnd"/>
      <w:r w:rsidRPr="00A31903">
        <w:rPr>
          <w:rFonts w:ascii="Times New Roman" w:hAnsi="Times New Roman" w:cs="Times New Roman"/>
          <w:lang w:val="en-GB"/>
        </w:rPr>
        <w:t xml:space="preserve"> </w:t>
      </w:r>
      <w:proofErr w:type="gramStart"/>
      <w:r w:rsidRPr="00A31903">
        <w:rPr>
          <w:rFonts w:ascii="Times New Roman" w:hAnsi="Times New Roman" w:cs="Times New Roman"/>
          <w:lang w:val="en-GB"/>
        </w:rPr>
        <w:t>New York, NY: United Nations.</w:t>
      </w:r>
      <w:proofErr w:type="gramEnd"/>
      <w:r w:rsidRPr="00A31903">
        <w:rPr>
          <w:rFonts w:ascii="Times New Roman" w:hAnsi="Times New Roman" w:cs="Times New Roman"/>
          <w:lang w:val="en-GB"/>
        </w:rPr>
        <w:t xml:space="preserve"> </w:t>
      </w:r>
      <w:r w:rsidR="005106B0" w:rsidRPr="00A31903">
        <w:rPr>
          <w:rFonts w:ascii="Times New Roman" w:hAnsi="Times New Roman" w:cs="Times New Roman"/>
          <w:lang w:val="en-GB"/>
        </w:rPr>
        <w:t xml:space="preserve">Retrieved from </w:t>
      </w:r>
    </w:p>
    <w:p w:rsidR="00E27A7A" w:rsidRPr="00A31903" w:rsidRDefault="005106B0" w:rsidP="00821AB4">
      <w:pPr>
        <w:autoSpaceDE w:val="0"/>
        <w:autoSpaceDN w:val="0"/>
        <w:adjustRightInd w:val="0"/>
        <w:spacing w:after="0" w:line="240" w:lineRule="auto"/>
        <w:jc w:val="both"/>
        <w:rPr>
          <w:rFonts w:ascii="Times New Roman" w:hAnsi="Times New Roman" w:cs="Times New Roman"/>
          <w:i/>
          <w:iCs/>
          <w:lang w:val="en-GB"/>
        </w:rPr>
      </w:pPr>
      <w:r w:rsidRPr="00A31903">
        <w:rPr>
          <w:rFonts w:ascii="Times New Roman" w:hAnsi="Times New Roman" w:cs="Times New Roman"/>
          <w:lang w:val="en-GB"/>
        </w:rPr>
        <w:t xml:space="preserve"> </w:t>
      </w:r>
      <w:r w:rsidR="00E27A7A" w:rsidRPr="00A31903">
        <w:rPr>
          <w:rFonts w:ascii="Times New Roman" w:hAnsi="Times New Roman" w:cs="Times New Roman"/>
          <w:lang w:val="en-GB"/>
        </w:rPr>
        <w:t xml:space="preserve">            http://www.un.org/esa/ffd/wp-content/uploads</w:t>
      </w:r>
      <w:r w:rsidR="009C57B9" w:rsidRPr="00A31903">
        <w:rPr>
          <w:rFonts w:ascii="Times New Roman" w:hAnsi="Times New Roman" w:cs="Times New Roman"/>
          <w:lang w:val="en-GB"/>
        </w:rPr>
        <w:t>.</w:t>
      </w:r>
    </w:p>
    <w:p w:rsidR="004C08B1" w:rsidRPr="00A31903" w:rsidRDefault="00843E1E" w:rsidP="00821AB4">
      <w:pPr>
        <w:autoSpaceDE w:val="0"/>
        <w:autoSpaceDN w:val="0"/>
        <w:adjustRightInd w:val="0"/>
        <w:spacing w:after="0" w:line="240" w:lineRule="auto"/>
        <w:jc w:val="both"/>
        <w:rPr>
          <w:rFonts w:ascii="Times New Roman" w:eastAsia="MinionPro-It" w:hAnsi="Times New Roman" w:cs="Times New Roman"/>
          <w:i/>
          <w:iCs/>
          <w:lang w:val="en-GB"/>
        </w:rPr>
      </w:pPr>
      <w:proofErr w:type="spellStart"/>
      <w:r w:rsidRPr="00A31903">
        <w:rPr>
          <w:rFonts w:ascii="Times New Roman" w:eastAsia="MinionPro-Regular" w:hAnsi="Times New Roman" w:cs="Times New Roman"/>
          <w:lang w:val="en-GB"/>
        </w:rPr>
        <w:t>Vylkova</w:t>
      </w:r>
      <w:proofErr w:type="spellEnd"/>
      <w:r w:rsidRPr="00A31903">
        <w:rPr>
          <w:rFonts w:ascii="Times New Roman" w:eastAsia="MinionPro-Regular" w:hAnsi="Times New Roman" w:cs="Times New Roman"/>
          <w:lang w:val="en-GB"/>
        </w:rPr>
        <w:t>, E. S.,</w:t>
      </w:r>
      <w:r w:rsidR="00E27A7A" w:rsidRPr="00A31903">
        <w:rPr>
          <w:rFonts w:ascii="Times New Roman" w:eastAsia="MinionPro-Regular" w:hAnsi="Times New Roman" w:cs="Times New Roman"/>
          <w:lang w:val="en-GB"/>
        </w:rPr>
        <w:t xml:space="preserve"> </w:t>
      </w:r>
      <w:proofErr w:type="spellStart"/>
      <w:r w:rsidR="00E27A7A" w:rsidRPr="00A31903">
        <w:rPr>
          <w:rFonts w:ascii="Times New Roman" w:eastAsia="MinionPro-Regular" w:hAnsi="Times New Roman" w:cs="Times New Roman"/>
          <w:lang w:val="en-GB"/>
        </w:rPr>
        <w:t>Pozov</w:t>
      </w:r>
      <w:proofErr w:type="spellEnd"/>
      <w:r w:rsidR="00E27A7A" w:rsidRPr="00A31903">
        <w:rPr>
          <w:rFonts w:ascii="Times New Roman" w:eastAsia="MinionPro-Regular" w:hAnsi="Times New Roman" w:cs="Times New Roman"/>
          <w:lang w:val="en-GB"/>
        </w:rPr>
        <w:t>, I. A. (2013</w:t>
      </w:r>
      <w:r w:rsidR="005106B0" w:rsidRPr="00A31903">
        <w:rPr>
          <w:rFonts w:ascii="Times New Roman" w:eastAsia="MinionPro-Regular" w:hAnsi="Times New Roman" w:cs="Times New Roman"/>
          <w:lang w:val="en-GB"/>
        </w:rPr>
        <w:t>).</w:t>
      </w:r>
      <w:r w:rsidR="00E27A7A" w:rsidRPr="00A31903">
        <w:rPr>
          <w:rFonts w:ascii="Times New Roman" w:eastAsia="MinionPro-Regular" w:hAnsi="Times New Roman" w:cs="Times New Roman"/>
          <w:lang w:val="en-GB"/>
        </w:rPr>
        <w:t xml:space="preserve"> </w:t>
      </w:r>
      <w:proofErr w:type="gramStart"/>
      <w:r w:rsidR="00E27A7A" w:rsidRPr="00A31903">
        <w:rPr>
          <w:rFonts w:ascii="Times New Roman" w:eastAsia="MinionPro-Regular" w:hAnsi="Times New Roman" w:cs="Times New Roman"/>
          <w:lang w:val="en-GB"/>
        </w:rPr>
        <w:t>Criteria affecting the tax status of the region</w:t>
      </w:r>
      <w:r w:rsidR="005106B0" w:rsidRPr="00A31903">
        <w:rPr>
          <w:rFonts w:ascii="Times New Roman" w:hAnsi="Times New Roman" w:cs="Times New Roman"/>
        </w:rPr>
        <w:t>.</w:t>
      </w:r>
      <w:proofErr w:type="gramEnd"/>
      <w:r w:rsidR="00E27A7A" w:rsidRPr="00A31903">
        <w:rPr>
          <w:rFonts w:ascii="Times New Roman" w:eastAsia="MinionPro-Regular" w:hAnsi="Times New Roman" w:cs="Times New Roman"/>
          <w:lang w:val="en-GB"/>
        </w:rPr>
        <w:t xml:space="preserve"> </w:t>
      </w:r>
      <w:r w:rsidR="00E27A7A" w:rsidRPr="00A31903">
        <w:rPr>
          <w:rFonts w:ascii="Times New Roman" w:eastAsia="MinionPro-It" w:hAnsi="Times New Roman" w:cs="Times New Roman"/>
          <w:i/>
          <w:iCs/>
          <w:lang w:val="en-GB"/>
        </w:rPr>
        <w:t xml:space="preserve">Journal </w:t>
      </w:r>
    </w:p>
    <w:p w:rsidR="00E27A7A" w:rsidRPr="00A31903" w:rsidRDefault="004C08B1" w:rsidP="00821AB4">
      <w:pPr>
        <w:autoSpaceDE w:val="0"/>
        <w:autoSpaceDN w:val="0"/>
        <w:adjustRightInd w:val="0"/>
        <w:spacing w:after="0" w:line="240" w:lineRule="auto"/>
        <w:jc w:val="both"/>
        <w:rPr>
          <w:rFonts w:ascii="Times New Roman" w:eastAsia="MinionPro-It" w:hAnsi="Times New Roman" w:cs="Times New Roman"/>
          <w:i/>
          <w:iCs/>
          <w:lang w:val="en-GB"/>
        </w:rPr>
      </w:pPr>
      <w:r w:rsidRPr="00A31903">
        <w:rPr>
          <w:rFonts w:ascii="Times New Roman" w:eastAsia="MinionPro-It" w:hAnsi="Times New Roman" w:cs="Times New Roman"/>
          <w:i/>
          <w:iCs/>
          <w:lang w:val="en-GB"/>
        </w:rPr>
        <w:t xml:space="preserve">             </w:t>
      </w:r>
      <w:proofErr w:type="gramStart"/>
      <w:r w:rsidR="00E27A7A" w:rsidRPr="00A31903">
        <w:rPr>
          <w:rFonts w:ascii="Times New Roman" w:eastAsia="MinionPro-It" w:hAnsi="Times New Roman" w:cs="Times New Roman"/>
          <w:i/>
          <w:iCs/>
          <w:lang w:val="en-GB"/>
        </w:rPr>
        <w:t>of  Legal</w:t>
      </w:r>
      <w:proofErr w:type="gramEnd"/>
      <w:r w:rsidR="00E27A7A" w:rsidRPr="00A31903">
        <w:rPr>
          <w:rFonts w:ascii="Times New Roman" w:eastAsia="MinionPro-It" w:hAnsi="Times New Roman" w:cs="Times New Roman"/>
          <w:i/>
          <w:iCs/>
          <w:lang w:val="en-GB"/>
        </w:rPr>
        <w:t xml:space="preserve"> and Economic Studies, </w:t>
      </w:r>
      <w:r w:rsidR="00E27A7A" w:rsidRPr="00A31903">
        <w:rPr>
          <w:rFonts w:ascii="Times New Roman" w:eastAsia="MinionPro-Regular" w:hAnsi="Times New Roman" w:cs="Times New Roman"/>
          <w:i/>
          <w:lang w:val="en-GB"/>
        </w:rPr>
        <w:t>4</w:t>
      </w:r>
      <w:r w:rsidR="00E2792C" w:rsidRPr="00A31903">
        <w:rPr>
          <w:rFonts w:ascii="Times New Roman" w:eastAsia="MinionPro-Regular" w:hAnsi="Times New Roman" w:cs="Times New Roman"/>
          <w:i/>
          <w:lang w:val="en-GB"/>
        </w:rPr>
        <w:t xml:space="preserve"> </w:t>
      </w:r>
      <w:r w:rsidR="00E2792C" w:rsidRPr="00A31903">
        <w:rPr>
          <w:rFonts w:ascii="Times New Roman" w:eastAsia="MinionPro-Regular" w:hAnsi="Times New Roman" w:cs="Times New Roman"/>
          <w:lang w:val="en-GB"/>
        </w:rPr>
        <w:t>(2)</w:t>
      </w:r>
      <w:r w:rsidR="00E27A7A" w:rsidRPr="00A31903">
        <w:rPr>
          <w:rFonts w:ascii="Times New Roman" w:eastAsia="MinionPro-Regular" w:hAnsi="Times New Roman" w:cs="Times New Roman"/>
          <w:lang w:val="en-GB"/>
        </w:rPr>
        <w:t>, 1–14.</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rPr>
        <w:t>World Bank Global Development Indicators, 1999 to 2016</w:t>
      </w:r>
    </w:p>
    <w:p w:rsidR="00F772C3" w:rsidRPr="00A31903" w:rsidRDefault="005106B0" w:rsidP="00821AB4">
      <w:pPr>
        <w:autoSpaceDE w:val="0"/>
        <w:autoSpaceDN w:val="0"/>
        <w:adjustRightInd w:val="0"/>
        <w:spacing w:after="0" w:line="240" w:lineRule="auto"/>
        <w:jc w:val="both"/>
        <w:rPr>
          <w:rFonts w:ascii="Times New Roman" w:hAnsi="Times New Roman" w:cs="Times New Roman"/>
        </w:rPr>
      </w:pPr>
      <w:proofErr w:type="spellStart"/>
      <w:r w:rsidRPr="00A31903">
        <w:rPr>
          <w:rFonts w:ascii="Times New Roman" w:hAnsi="Times New Roman" w:cs="Times New Roman"/>
        </w:rPr>
        <w:t>Yahyaee</w:t>
      </w:r>
      <w:proofErr w:type="spellEnd"/>
      <w:r w:rsidRPr="00A31903">
        <w:rPr>
          <w:rFonts w:ascii="Times New Roman" w:hAnsi="Times New Roman" w:cs="Times New Roman"/>
        </w:rPr>
        <w:t xml:space="preserve"> F. (1991).</w:t>
      </w:r>
      <w:r w:rsidR="00F772C3" w:rsidRPr="00A31903">
        <w:rPr>
          <w:rFonts w:ascii="Times New Roman" w:hAnsi="Times New Roman" w:cs="Times New Roman"/>
        </w:rPr>
        <w:t xml:space="preserve"> </w:t>
      </w:r>
      <w:r w:rsidRPr="00A31903">
        <w:rPr>
          <w:rFonts w:ascii="Times New Roman" w:hAnsi="Times New Roman" w:cs="Times New Roman"/>
        </w:rPr>
        <w:t>Analysis of tax combination and e</w:t>
      </w:r>
      <w:r w:rsidR="00F772C3" w:rsidRPr="00A31903">
        <w:rPr>
          <w:rFonts w:ascii="Times New Roman" w:hAnsi="Times New Roman" w:cs="Times New Roman"/>
        </w:rPr>
        <w:t xml:space="preserve">stimation of </w:t>
      </w:r>
      <w:r w:rsidRPr="00A31903">
        <w:rPr>
          <w:rFonts w:ascii="Times New Roman" w:hAnsi="Times New Roman" w:cs="Times New Roman"/>
        </w:rPr>
        <w:t>tax c</w:t>
      </w:r>
      <w:r w:rsidR="00F772C3" w:rsidRPr="00A31903">
        <w:rPr>
          <w:rFonts w:ascii="Times New Roman" w:hAnsi="Times New Roman" w:cs="Times New Roman"/>
        </w:rPr>
        <w:t xml:space="preserve">apacity in Iran”, </w:t>
      </w:r>
    </w:p>
    <w:p w:rsidR="00F772C3" w:rsidRPr="00A31903" w:rsidRDefault="00F772C3"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i/>
        </w:rPr>
        <w:t xml:space="preserve">            </w:t>
      </w:r>
      <w:proofErr w:type="gramStart"/>
      <w:r w:rsidRPr="00A31903">
        <w:rPr>
          <w:rFonts w:ascii="Times New Roman" w:hAnsi="Times New Roman" w:cs="Times New Roman"/>
          <w:i/>
        </w:rPr>
        <w:t xml:space="preserve">Journal of </w:t>
      </w:r>
      <w:proofErr w:type="spellStart"/>
      <w:r w:rsidRPr="00A31903">
        <w:rPr>
          <w:rFonts w:ascii="Times New Roman" w:hAnsi="Times New Roman" w:cs="Times New Roman"/>
          <w:i/>
        </w:rPr>
        <w:t>Eghtesad</w:t>
      </w:r>
      <w:proofErr w:type="spellEnd"/>
      <w:r w:rsidRPr="00A31903">
        <w:rPr>
          <w:rFonts w:ascii="Times New Roman" w:hAnsi="Times New Roman" w:cs="Times New Roman"/>
          <w:i/>
        </w:rPr>
        <w:t xml:space="preserve"> &amp; </w:t>
      </w:r>
      <w:proofErr w:type="spellStart"/>
      <w:r w:rsidRPr="00A31903">
        <w:rPr>
          <w:rFonts w:ascii="Times New Roman" w:hAnsi="Times New Roman" w:cs="Times New Roman"/>
          <w:i/>
        </w:rPr>
        <w:t>Modiriat</w:t>
      </w:r>
      <w:proofErr w:type="spellEnd"/>
      <w:r w:rsidR="005106B0" w:rsidRPr="00A31903">
        <w:rPr>
          <w:rFonts w:ascii="Times New Roman" w:hAnsi="Times New Roman" w:cs="Times New Roman"/>
        </w:rPr>
        <w:t xml:space="preserve">, </w:t>
      </w:r>
      <w:r w:rsidRPr="00A31903">
        <w:rPr>
          <w:rFonts w:ascii="Times New Roman" w:hAnsi="Times New Roman" w:cs="Times New Roman"/>
          <w:i/>
        </w:rPr>
        <w:t>7</w:t>
      </w:r>
      <w:r w:rsidR="005106B0" w:rsidRPr="00A31903">
        <w:rPr>
          <w:rFonts w:ascii="Times New Roman" w:hAnsi="Times New Roman" w:cs="Times New Roman"/>
          <w:i/>
        </w:rPr>
        <w:t>.</w:t>
      </w:r>
      <w:proofErr w:type="gramEnd"/>
    </w:p>
    <w:p w:rsidR="004C08B1" w:rsidRPr="00A31903" w:rsidRDefault="00F772C3" w:rsidP="00821AB4">
      <w:pPr>
        <w:autoSpaceDE w:val="0"/>
        <w:autoSpaceDN w:val="0"/>
        <w:adjustRightInd w:val="0"/>
        <w:spacing w:after="0" w:line="240" w:lineRule="auto"/>
        <w:jc w:val="both"/>
        <w:rPr>
          <w:rFonts w:ascii="Times New Roman" w:hAnsi="Times New Roman" w:cs="Times New Roman"/>
          <w:i/>
        </w:rPr>
      </w:pPr>
      <w:proofErr w:type="spellStart"/>
      <w:r w:rsidRPr="00A31903">
        <w:rPr>
          <w:rFonts w:ascii="Times New Roman" w:hAnsi="Times New Roman" w:cs="Times New Roman"/>
        </w:rPr>
        <w:t>Zaki</w:t>
      </w:r>
      <w:proofErr w:type="spellEnd"/>
      <w:r w:rsidRPr="00A31903">
        <w:rPr>
          <w:rFonts w:ascii="Times New Roman" w:hAnsi="Times New Roman" w:cs="Times New Roman"/>
        </w:rPr>
        <w:t>, R. (1992)</w:t>
      </w:r>
      <w:r w:rsidR="005106B0" w:rsidRPr="00A31903">
        <w:rPr>
          <w:rFonts w:ascii="Times New Roman" w:hAnsi="Times New Roman" w:cs="Times New Roman"/>
        </w:rPr>
        <w:t>.</w:t>
      </w:r>
      <w:r w:rsidRPr="00A31903">
        <w:rPr>
          <w:rFonts w:ascii="Times New Roman" w:hAnsi="Times New Roman" w:cs="Times New Roman"/>
        </w:rPr>
        <w:t xml:space="preserve"> </w:t>
      </w:r>
      <w:r w:rsidRPr="00A31903">
        <w:rPr>
          <w:rFonts w:ascii="Times New Roman" w:hAnsi="Times New Roman" w:cs="Times New Roman"/>
          <w:i/>
        </w:rPr>
        <w:t xml:space="preserve">Intellectual and Social Conflict on the Public Budget Deficit in the Third </w:t>
      </w:r>
    </w:p>
    <w:p w:rsidR="00F772C3" w:rsidRPr="00A31903" w:rsidRDefault="004C08B1" w:rsidP="00821AB4">
      <w:pPr>
        <w:autoSpaceDE w:val="0"/>
        <w:autoSpaceDN w:val="0"/>
        <w:adjustRightInd w:val="0"/>
        <w:spacing w:after="0" w:line="240" w:lineRule="auto"/>
        <w:jc w:val="both"/>
        <w:rPr>
          <w:rFonts w:ascii="Times New Roman" w:hAnsi="Times New Roman" w:cs="Times New Roman"/>
        </w:rPr>
      </w:pPr>
      <w:r w:rsidRPr="00A31903">
        <w:rPr>
          <w:rFonts w:ascii="Times New Roman" w:hAnsi="Times New Roman" w:cs="Times New Roman"/>
          <w:i/>
        </w:rPr>
        <w:t xml:space="preserve">           </w:t>
      </w:r>
      <w:proofErr w:type="gramStart"/>
      <w:r w:rsidR="00F772C3" w:rsidRPr="00A31903">
        <w:rPr>
          <w:rFonts w:ascii="Times New Roman" w:hAnsi="Times New Roman" w:cs="Times New Roman"/>
          <w:i/>
        </w:rPr>
        <w:t>World</w:t>
      </w:r>
      <w:r w:rsidR="005106B0" w:rsidRPr="00A31903">
        <w:rPr>
          <w:rFonts w:ascii="Times New Roman" w:hAnsi="Times New Roman" w:cs="Times New Roman"/>
        </w:rPr>
        <w:t>.</w:t>
      </w:r>
      <w:proofErr w:type="gramEnd"/>
      <w:r w:rsidRPr="00A31903">
        <w:rPr>
          <w:rFonts w:ascii="Times New Roman" w:hAnsi="Times New Roman" w:cs="Times New Roman"/>
        </w:rPr>
        <w:t xml:space="preserve"> Dar </w:t>
      </w:r>
      <w:proofErr w:type="spellStart"/>
      <w:r w:rsidRPr="00A31903">
        <w:rPr>
          <w:rFonts w:ascii="Times New Roman" w:hAnsi="Times New Roman" w:cs="Times New Roman"/>
        </w:rPr>
        <w:t>Sina</w:t>
      </w:r>
      <w:proofErr w:type="spellEnd"/>
      <w:r w:rsidRPr="00A31903">
        <w:rPr>
          <w:rFonts w:ascii="Times New Roman" w:hAnsi="Times New Roman" w:cs="Times New Roman"/>
        </w:rPr>
        <w:t xml:space="preserve"> Publishing House</w:t>
      </w:r>
      <w:r w:rsidR="001E4731" w:rsidRPr="00A31903">
        <w:rPr>
          <w:rFonts w:ascii="Times New Roman" w:hAnsi="Times New Roman" w:cs="Times New Roman"/>
        </w:rPr>
        <w:t>, Cairo</w:t>
      </w:r>
      <w:r w:rsidR="00F772C3" w:rsidRPr="00A31903">
        <w:rPr>
          <w:rFonts w:ascii="Times New Roman" w:hAnsi="Times New Roman" w:cs="Times New Roman"/>
        </w:rPr>
        <w:t xml:space="preserve">, </w:t>
      </w:r>
      <w:proofErr w:type="gramStart"/>
      <w:r w:rsidR="00F772C3" w:rsidRPr="00A31903">
        <w:rPr>
          <w:rFonts w:ascii="Times New Roman" w:hAnsi="Times New Roman" w:cs="Times New Roman"/>
        </w:rPr>
        <w:t>Egypt .</w:t>
      </w:r>
      <w:proofErr w:type="gramEnd"/>
    </w:p>
    <w:p w:rsidR="00F772C3" w:rsidRPr="00A31903" w:rsidRDefault="00F772C3" w:rsidP="00F772C3">
      <w:pPr>
        <w:autoSpaceDE w:val="0"/>
        <w:autoSpaceDN w:val="0"/>
        <w:adjustRightInd w:val="0"/>
        <w:spacing w:after="0" w:line="240" w:lineRule="auto"/>
        <w:rPr>
          <w:rFonts w:ascii="Times New Roman" w:hAnsi="Times New Roman" w:cs="Times New Roman"/>
        </w:rPr>
      </w:pPr>
    </w:p>
    <w:p w:rsidR="00F772C3" w:rsidRPr="00A31903" w:rsidRDefault="00F772C3" w:rsidP="00ED18EF">
      <w:pPr>
        <w:autoSpaceDE w:val="0"/>
        <w:autoSpaceDN w:val="0"/>
        <w:adjustRightInd w:val="0"/>
        <w:spacing w:after="0" w:line="240" w:lineRule="auto"/>
        <w:jc w:val="both"/>
        <w:rPr>
          <w:rFonts w:ascii="Times New Roman" w:hAnsi="Times New Roman" w:cs="Times New Roman"/>
          <w:b/>
        </w:rPr>
      </w:pPr>
    </w:p>
    <w:p w:rsidR="00F772C3" w:rsidRPr="00A31903" w:rsidRDefault="00F772C3" w:rsidP="00ED18EF">
      <w:pPr>
        <w:autoSpaceDE w:val="0"/>
        <w:autoSpaceDN w:val="0"/>
        <w:adjustRightInd w:val="0"/>
        <w:spacing w:after="0" w:line="240" w:lineRule="auto"/>
        <w:jc w:val="both"/>
        <w:rPr>
          <w:rFonts w:ascii="Times New Roman" w:hAnsi="Times New Roman" w:cs="Times New Roman"/>
          <w:b/>
        </w:rPr>
      </w:pPr>
    </w:p>
    <w:sectPr w:rsidR="00F772C3" w:rsidRPr="00A31903" w:rsidSect="0092650F">
      <w:footerReference w:type="default" r:id="rId2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177" w:rsidRDefault="005F1177" w:rsidP="00A742F1">
      <w:pPr>
        <w:spacing w:after="0" w:line="240" w:lineRule="auto"/>
      </w:pPr>
      <w:r>
        <w:separator/>
      </w:r>
    </w:p>
  </w:endnote>
  <w:endnote w:type="continuationSeparator" w:id="0">
    <w:p w:rsidR="005F1177" w:rsidRDefault="005F1177" w:rsidP="00A7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MRoman12-Regular">
    <w:panose1 w:val="00000000000000000000"/>
    <w:charset w:val="00"/>
    <w:family w:val="auto"/>
    <w:notTrueType/>
    <w:pitch w:val="default"/>
    <w:sig w:usb0="00000003" w:usb1="00000000" w:usb2="00000000" w:usb3="00000000" w:csb0="00000001" w:csb1="00000000"/>
  </w:font>
  <w:font w:name="SabonLTStd-Roman">
    <w:panose1 w:val="00000000000000000000"/>
    <w:charset w:val="00"/>
    <w:family w:val="roman"/>
    <w:notTrueType/>
    <w:pitch w:val="default"/>
    <w:sig w:usb0="00000003" w:usb1="00000000" w:usb2="00000000" w:usb3="00000000" w:csb0="00000001" w:csb1="00000000"/>
  </w:font>
  <w:font w:name="SabonLTStd-Italic">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00" w:usb1="08070000" w:usb2="00000010" w:usb3="00000000" w:csb0="0002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MinionPro-It">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891"/>
      <w:docPartObj>
        <w:docPartGallery w:val="Page Numbers (Bottom of Page)"/>
        <w:docPartUnique/>
      </w:docPartObj>
    </w:sdtPr>
    <w:sdtEndPr/>
    <w:sdtContent>
      <w:p w:rsidR="00C12F43" w:rsidRDefault="00C12F43">
        <w:pPr>
          <w:pStyle w:val="Footer"/>
          <w:jc w:val="right"/>
        </w:pPr>
        <w:r>
          <w:fldChar w:fldCharType="begin"/>
        </w:r>
        <w:r>
          <w:instrText xml:space="preserve"> PAGE   \* MERGEFORMAT </w:instrText>
        </w:r>
        <w:r>
          <w:fldChar w:fldCharType="separate"/>
        </w:r>
        <w:r w:rsidR="00936A5D">
          <w:rPr>
            <w:noProof/>
          </w:rPr>
          <w:t>1</w:t>
        </w:r>
        <w:r>
          <w:rPr>
            <w:noProof/>
          </w:rPr>
          <w:fldChar w:fldCharType="end"/>
        </w:r>
      </w:p>
    </w:sdtContent>
  </w:sdt>
  <w:p w:rsidR="00C12F43" w:rsidRDefault="00C12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177" w:rsidRDefault="005F1177" w:rsidP="00A742F1">
      <w:pPr>
        <w:spacing w:after="0" w:line="240" w:lineRule="auto"/>
      </w:pPr>
      <w:r>
        <w:separator/>
      </w:r>
    </w:p>
  </w:footnote>
  <w:footnote w:type="continuationSeparator" w:id="0">
    <w:p w:rsidR="005F1177" w:rsidRDefault="005F1177" w:rsidP="00A74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BAA"/>
    <w:multiLevelType w:val="multilevel"/>
    <w:tmpl w:val="836C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47332"/>
    <w:multiLevelType w:val="hybridMultilevel"/>
    <w:tmpl w:val="46D00DB6"/>
    <w:lvl w:ilvl="0" w:tplc="5B5C5392">
      <w:start w:val="1"/>
      <w:numFmt w:val="bullet"/>
      <w:lvlText w:val=""/>
      <w:lvlJc w:val="left"/>
      <w:pPr>
        <w:tabs>
          <w:tab w:val="num" w:pos="720"/>
        </w:tabs>
        <w:ind w:left="720" w:hanging="360"/>
      </w:pPr>
      <w:rPr>
        <w:rFonts w:ascii="Wingdings 2" w:hAnsi="Wingdings 2" w:hint="default"/>
      </w:rPr>
    </w:lvl>
    <w:lvl w:ilvl="1" w:tplc="5AF24844" w:tentative="1">
      <w:start w:val="1"/>
      <w:numFmt w:val="bullet"/>
      <w:lvlText w:val=""/>
      <w:lvlJc w:val="left"/>
      <w:pPr>
        <w:tabs>
          <w:tab w:val="num" w:pos="1440"/>
        </w:tabs>
        <w:ind w:left="1440" w:hanging="360"/>
      </w:pPr>
      <w:rPr>
        <w:rFonts w:ascii="Wingdings 2" w:hAnsi="Wingdings 2" w:hint="default"/>
      </w:rPr>
    </w:lvl>
    <w:lvl w:ilvl="2" w:tplc="BD6A03FC" w:tentative="1">
      <w:start w:val="1"/>
      <w:numFmt w:val="bullet"/>
      <w:lvlText w:val=""/>
      <w:lvlJc w:val="left"/>
      <w:pPr>
        <w:tabs>
          <w:tab w:val="num" w:pos="2160"/>
        </w:tabs>
        <w:ind w:left="2160" w:hanging="360"/>
      </w:pPr>
      <w:rPr>
        <w:rFonts w:ascii="Wingdings 2" w:hAnsi="Wingdings 2" w:hint="default"/>
      </w:rPr>
    </w:lvl>
    <w:lvl w:ilvl="3" w:tplc="5A0873AC" w:tentative="1">
      <w:start w:val="1"/>
      <w:numFmt w:val="bullet"/>
      <w:lvlText w:val=""/>
      <w:lvlJc w:val="left"/>
      <w:pPr>
        <w:tabs>
          <w:tab w:val="num" w:pos="2880"/>
        </w:tabs>
        <w:ind w:left="2880" w:hanging="360"/>
      </w:pPr>
      <w:rPr>
        <w:rFonts w:ascii="Wingdings 2" w:hAnsi="Wingdings 2" w:hint="default"/>
      </w:rPr>
    </w:lvl>
    <w:lvl w:ilvl="4" w:tplc="21201406" w:tentative="1">
      <w:start w:val="1"/>
      <w:numFmt w:val="bullet"/>
      <w:lvlText w:val=""/>
      <w:lvlJc w:val="left"/>
      <w:pPr>
        <w:tabs>
          <w:tab w:val="num" w:pos="3600"/>
        </w:tabs>
        <w:ind w:left="3600" w:hanging="360"/>
      </w:pPr>
      <w:rPr>
        <w:rFonts w:ascii="Wingdings 2" w:hAnsi="Wingdings 2" w:hint="default"/>
      </w:rPr>
    </w:lvl>
    <w:lvl w:ilvl="5" w:tplc="B0322112" w:tentative="1">
      <w:start w:val="1"/>
      <w:numFmt w:val="bullet"/>
      <w:lvlText w:val=""/>
      <w:lvlJc w:val="left"/>
      <w:pPr>
        <w:tabs>
          <w:tab w:val="num" w:pos="4320"/>
        </w:tabs>
        <w:ind w:left="4320" w:hanging="360"/>
      </w:pPr>
      <w:rPr>
        <w:rFonts w:ascii="Wingdings 2" w:hAnsi="Wingdings 2" w:hint="default"/>
      </w:rPr>
    </w:lvl>
    <w:lvl w:ilvl="6" w:tplc="139C9EA6" w:tentative="1">
      <w:start w:val="1"/>
      <w:numFmt w:val="bullet"/>
      <w:lvlText w:val=""/>
      <w:lvlJc w:val="left"/>
      <w:pPr>
        <w:tabs>
          <w:tab w:val="num" w:pos="5040"/>
        </w:tabs>
        <w:ind w:left="5040" w:hanging="360"/>
      </w:pPr>
      <w:rPr>
        <w:rFonts w:ascii="Wingdings 2" w:hAnsi="Wingdings 2" w:hint="default"/>
      </w:rPr>
    </w:lvl>
    <w:lvl w:ilvl="7" w:tplc="BEE62704" w:tentative="1">
      <w:start w:val="1"/>
      <w:numFmt w:val="bullet"/>
      <w:lvlText w:val=""/>
      <w:lvlJc w:val="left"/>
      <w:pPr>
        <w:tabs>
          <w:tab w:val="num" w:pos="5760"/>
        </w:tabs>
        <w:ind w:left="5760" w:hanging="360"/>
      </w:pPr>
      <w:rPr>
        <w:rFonts w:ascii="Wingdings 2" w:hAnsi="Wingdings 2" w:hint="default"/>
      </w:rPr>
    </w:lvl>
    <w:lvl w:ilvl="8" w:tplc="2668CFEC" w:tentative="1">
      <w:start w:val="1"/>
      <w:numFmt w:val="bullet"/>
      <w:lvlText w:val=""/>
      <w:lvlJc w:val="left"/>
      <w:pPr>
        <w:tabs>
          <w:tab w:val="num" w:pos="6480"/>
        </w:tabs>
        <w:ind w:left="6480" w:hanging="360"/>
      </w:pPr>
      <w:rPr>
        <w:rFonts w:ascii="Wingdings 2" w:hAnsi="Wingdings 2" w:hint="default"/>
      </w:rPr>
    </w:lvl>
  </w:abstractNum>
  <w:abstractNum w:abstractNumId="2">
    <w:nsid w:val="058D2A22"/>
    <w:multiLevelType w:val="hybridMultilevel"/>
    <w:tmpl w:val="1B2A5D62"/>
    <w:lvl w:ilvl="0" w:tplc="235278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9786C"/>
    <w:multiLevelType w:val="multilevel"/>
    <w:tmpl w:val="3B48C190"/>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nsid w:val="11B320D0"/>
    <w:multiLevelType w:val="multilevel"/>
    <w:tmpl w:val="09BA9D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7E1C2D"/>
    <w:multiLevelType w:val="hybridMultilevel"/>
    <w:tmpl w:val="446A0272"/>
    <w:lvl w:ilvl="0" w:tplc="679055F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929B5"/>
    <w:multiLevelType w:val="hybridMultilevel"/>
    <w:tmpl w:val="87F2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256880"/>
    <w:multiLevelType w:val="hybridMultilevel"/>
    <w:tmpl w:val="AA7A7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2516DD"/>
    <w:multiLevelType w:val="hybridMultilevel"/>
    <w:tmpl w:val="446A0272"/>
    <w:lvl w:ilvl="0" w:tplc="679055F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690539"/>
    <w:multiLevelType w:val="hybridMultilevel"/>
    <w:tmpl w:val="0CB8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557F3D"/>
    <w:multiLevelType w:val="hybridMultilevel"/>
    <w:tmpl w:val="13C8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62989"/>
    <w:multiLevelType w:val="hybridMultilevel"/>
    <w:tmpl w:val="2E4CA2F8"/>
    <w:lvl w:ilvl="0" w:tplc="9EA229A2">
      <w:start w:val="1"/>
      <w:numFmt w:val="bullet"/>
      <w:lvlText w:val=""/>
      <w:lvlJc w:val="left"/>
      <w:pPr>
        <w:tabs>
          <w:tab w:val="num" w:pos="720"/>
        </w:tabs>
        <w:ind w:left="720" w:hanging="360"/>
      </w:pPr>
      <w:rPr>
        <w:rFonts w:ascii="Wingdings 3" w:hAnsi="Wingdings 3" w:hint="default"/>
      </w:rPr>
    </w:lvl>
    <w:lvl w:ilvl="1" w:tplc="9BA48AA2" w:tentative="1">
      <w:start w:val="1"/>
      <w:numFmt w:val="bullet"/>
      <w:lvlText w:val=""/>
      <w:lvlJc w:val="left"/>
      <w:pPr>
        <w:tabs>
          <w:tab w:val="num" w:pos="1440"/>
        </w:tabs>
        <w:ind w:left="1440" w:hanging="360"/>
      </w:pPr>
      <w:rPr>
        <w:rFonts w:ascii="Wingdings 3" w:hAnsi="Wingdings 3" w:hint="default"/>
      </w:rPr>
    </w:lvl>
    <w:lvl w:ilvl="2" w:tplc="F916547E" w:tentative="1">
      <w:start w:val="1"/>
      <w:numFmt w:val="bullet"/>
      <w:lvlText w:val=""/>
      <w:lvlJc w:val="left"/>
      <w:pPr>
        <w:tabs>
          <w:tab w:val="num" w:pos="2160"/>
        </w:tabs>
        <w:ind w:left="2160" w:hanging="360"/>
      </w:pPr>
      <w:rPr>
        <w:rFonts w:ascii="Wingdings 3" w:hAnsi="Wingdings 3" w:hint="default"/>
      </w:rPr>
    </w:lvl>
    <w:lvl w:ilvl="3" w:tplc="01D0FBB8" w:tentative="1">
      <w:start w:val="1"/>
      <w:numFmt w:val="bullet"/>
      <w:lvlText w:val=""/>
      <w:lvlJc w:val="left"/>
      <w:pPr>
        <w:tabs>
          <w:tab w:val="num" w:pos="2880"/>
        </w:tabs>
        <w:ind w:left="2880" w:hanging="360"/>
      </w:pPr>
      <w:rPr>
        <w:rFonts w:ascii="Wingdings 3" w:hAnsi="Wingdings 3" w:hint="default"/>
      </w:rPr>
    </w:lvl>
    <w:lvl w:ilvl="4" w:tplc="7A8CC7BA" w:tentative="1">
      <w:start w:val="1"/>
      <w:numFmt w:val="bullet"/>
      <w:lvlText w:val=""/>
      <w:lvlJc w:val="left"/>
      <w:pPr>
        <w:tabs>
          <w:tab w:val="num" w:pos="3600"/>
        </w:tabs>
        <w:ind w:left="3600" w:hanging="360"/>
      </w:pPr>
      <w:rPr>
        <w:rFonts w:ascii="Wingdings 3" w:hAnsi="Wingdings 3" w:hint="default"/>
      </w:rPr>
    </w:lvl>
    <w:lvl w:ilvl="5" w:tplc="DF0EDCF6" w:tentative="1">
      <w:start w:val="1"/>
      <w:numFmt w:val="bullet"/>
      <w:lvlText w:val=""/>
      <w:lvlJc w:val="left"/>
      <w:pPr>
        <w:tabs>
          <w:tab w:val="num" w:pos="4320"/>
        </w:tabs>
        <w:ind w:left="4320" w:hanging="360"/>
      </w:pPr>
      <w:rPr>
        <w:rFonts w:ascii="Wingdings 3" w:hAnsi="Wingdings 3" w:hint="default"/>
      </w:rPr>
    </w:lvl>
    <w:lvl w:ilvl="6" w:tplc="4790EC98" w:tentative="1">
      <w:start w:val="1"/>
      <w:numFmt w:val="bullet"/>
      <w:lvlText w:val=""/>
      <w:lvlJc w:val="left"/>
      <w:pPr>
        <w:tabs>
          <w:tab w:val="num" w:pos="5040"/>
        </w:tabs>
        <w:ind w:left="5040" w:hanging="360"/>
      </w:pPr>
      <w:rPr>
        <w:rFonts w:ascii="Wingdings 3" w:hAnsi="Wingdings 3" w:hint="default"/>
      </w:rPr>
    </w:lvl>
    <w:lvl w:ilvl="7" w:tplc="39386A98" w:tentative="1">
      <w:start w:val="1"/>
      <w:numFmt w:val="bullet"/>
      <w:lvlText w:val=""/>
      <w:lvlJc w:val="left"/>
      <w:pPr>
        <w:tabs>
          <w:tab w:val="num" w:pos="5760"/>
        </w:tabs>
        <w:ind w:left="5760" w:hanging="360"/>
      </w:pPr>
      <w:rPr>
        <w:rFonts w:ascii="Wingdings 3" w:hAnsi="Wingdings 3" w:hint="default"/>
      </w:rPr>
    </w:lvl>
    <w:lvl w:ilvl="8" w:tplc="E7867D82" w:tentative="1">
      <w:start w:val="1"/>
      <w:numFmt w:val="bullet"/>
      <w:lvlText w:val=""/>
      <w:lvlJc w:val="left"/>
      <w:pPr>
        <w:tabs>
          <w:tab w:val="num" w:pos="6480"/>
        </w:tabs>
        <w:ind w:left="6480" w:hanging="360"/>
      </w:pPr>
      <w:rPr>
        <w:rFonts w:ascii="Wingdings 3" w:hAnsi="Wingdings 3" w:hint="default"/>
      </w:rPr>
    </w:lvl>
  </w:abstractNum>
  <w:abstractNum w:abstractNumId="12">
    <w:nsid w:val="44AE13F9"/>
    <w:multiLevelType w:val="hybridMultilevel"/>
    <w:tmpl w:val="4C9A2A46"/>
    <w:lvl w:ilvl="0" w:tplc="92E292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F32F0F"/>
    <w:multiLevelType w:val="hybridMultilevel"/>
    <w:tmpl w:val="FEE2ABAC"/>
    <w:lvl w:ilvl="0" w:tplc="1E8C5210">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C22D0A"/>
    <w:multiLevelType w:val="hybridMultilevel"/>
    <w:tmpl w:val="C52EF112"/>
    <w:lvl w:ilvl="0" w:tplc="36DC0B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41A140D"/>
    <w:multiLevelType w:val="hybridMultilevel"/>
    <w:tmpl w:val="C81A1764"/>
    <w:lvl w:ilvl="0" w:tplc="B13A8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DD97073"/>
    <w:multiLevelType w:val="multilevel"/>
    <w:tmpl w:val="8D1CE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
  </w:num>
  <w:num w:numId="3">
    <w:abstractNumId w:val="9"/>
  </w:num>
  <w:num w:numId="4">
    <w:abstractNumId w:val="8"/>
  </w:num>
  <w:num w:numId="5">
    <w:abstractNumId w:val="6"/>
  </w:num>
  <w:num w:numId="6">
    <w:abstractNumId w:val="7"/>
  </w:num>
  <w:num w:numId="7">
    <w:abstractNumId w:val="10"/>
  </w:num>
  <w:num w:numId="8">
    <w:abstractNumId w:val="5"/>
  </w:num>
  <w:num w:numId="9">
    <w:abstractNumId w:val="11"/>
  </w:num>
  <w:num w:numId="10">
    <w:abstractNumId w:val="13"/>
  </w:num>
  <w:num w:numId="11">
    <w:abstractNumId w:val="1"/>
  </w:num>
  <w:num w:numId="12">
    <w:abstractNumId w:val="0"/>
  </w:num>
  <w:num w:numId="13">
    <w:abstractNumId w:val="14"/>
  </w:num>
  <w:num w:numId="14">
    <w:abstractNumId w:val="4"/>
  </w:num>
  <w:num w:numId="15">
    <w:abstractNumId w:val="3"/>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DcwsTQ0tzA2MbC0NDJQ0lEKTi0uzszPAykwrQUAhVsDhSwAAAA="/>
  </w:docVars>
  <w:rsids>
    <w:rsidRoot w:val="002F7D18"/>
    <w:rsid w:val="000007E6"/>
    <w:rsid w:val="000012CA"/>
    <w:rsid w:val="000019D7"/>
    <w:rsid w:val="000037CF"/>
    <w:rsid w:val="000042E0"/>
    <w:rsid w:val="0000556F"/>
    <w:rsid w:val="000055BC"/>
    <w:rsid w:val="0000593C"/>
    <w:rsid w:val="00006056"/>
    <w:rsid w:val="00007189"/>
    <w:rsid w:val="00012032"/>
    <w:rsid w:val="00012ACD"/>
    <w:rsid w:val="0001406B"/>
    <w:rsid w:val="0001419E"/>
    <w:rsid w:val="00014562"/>
    <w:rsid w:val="00017F14"/>
    <w:rsid w:val="00020866"/>
    <w:rsid w:val="00021AB6"/>
    <w:rsid w:val="00021B76"/>
    <w:rsid w:val="0002304B"/>
    <w:rsid w:val="00024217"/>
    <w:rsid w:val="0002444D"/>
    <w:rsid w:val="0002677B"/>
    <w:rsid w:val="000303AB"/>
    <w:rsid w:val="00030824"/>
    <w:rsid w:val="00031A24"/>
    <w:rsid w:val="00032CF9"/>
    <w:rsid w:val="00034FA9"/>
    <w:rsid w:val="00035BF3"/>
    <w:rsid w:val="00036289"/>
    <w:rsid w:val="00036305"/>
    <w:rsid w:val="0004031A"/>
    <w:rsid w:val="000406D1"/>
    <w:rsid w:val="000416F0"/>
    <w:rsid w:val="000419A6"/>
    <w:rsid w:val="00042253"/>
    <w:rsid w:val="0004367A"/>
    <w:rsid w:val="00046082"/>
    <w:rsid w:val="0005030C"/>
    <w:rsid w:val="00050928"/>
    <w:rsid w:val="0005432E"/>
    <w:rsid w:val="00054B09"/>
    <w:rsid w:val="00054C9B"/>
    <w:rsid w:val="00055CBC"/>
    <w:rsid w:val="00056DD0"/>
    <w:rsid w:val="00060FE9"/>
    <w:rsid w:val="00062056"/>
    <w:rsid w:val="000654EB"/>
    <w:rsid w:val="00066B80"/>
    <w:rsid w:val="00067436"/>
    <w:rsid w:val="000679D6"/>
    <w:rsid w:val="00071FDD"/>
    <w:rsid w:val="00072F49"/>
    <w:rsid w:val="00074879"/>
    <w:rsid w:val="00082724"/>
    <w:rsid w:val="00082B87"/>
    <w:rsid w:val="00083262"/>
    <w:rsid w:val="00083A06"/>
    <w:rsid w:val="00083C96"/>
    <w:rsid w:val="00084232"/>
    <w:rsid w:val="000852E0"/>
    <w:rsid w:val="000876B8"/>
    <w:rsid w:val="0009132D"/>
    <w:rsid w:val="00091E53"/>
    <w:rsid w:val="00094174"/>
    <w:rsid w:val="000959AC"/>
    <w:rsid w:val="00096BFE"/>
    <w:rsid w:val="00096DB7"/>
    <w:rsid w:val="00097B57"/>
    <w:rsid w:val="000A0C61"/>
    <w:rsid w:val="000A170C"/>
    <w:rsid w:val="000A22A8"/>
    <w:rsid w:val="000A310D"/>
    <w:rsid w:val="000A4113"/>
    <w:rsid w:val="000A61E7"/>
    <w:rsid w:val="000A6CA9"/>
    <w:rsid w:val="000B2401"/>
    <w:rsid w:val="000C582E"/>
    <w:rsid w:val="000C5D33"/>
    <w:rsid w:val="000C7A7E"/>
    <w:rsid w:val="000D10DC"/>
    <w:rsid w:val="000D1E8C"/>
    <w:rsid w:val="000D457D"/>
    <w:rsid w:val="000D4FF2"/>
    <w:rsid w:val="000D5C05"/>
    <w:rsid w:val="000D5FC5"/>
    <w:rsid w:val="000E0233"/>
    <w:rsid w:val="000E0F7D"/>
    <w:rsid w:val="000E1D35"/>
    <w:rsid w:val="000F0427"/>
    <w:rsid w:val="000F0689"/>
    <w:rsid w:val="000F1D53"/>
    <w:rsid w:val="000F3064"/>
    <w:rsid w:val="000F341F"/>
    <w:rsid w:val="000F4C43"/>
    <w:rsid w:val="000F7302"/>
    <w:rsid w:val="000F79C5"/>
    <w:rsid w:val="00101D05"/>
    <w:rsid w:val="00102E79"/>
    <w:rsid w:val="00103275"/>
    <w:rsid w:val="001039E1"/>
    <w:rsid w:val="00105638"/>
    <w:rsid w:val="001072C1"/>
    <w:rsid w:val="00110AC6"/>
    <w:rsid w:val="00111EDB"/>
    <w:rsid w:val="00113958"/>
    <w:rsid w:val="00114AA2"/>
    <w:rsid w:val="00122BF7"/>
    <w:rsid w:val="00123761"/>
    <w:rsid w:val="00124AE7"/>
    <w:rsid w:val="0012563B"/>
    <w:rsid w:val="00130C8B"/>
    <w:rsid w:val="001315C6"/>
    <w:rsid w:val="001325E7"/>
    <w:rsid w:val="00132732"/>
    <w:rsid w:val="00132F34"/>
    <w:rsid w:val="001341C0"/>
    <w:rsid w:val="00135B74"/>
    <w:rsid w:val="001371E0"/>
    <w:rsid w:val="001417E2"/>
    <w:rsid w:val="00142EF0"/>
    <w:rsid w:val="001434E2"/>
    <w:rsid w:val="00144ED1"/>
    <w:rsid w:val="001456FA"/>
    <w:rsid w:val="0014588B"/>
    <w:rsid w:val="00147E64"/>
    <w:rsid w:val="00150213"/>
    <w:rsid w:val="00151690"/>
    <w:rsid w:val="00151722"/>
    <w:rsid w:val="0015194E"/>
    <w:rsid w:val="00153738"/>
    <w:rsid w:val="0015437E"/>
    <w:rsid w:val="00155680"/>
    <w:rsid w:val="00157372"/>
    <w:rsid w:val="00161CC5"/>
    <w:rsid w:val="001629E7"/>
    <w:rsid w:val="00162C5D"/>
    <w:rsid w:val="00163388"/>
    <w:rsid w:val="001662D0"/>
    <w:rsid w:val="00166FAC"/>
    <w:rsid w:val="0016745E"/>
    <w:rsid w:val="0017389E"/>
    <w:rsid w:val="00174553"/>
    <w:rsid w:val="0018001F"/>
    <w:rsid w:val="00180BF0"/>
    <w:rsid w:val="00181BE7"/>
    <w:rsid w:val="00181D20"/>
    <w:rsid w:val="00182DB9"/>
    <w:rsid w:val="00186B15"/>
    <w:rsid w:val="00186BD1"/>
    <w:rsid w:val="00190DC2"/>
    <w:rsid w:val="001910CF"/>
    <w:rsid w:val="00191B31"/>
    <w:rsid w:val="00191F59"/>
    <w:rsid w:val="0019246E"/>
    <w:rsid w:val="001936DA"/>
    <w:rsid w:val="0019415D"/>
    <w:rsid w:val="001A5047"/>
    <w:rsid w:val="001A5A48"/>
    <w:rsid w:val="001A5BAB"/>
    <w:rsid w:val="001A6952"/>
    <w:rsid w:val="001A6E75"/>
    <w:rsid w:val="001B2979"/>
    <w:rsid w:val="001B2B91"/>
    <w:rsid w:val="001B3340"/>
    <w:rsid w:val="001B4A43"/>
    <w:rsid w:val="001B4CB7"/>
    <w:rsid w:val="001B4FA2"/>
    <w:rsid w:val="001B5AE4"/>
    <w:rsid w:val="001B621B"/>
    <w:rsid w:val="001B68B4"/>
    <w:rsid w:val="001C0262"/>
    <w:rsid w:val="001C138A"/>
    <w:rsid w:val="001C230F"/>
    <w:rsid w:val="001C7FBC"/>
    <w:rsid w:val="001D15C3"/>
    <w:rsid w:val="001D1F9D"/>
    <w:rsid w:val="001D3273"/>
    <w:rsid w:val="001D6714"/>
    <w:rsid w:val="001D6CE1"/>
    <w:rsid w:val="001D7C1F"/>
    <w:rsid w:val="001E18F6"/>
    <w:rsid w:val="001E3B01"/>
    <w:rsid w:val="001E4731"/>
    <w:rsid w:val="001E498F"/>
    <w:rsid w:val="001F0688"/>
    <w:rsid w:val="001F2426"/>
    <w:rsid w:val="001F2B46"/>
    <w:rsid w:val="001F42D3"/>
    <w:rsid w:val="001F6723"/>
    <w:rsid w:val="001F7194"/>
    <w:rsid w:val="001F7455"/>
    <w:rsid w:val="001F7E44"/>
    <w:rsid w:val="00201BED"/>
    <w:rsid w:val="002053D8"/>
    <w:rsid w:val="00206944"/>
    <w:rsid w:val="00206E24"/>
    <w:rsid w:val="00210074"/>
    <w:rsid w:val="00212536"/>
    <w:rsid w:val="00214022"/>
    <w:rsid w:val="0021675C"/>
    <w:rsid w:val="0022212D"/>
    <w:rsid w:val="002239CF"/>
    <w:rsid w:val="002243A6"/>
    <w:rsid w:val="00234F85"/>
    <w:rsid w:val="00235037"/>
    <w:rsid w:val="00236AAE"/>
    <w:rsid w:val="00236EB8"/>
    <w:rsid w:val="00245B81"/>
    <w:rsid w:val="00246CB4"/>
    <w:rsid w:val="002501B3"/>
    <w:rsid w:val="00251441"/>
    <w:rsid w:val="00254E26"/>
    <w:rsid w:val="00256BB6"/>
    <w:rsid w:val="002577F3"/>
    <w:rsid w:val="002612EA"/>
    <w:rsid w:val="00261C45"/>
    <w:rsid w:val="00261C79"/>
    <w:rsid w:val="002621D9"/>
    <w:rsid w:val="00263E25"/>
    <w:rsid w:val="00265AC2"/>
    <w:rsid w:val="00270142"/>
    <w:rsid w:val="00271645"/>
    <w:rsid w:val="0027352E"/>
    <w:rsid w:val="00273DFB"/>
    <w:rsid w:val="002752D7"/>
    <w:rsid w:val="00275EB8"/>
    <w:rsid w:val="00276356"/>
    <w:rsid w:val="002828BB"/>
    <w:rsid w:val="00282ED8"/>
    <w:rsid w:val="00283E2F"/>
    <w:rsid w:val="002866A8"/>
    <w:rsid w:val="00286915"/>
    <w:rsid w:val="00287224"/>
    <w:rsid w:val="002910A8"/>
    <w:rsid w:val="00291C40"/>
    <w:rsid w:val="0029286A"/>
    <w:rsid w:val="002930D2"/>
    <w:rsid w:val="00294F12"/>
    <w:rsid w:val="002959BB"/>
    <w:rsid w:val="00295F1C"/>
    <w:rsid w:val="00296C83"/>
    <w:rsid w:val="0029773C"/>
    <w:rsid w:val="002A010F"/>
    <w:rsid w:val="002A0E84"/>
    <w:rsid w:val="002A2435"/>
    <w:rsid w:val="002A6EB2"/>
    <w:rsid w:val="002A70B9"/>
    <w:rsid w:val="002A79DF"/>
    <w:rsid w:val="002B0CF5"/>
    <w:rsid w:val="002B1243"/>
    <w:rsid w:val="002B14D7"/>
    <w:rsid w:val="002B2117"/>
    <w:rsid w:val="002B2D76"/>
    <w:rsid w:val="002B56E8"/>
    <w:rsid w:val="002B5C89"/>
    <w:rsid w:val="002C025F"/>
    <w:rsid w:val="002C057D"/>
    <w:rsid w:val="002C3A4E"/>
    <w:rsid w:val="002C42A4"/>
    <w:rsid w:val="002C5381"/>
    <w:rsid w:val="002C6644"/>
    <w:rsid w:val="002C6715"/>
    <w:rsid w:val="002C6C6B"/>
    <w:rsid w:val="002D15D8"/>
    <w:rsid w:val="002D227E"/>
    <w:rsid w:val="002D3227"/>
    <w:rsid w:val="002D415E"/>
    <w:rsid w:val="002D6CB9"/>
    <w:rsid w:val="002D6CFA"/>
    <w:rsid w:val="002D7577"/>
    <w:rsid w:val="002D77B0"/>
    <w:rsid w:val="002E1397"/>
    <w:rsid w:val="002E1F1C"/>
    <w:rsid w:val="002E33DA"/>
    <w:rsid w:val="002E46E7"/>
    <w:rsid w:val="002E5FE1"/>
    <w:rsid w:val="002F0A00"/>
    <w:rsid w:val="002F6646"/>
    <w:rsid w:val="002F6840"/>
    <w:rsid w:val="002F7D18"/>
    <w:rsid w:val="0030032E"/>
    <w:rsid w:val="00302022"/>
    <w:rsid w:val="0030203B"/>
    <w:rsid w:val="003028CA"/>
    <w:rsid w:val="00302E06"/>
    <w:rsid w:val="00302EFE"/>
    <w:rsid w:val="00304A5A"/>
    <w:rsid w:val="003073F0"/>
    <w:rsid w:val="00307BA7"/>
    <w:rsid w:val="00311BFD"/>
    <w:rsid w:val="003220D1"/>
    <w:rsid w:val="00324019"/>
    <w:rsid w:val="0032479B"/>
    <w:rsid w:val="003254E2"/>
    <w:rsid w:val="00332260"/>
    <w:rsid w:val="00334550"/>
    <w:rsid w:val="003435C5"/>
    <w:rsid w:val="003463C3"/>
    <w:rsid w:val="003468F6"/>
    <w:rsid w:val="00352844"/>
    <w:rsid w:val="0035337A"/>
    <w:rsid w:val="00354726"/>
    <w:rsid w:val="0035520F"/>
    <w:rsid w:val="003565CB"/>
    <w:rsid w:val="00357151"/>
    <w:rsid w:val="0035782D"/>
    <w:rsid w:val="00363730"/>
    <w:rsid w:val="003668CE"/>
    <w:rsid w:val="003742F3"/>
    <w:rsid w:val="00374307"/>
    <w:rsid w:val="00374651"/>
    <w:rsid w:val="00374AF8"/>
    <w:rsid w:val="00375BA3"/>
    <w:rsid w:val="00375C77"/>
    <w:rsid w:val="00376275"/>
    <w:rsid w:val="00376AB2"/>
    <w:rsid w:val="00380613"/>
    <w:rsid w:val="00382045"/>
    <w:rsid w:val="003845DC"/>
    <w:rsid w:val="00385291"/>
    <w:rsid w:val="0038616C"/>
    <w:rsid w:val="0039271B"/>
    <w:rsid w:val="0039280B"/>
    <w:rsid w:val="00392953"/>
    <w:rsid w:val="00393383"/>
    <w:rsid w:val="003945E9"/>
    <w:rsid w:val="003959DD"/>
    <w:rsid w:val="0039620E"/>
    <w:rsid w:val="0039768C"/>
    <w:rsid w:val="00397843"/>
    <w:rsid w:val="003A394D"/>
    <w:rsid w:val="003B0647"/>
    <w:rsid w:val="003B0907"/>
    <w:rsid w:val="003B0C9F"/>
    <w:rsid w:val="003B25BC"/>
    <w:rsid w:val="003B2D50"/>
    <w:rsid w:val="003B3262"/>
    <w:rsid w:val="003B347E"/>
    <w:rsid w:val="003B5383"/>
    <w:rsid w:val="003B56E7"/>
    <w:rsid w:val="003B5BA1"/>
    <w:rsid w:val="003C0E95"/>
    <w:rsid w:val="003C1782"/>
    <w:rsid w:val="003C187C"/>
    <w:rsid w:val="003C6802"/>
    <w:rsid w:val="003C6B9B"/>
    <w:rsid w:val="003D0047"/>
    <w:rsid w:val="003D1B25"/>
    <w:rsid w:val="003D1C2B"/>
    <w:rsid w:val="003D246D"/>
    <w:rsid w:val="003D2F2F"/>
    <w:rsid w:val="003D444B"/>
    <w:rsid w:val="003D5D8C"/>
    <w:rsid w:val="003D797A"/>
    <w:rsid w:val="003E3B01"/>
    <w:rsid w:val="003E6006"/>
    <w:rsid w:val="003E68AB"/>
    <w:rsid w:val="003E6BC6"/>
    <w:rsid w:val="003E7BA8"/>
    <w:rsid w:val="003F0E39"/>
    <w:rsid w:val="003F1EF0"/>
    <w:rsid w:val="003F1F83"/>
    <w:rsid w:val="003F43D6"/>
    <w:rsid w:val="003F7BF1"/>
    <w:rsid w:val="004007E9"/>
    <w:rsid w:val="00401D6D"/>
    <w:rsid w:val="00403938"/>
    <w:rsid w:val="00403DA0"/>
    <w:rsid w:val="00407D6E"/>
    <w:rsid w:val="004108CE"/>
    <w:rsid w:val="00411406"/>
    <w:rsid w:val="00411704"/>
    <w:rsid w:val="00416161"/>
    <w:rsid w:val="00416919"/>
    <w:rsid w:val="004205A7"/>
    <w:rsid w:val="00420636"/>
    <w:rsid w:val="004207D7"/>
    <w:rsid w:val="00421B39"/>
    <w:rsid w:val="004229FD"/>
    <w:rsid w:val="00423415"/>
    <w:rsid w:val="004305F9"/>
    <w:rsid w:val="0043065F"/>
    <w:rsid w:val="00431598"/>
    <w:rsid w:val="00431848"/>
    <w:rsid w:val="00433552"/>
    <w:rsid w:val="00434544"/>
    <w:rsid w:val="004411B8"/>
    <w:rsid w:val="00442005"/>
    <w:rsid w:val="00443EFA"/>
    <w:rsid w:val="00445422"/>
    <w:rsid w:val="00446449"/>
    <w:rsid w:val="00447650"/>
    <w:rsid w:val="004515A9"/>
    <w:rsid w:val="00451B0B"/>
    <w:rsid w:val="00452C25"/>
    <w:rsid w:val="00454209"/>
    <w:rsid w:val="00455300"/>
    <w:rsid w:val="00456BE7"/>
    <w:rsid w:val="00461E53"/>
    <w:rsid w:val="00461F98"/>
    <w:rsid w:val="0046397D"/>
    <w:rsid w:val="0046470F"/>
    <w:rsid w:val="0046525C"/>
    <w:rsid w:val="00470344"/>
    <w:rsid w:val="0047070C"/>
    <w:rsid w:val="00471344"/>
    <w:rsid w:val="00471A9B"/>
    <w:rsid w:val="00474F86"/>
    <w:rsid w:val="0048013D"/>
    <w:rsid w:val="00480707"/>
    <w:rsid w:val="00480806"/>
    <w:rsid w:val="004836A5"/>
    <w:rsid w:val="0048473D"/>
    <w:rsid w:val="004852AB"/>
    <w:rsid w:val="00487B3A"/>
    <w:rsid w:val="00487B54"/>
    <w:rsid w:val="004926D7"/>
    <w:rsid w:val="004952AD"/>
    <w:rsid w:val="00496EF0"/>
    <w:rsid w:val="004A028A"/>
    <w:rsid w:val="004A230C"/>
    <w:rsid w:val="004A28D1"/>
    <w:rsid w:val="004A40C2"/>
    <w:rsid w:val="004A579A"/>
    <w:rsid w:val="004A5C79"/>
    <w:rsid w:val="004A6890"/>
    <w:rsid w:val="004B0CF7"/>
    <w:rsid w:val="004B32AD"/>
    <w:rsid w:val="004B7521"/>
    <w:rsid w:val="004C08B1"/>
    <w:rsid w:val="004C1178"/>
    <w:rsid w:val="004C162E"/>
    <w:rsid w:val="004C1D29"/>
    <w:rsid w:val="004C2945"/>
    <w:rsid w:val="004D08FF"/>
    <w:rsid w:val="004D2A16"/>
    <w:rsid w:val="004D4ED0"/>
    <w:rsid w:val="004D542C"/>
    <w:rsid w:val="004D5A57"/>
    <w:rsid w:val="004D7550"/>
    <w:rsid w:val="004E08B7"/>
    <w:rsid w:val="004E1831"/>
    <w:rsid w:val="004E1E4B"/>
    <w:rsid w:val="004E3757"/>
    <w:rsid w:val="004E3A23"/>
    <w:rsid w:val="004F67D2"/>
    <w:rsid w:val="0050273B"/>
    <w:rsid w:val="00502B1D"/>
    <w:rsid w:val="00502EE0"/>
    <w:rsid w:val="005032AE"/>
    <w:rsid w:val="00510340"/>
    <w:rsid w:val="005106B0"/>
    <w:rsid w:val="005106DC"/>
    <w:rsid w:val="00512A22"/>
    <w:rsid w:val="0051367D"/>
    <w:rsid w:val="005167B3"/>
    <w:rsid w:val="0052176C"/>
    <w:rsid w:val="00522441"/>
    <w:rsid w:val="005235DF"/>
    <w:rsid w:val="00524995"/>
    <w:rsid w:val="005259E8"/>
    <w:rsid w:val="0052652B"/>
    <w:rsid w:val="005276D7"/>
    <w:rsid w:val="00530233"/>
    <w:rsid w:val="00531DCE"/>
    <w:rsid w:val="00533143"/>
    <w:rsid w:val="00534153"/>
    <w:rsid w:val="00534EE7"/>
    <w:rsid w:val="00535DF1"/>
    <w:rsid w:val="005372E5"/>
    <w:rsid w:val="00540A15"/>
    <w:rsid w:val="00541A2B"/>
    <w:rsid w:val="00543B1D"/>
    <w:rsid w:val="00545E10"/>
    <w:rsid w:val="0054687E"/>
    <w:rsid w:val="00550DBC"/>
    <w:rsid w:val="00552E13"/>
    <w:rsid w:val="00553062"/>
    <w:rsid w:val="005533A0"/>
    <w:rsid w:val="005551F9"/>
    <w:rsid w:val="00555B00"/>
    <w:rsid w:val="00555CB0"/>
    <w:rsid w:val="00560C05"/>
    <w:rsid w:val="00567F0E"/>
    <w:rsid w:val="00570517"/>
    <w:rsid w:val="00571DCB"/>
    <w:rsid w:val="00571F2F"/>
    <w:rsid w:val="00574C5F"/>
    <w:rsid w:val="00576BDC"/>
    <w:rsid w:val="00577172"/>
    <w:rsid w:val="005814EA"/>
    <w:rsid w:val="00581E93"/>
    <w:rsid w:val="00587239"/>
    <w:rsid w:val="005914CB"/>
    <w:rsid w:val="00594B0A"/>
    <w:rsid w:val="00596506"/>
    <w:rsid w:val="005A2313"/>
    <w:rsid w:val="005A400E"/>
    <w:rsid w:val="005A451C"/>
    <w:rsid w:val="005A469D"/>
    <w:rsid w:val="005A53E6"/>
    <w:rsid w:val="005A5DCA"/>
    <w:rsid w:val="005A6FB5"/>
    <w:rsid w:val="005B00D7"/>
    <w:rsid w:val="005B01DD"/>
    <w:rsid w:val="005B1738"/>
    <w:rsid w:val="005B1EE4"/>
    <w:rsid w:val="005B6C29"/>
    <w:rsid w:val="005C07AD"/>
    <w:rsid w:val="005C0C4D"/>
    <w:rsid w:val="005C2153"/>
    <w:rsid w:val="005C2688"/>
    <w:rsid w:val="005C2FDD"/>
    <w:rsid w:val="005C34FB"/>
    <w:rsid w:val="005C594A"/>
    <w:rsid w:val="005C75E6"/>
    <w:rsid w:val="005C7A2B"/>
    <w:rsid w:val="005C7E2A"/>
    <w:rsid w:val="005D1696"/>
    <w:rsid w:val="005D28D6"/>
    <w:rsid w:val="005D5BD6"/>
    <w:rsid w:val="005D6ADC"/>
    <w:rsid w:val="005D710E"/>
    <w:rsid w:val="005E02DE"/>
    <w:rsid w:val="005E042C"/>
    <w:rsid w:val="005E1B29"/>
    <w:rsid w:val="005E1CB6"/>
    <w:rsid w:val="005E26B9"/>
    <w:rsid w:val="005E3906"/>
    <w:rsid w:val="005E42D2"/>
    <w:rsid w:val="005E47DB"/>
    <w:rsid w:val="005E4C22"/>
    <w:rsid w:val="005E4D9E"/>
    <w:rsid w:val="005E6B7D"/>
    <w:rsid w:val="005E7409"/>
    <w:rsid w:val="005F026F"/>
    <w:rsid w:val="005F1177"/>
    <w:rsid w:val="005F275D"/>
    <w:rsid w:val="005F5D26"/>
    <w:rsid w:val="005F6688"/>
    <w:rsid w:val="0060072D"/>
    <w:rsid w:val="00601016"/>
    <w:rsid w:val="00601392"/>
    <w:rsid w:val="00602493"/>
    <w:rsid w:val="006027AC"/>
    <w:rsid w:val="0060491D"/>
    <w:rsid w:val="00605137"/>
    <w:rsid w:val="00606F78"/>
    <w:rsid w:val="006075FF"/>
    <w:rsid w:val="00607E4A"/>
    <w:rsid w:val="00620BFB"/>
    <w:rsid w:val="00621B05"/>
    <w:rsid w:val="006225B6"/>
    <w:rsid w:val="00622865"/>
    <w:rsid w:val="00627F67"/>
    <w:rsid w:val="00630AFB"/>
    <w:rsid w:val="00632A33"/>
    <w:rsid w:val="0063431A"/>
    <w:rsid w:val="00634AFE"/>
    <w:rsid w:val="00635E23"/>
    <w:rsid w:val="00635E70"/>
    <w:rsid w:val="006428B4"/>
    <w:rsid w:val="00643B58"/>
    <w:rsid w:val="00645F19"/>
    <w:rsid w:val="006463D9"/>
    <w:rsid w:val="00650002"/>
    <w:rsid w:val="00650F3B"/>
    <w:rsid w:val="0065145F"/>
    <w:rsid w:val="0065521B"/>
    <w:rsid w:val="0065690D"/>
    <w:rsid w:val="00662CE7"/>
    <w:rsid w:val="006633E8"/>
    <w:rsid w:val="00664514"/>
    <w:rsid w:val="00667805"/>
    <w:rsid w:val="00667975"/>
    <w:rsid w:val="00670436"/>
    <w:rsid w:val="006704A2"/>
    <w:rsid w:val="00671B55"/>
    <w:rsid w:val="00675746"/>
    <w:rsid w:val="00675F9E"/>
    <w:rsid w:val="006777E7"/>
    <w:rsid w:val="00677CB8"/>
    <w:rsid w:val="00681236"/>
    <w:rsid w:val="00681D6A"/>
    <w:rsid w:val="0068269F"/>
    <w:rsid w:val="006857EB"/>
    <w:rsid w:val="006867AC"/>
    <w:rsid w:val="006874AF"/>
    <w:rsid w:val="00692AA5"/>
    <w:rsid w:val="00693706"/>
    <w:rsid w:val="00693D5C"/>
    <w:rsid w:val="0069684C"/>
    <w:rsid w:val="006A1F50"/>
    <w:rsid w:val="006A22BB"/>
    <w:rsid w:val="006A3A8B"/>
    <w:rsid w:val="006A6259"/>
    <w:rsid w:val="006B1498"/>
    <w:rsid w:val="006B3ED6"/>
    <w:rsid w:val="006B4EA1"/>
    <w:rsid w:val="006B59E7"/>
    <w:rsid w:val="006B5BE6"/>
    <w:rsid w:val="006C04D8"/>
    <w:rsid w:val="006C17DA"/>
    <w:rsid w:val="006C2D96"/>
    <w:rsid w:val="006C659A"/>
    <w:rsid w:val="006C6D5F"/>
    <w:rsid w:val="006C734A"/>
    <w:rsid w:val="006C7646"/>
    <w:rsid w:val="006D33E8"/>
    <w:rsid w:val="006D4132"/>
    <w:rsid w:val="006D496D"/>
    <w:rsid w:val="006D6695"/>
    <w:rsid w:val="006D6E3D"/>
    <w:rsid w:val="006D78FC"/>
    <w:rsid w:val="006E0E1A"/>
    <w:rsid w:val="006E20F6"/>
    <w:rsid w:val="006E2E21"/>
    <w:rsid w:val="006E325C"/>
    <w:rsid w:val="006E40F2"/>
    <w:rsid w:val="006E57B9"/>
    <w:rsid w:val="006E6F82"/>
    <w:rsid w:val="006E7C38"/>
    <w:rsid w:val="006F0679"/>
    <w:rsid w:val="006F07C0"/>
    <w:rsid w:val="006F1377"/>
    <w:rsid w:val="006F1410"/>
    <w:rsid w:val="006F3902"/>
    <w:rsid w:val="006F54E4"/>
    <w:rsid w:val="006F5584"/>
    <w:rsid w:val="006F72E7"/>
    <w:rsid w:val="00701526"/>
    <w:rsid w:val="00701F3A"/>
    <w:rsid w:val="007030DF"/>
    <w:rsid w:val="00705543"/>
    <w:rsid w:val="00712A7F"/>
    <w:rsid w:val="007139E7"/>
    <w:rsid w:val="0071412D"/>
    <w:rsid w:val="00714173"/>
    <w:rsid w:val="00714421"/>
    <w:rsid w:val="00716C38"/>
    <w:rsid w:val="00722860"/>
    <w:rsid w:val="00723CCE"/>
    <w:rsid w:val="00724126"/>
    <w:rsid w:val="007262EE"/>
    <w:rsid w:val="007275D6"/>
    <w:rsid w:val="007277FD"/>
    <w:rsid w:val="00727A04"/>
    <w:rsid w:val="007302EB"/>
    <w:rsid w:val="00731FF9"/>
    <w:rsid w:val="00733CB9"/>
    <w:rsid w:val="007350F6"/>
    <w:rsid w:val="00740E82"/>
    <w:rsid w:val="00741304"/>
    <w:rsid w:val="0074159B"/>
    <w:rsid w:val="0074595D"/>
    <w:rsid w:val="007471DF"/>
    <w:rsid w:val="00753332"/>
    <w:rsid w:val="00754044"/>
    <w:rsid w:val="007555A1"/>
    <w:rsid w:val="007604A8"/>
    <w:rsid w:val="00761319"/>
    <w:rsid w:val="00761C4D"/>
    <w:rsid w:val="00762262"/>
    <w:rsid w:val="00764D41"/>
    <w:rsid w:val="00765C62"/>
    <w:rsid w:val="00765CB6"/>
    <w:rsid w:val="00770CB8"/>
    <w:rsid w:val="00771D79"/>
    <w:rsid w:val="007730FD"/>
    <w:rsid w:val="00773B02"/>
    <w:rsid w:val="0077422A"/>
    <w:rsid w:val="00774D35"/>
    <w:rsid w:val="007752F5"/>
    <w:rsid w:val="007758FB"/>
    <w:rsid w:val="00776E0C"/>
    <w:rsid w:val="00780224"/>
    <w:rsid w:val="0078308E"/>
    <w:rsid w:val="007839AD"/>
    <w:rsid w:val="007846D0"/>
    <w:rsid w:val="0078532D"/>
    <w:rsid w:val="007870C7"/>
    <w:rsid w:val="007902FF"/>
    <w:rsid w:val="007906AE"/>
    <w:rsid w:val="007909E0"/>
    <w:rsid w:val="00790E30"/>
    <w:rsid w:val="00792FBD"/>
    <w:rsid w:val="00793F36"/>
    <w:rsid w:val="007941CC"/>
    <w:rsid w:val="00796C5A"/>
    <w:rsid w:val="00797DB3"/>
    <w:rsid w:val="007A2860"/>
    <w:rsid w:val="007A2947"/>
    <w:rsid w:val="007A36F2"/>
    <w:rsid w:val="007A5C9A"/>
    <w:rsid w:val="007B427B"/>
    <w:rsid w:val="007B4764"/>
    <w:rsid w:val="007B6764"/>
    <w:rsid w:val="007C003A"/>
    <w:rsid w:val="007C2398"/>
    <w:rsid w:val="007C2492"/>
    <w:rsid w:val="007C4F41"/>
    <w:rsid w:val="007C6429"/>
    <w:rsid w:val="007C72C6"/>
    <w:rsid w:val="007C7FFA"/>
    <w:rsid w:val="007D2227"/>
    <w:rsid w:val="007D240D"/>
    <w:rsid w:val="007D2E27"/>
    <w:rsid w:val="007D2E4A"/>
    <w:rsid w:val="007D4C02"/>
    <w:rsid w:val="007D5ED3"/>
    <w:rsid w:val="007D61AB"/>
    <w:rsid w:val="007E2F4E"/>
    <w:rsid w:val="007E56D0"/>
    <w:rsid w:val="007E5FDC"/>
    <w:rsid w:val="007E7FB1"/>
    <w:rsid w:val="007F07BB"/>
    <w:rsid w:val="007F1A35"/>
    <w:rsid w:val="007F1F9C"/>
    <w:rsid w:val="007F2B63"/>
    <w:rsid w:val="007F3F3C"/>
    <w:rsid w:val="007F50E6"/>
    <w:rsid w:val="00801AF4"/>
    <w:rsid w:val="00803032"/>
    <w:rsid w:val="00803492"/>
    <w:rsid w:val="00804D88"/>
    <w:rsid w:val="00810814"/>
    <w:rsid w:val="0081117A"/>
    <w:rsid w:val="008158A1"/>
    <w:rsid w:val="00815AB0"/>
    <w:rsid w:val="0081713D"/>
    <w:rsid w:val="008174B8"/>
    <w:rsid w:val="00821700"/>
    <w:rsid w:val="00821AB4"/>
    <w:rsid w:val="00824B26"/>
    <w:rsid w:val="00827B0F"/>
    <w:rsid w:val="00827FE2"/>
    <w:rsid w:val="00830028"/>
    <w:rsid w:val="00830C8D"/>
    <w:rsid w:val="008401D5"/>
    <w:rsid w:val="00840D57"/>
    <w:rsid w:val="00843E1E"/>
    <w:rsid w:val="0084687D"/>
    <w:rsid w:val="00850EFB"/>
    <w:rsid w:val="008510BA"/>
    <w:rsid w:val="00853A7D"/>
    <w:rsid w:val="008549AE"/>
    <w:rsid w:val="00863580"/>
    <w:rsid w:val="008643F7"/>
    <w:rsid w:val="00866339"/>
    <w:rsid w:val="008704A1"/>
    <w:rsid w:val="008716F9"/>
    <w:rsid w:val="008734DA"/>
    <w:rsid w:val="00874810"/>
    <w:rsid w:val="008768AD"/>
    <w:rsid w:val="00877194"/>
    <w:rsid w:val="008854BD"/>
    <w:rsid w:val="00887C1E"/>
    <w:rsid w:val="00891115"/>
    <w:rsid w:val="00892ABF"/>
    <w:rsid w:val="00892C9C"/>
    <w:rsid w:val="00896074"/>
    <w:rsid w:val="008A0223"/>
    <w:rsid w:val="008A090E"/>
    <w:rsid w:val="008A1906"/>
    <w:rsid w:val="008A191F"/>
    <w:rsid w:val="008A1C24"/>
    <w:rsid w:val="008A5EEB"/>
    <w:rsid w:val="008A65B1"/>
    <w:rsid w:val="008B3D81"/>
    <w:rsid w:val="008B4D20"/>
    <w:rsid w:val="008B6065"/>
    <w:rsid w:val="008B6168"/>
    <w:rsid w:val="008B64DD"/>
    <w:rsid w:val="008B7740"/>
    <w:rsid w:val="008C003F"/>
    <w:rsid w:val="008C345A"/>
    <w:rsid w:val="008C5D07"/>
    <w:rsid w:val="008D0634"/>
    <w:rsid w:val="008D1B47"/>
    <w:rsid w:val="008D2E68"/>
    <w:rsid w:val="008D3A39"/>
    <w:rsid w:val="008D4A06"/>
    <w:rsid w:val="008D5364"/>
    <w:rsid w:val="008D5C60"/>
    <w:rsid w:val="008D6001"/>
    <w:rsid w:val="008E1FA7"/>
    <w:rsid w:val="008E2314"/>
    <w:rsid w:val="008E2743"/>
    <w:rsid w:val="008E65E2"/>
    <w:rsid w:val="008E6E0E"/>
    <w:rsid w:val="008F0305"/>
    <w:rsid w:val="008F0A5E"/>
    <w:rsid w:val="008F152F"/>
    <w:rsid w:val="008F30A3"/>
    <w:rsid w:val="008F35F1"/>
    <w:rsid w:val="008F6613"/>
    <w:rsid w:val="008F7744"/>
    <w:rsid w:val="009011B1"/>
    <w:rsid w:val="009040AF"/>
    <w:rsid w:val="009079A3"/>
    <w:rsid w:val="00910C18"/>
    <w:rsid w:val="00911210"/>
    <w:rsid w:val="00911CAC"/>
    <w:rsid w:val="00911DB1"/>
    <w:rsid w:val="009179AA"/>
    <w:rsid w:val="00921DF3"/>
    <w:rsid w:val="00923509"/>
    <w:rsid w:val="009235D3"/>
    <w:rsid w:val="0092650F"/>
    <w:rsid w:val="00926A44"/>
    <w:rsid w:val="00931591"/>
    <w:rsid w:val="00931A06"/>
    <w:rsid w:val="00932C8B"/>
    <w:rsid w:val="00932E23"/>
    <w:rsid w:val="009332CE"/>
    <w:rsid w:val="00936A5D"/>
    <w:rsid w:val="00937BEE"/>
    <w:rsid w:val="00942021"/>
    <w:rsid w:val="00942F76"/>
    <w:rsid w:val="00943DF7"/>
    <w:rsid w:val="0094656D"/>
    <w:rsid w:val="00954CF9"/>
    <w:rsid w:val="009566F1"/>
    <w:rsid w:val="0095729D"/>
    <w:rsid w:val="00957CEC"/>
    <w:rsid w:val="00961D91"/>
    <w:rsid w:val="00965295"/>
    <w:rsid w:val="00966E48"/>
    <w:rsid w:val="009703CE"/>
    <w:rsid w:val="009715DF"/>
    <w:rsid w:val="00973829"/>
    <w:rsid w:val="00974F3F"/>
    <w:rsid w:val="00975425"/>
    <w:rsid w:val="00976D3D"/>
    <w:rsid w:val="009803E6"/>
    <w:rsid w:val="00980C67"/>
    <w:rsid w:val="00982A8B"/>
    <w:rsid w:val="00982B13"/>
    <w:rsid w:val="00985A82"/>
    <w:rsid w:val="009871DC"/>
    <w:rsid w:val="009871E2"/>
    <w:rsid w:val="00987C4E"/>
    <w:rsid w:val="0099302F"/>
    <w:rsid w:val="00993143"/>
    <w:rsid w:val="00994D53"/>
    <w:rsid w:val="00996137"/>
    <w:rsid w:val="009967A3"/>
    <w:rsid w:val="009A2521"/>
    <w:rsid w:val="009A59DC"/>
    <w:rsid w:val="009A5E30"/>
    <w:rsid w:val="009A6CB4"/>
    <w:rsid w:val="009A746F"/>
    <w:rsid w:val="009B0B12"/>
    <w:rsid w:val="009B175A"/>
    <w:rsid w:val="009B46C4"/>
    <w:rsid w:val="009B588C"/>
    <w:rsid w:val="009B6BC7"/>
    <w:rsid w:val="009C086E"/>
    <w:rsid w:val="009C0CF2"/>
    <w:rsid w:val="009C27BD"/>
    <w:rsid w:val="009C57B9"/>
    <w:rsid w:val="009D0565"/>
    <w:rsid w:val="009D177D"/>
    <w:rsid w:val="009D46BB"/>
    <w:rsid w:val="009E120F"/>
    <w:rsid w:val="009E149E"/>
    <w:rsid w:val="009E353B"/>
    <w:rsid w:val="009E7680"/>
    <w:rsid w:val="009F1703"/>
    <w:rsid w:val="009F35B8"/>
    <w:rsid w:val="009F43C7"/>
    <w:rsid w:val="009F47D4"/>
    <w:rsid w:val="009F51CE"/>
    <w:rsid w:val="009F576F"/>
    <w:rsid w:val="009F6E57"/>
    <w:rsid w:val="009F74D4"/>
    <w:rsid w:val="00A06F2C"/>
    <w:rsid w:val="00A07FE7"/>
    <w:rsid w:val="00A127BA"/>
    <w:rsid w:val="00A1310D"/>
    <w:rsid w:val="00A14568"/>
    <w:rsid w:val="00A146C4"/>
    <w:rsid w:val="00A21F2D"/>
    <w:rsid w:val="00A22D57"/>
    <w:rsid w:val="00A23CFF"/>
    <w:rsid w:val="00A27D70"/>
    <w:rsid w:val="00A30CFB"/>
    <w:rsid w:val="00A31903"/>
    <w:rsid w:val="00A3221D"/>
    <w:rsid w:val="00A327AB"/>
    <w:rsid w:val="00A33593"/>
    <w:rsid w:val="00A33E0A"/>
    <w:rsid w:val="00A3486D"/>
    <w:rsid w:val="00A40B2E"/>
    <w:rsid w:val="00A51907"/>
    <w:rsid w:val="00A52783"/>
    <w:rsid w:val="00A53446"/>
    <w:rsid w:val="00A55B4B"/>
    <w:rsid w:val="00A60085"/>
    <w:rsid w:val="00A61814"/>
    <w:rsid w:val="00A622AB"/>
    <w:rsid w:val="00A640F3"/>
    <w:rsid w:val="00A643D0"/>
    <w:rsid w:val="00A64BE6"/>
    <w:rsid w:val="00A64D33"/>
    <w:rsid w:val="00A658C4"/>
    <w:rsid w:val="00A660CC"/>
    <w:rsid w:val="00A67249"/>
    <w:rsid w:val="00A67C8A"/>
    <w:rsid w:val="00A70EA6"/>
    <w:rsid w:val="00A70F72"/>
    <w:rsid w:val="00A71573"/>
    <w:rsid w:val="00A71798"/>
    <w:rsid w:val="00A71F55"/>
    <w:rsid w:val="00A724AD"/>
    <w:rsid w:val="00A742F1"/>
    <w:rsid w:val="00A74A58"/>
    <w:rsid w:val="00A75552"/>
    <w:rsid w:val="00A75648"/>
    <w:rsid w:val="00A800F3"/>
    <w:rsid w:val="00A80332"/>
    <w:rsid w:val="00A80569"/>
    <w:rsid w:val="00A80BB6"/>
    <w:rsid w:val="00A82E23"/>
    <w:rsid w:val="00A831E2"/>
    <w:rsid w:val="00A832B0"/>
    <w:rsid w:val="00A83B1C"/>
    <w:rsid w:val="00A862D8"/>
    <w:rsid w:val="00A87D2A"/>
    <w:rsid w:val="00A91648"/>
    <w:rsid w:val="00A91EDB"/>
    <w:rsid w:val="00A92640"/>
    <w:rsid w:val="00A9265F"/>
    <w:rsid w:val="00A927B4"/>
    <w:rsid w:val="00A93716"/>
    <w:rsid w:val="00A93930"/>
    <w:rsid w:val="00A95244"/>
    <w:rsid w:val="00A9544F"/>
    <w:rsid w:val="00A963F3"/>
    <w:rsid w:val="00A96826"/>
    <w:rsid w:val="00A96C05"/>
    <w:rsid w:val="00A9707D"/>
    <w:rsid w:val="00A9763C"/>
    <w:rsid w:val="00AA0E39"/>
    <w:rsid w:val="00AA114B"/>
    <w:rsid w:val="00AA296E"/>
    <w:rsid w:val="00AA34B4"/>
    <w:rsid w:val="00AA39C8"/>
    <w:rsid w:val="00AB0821"/>
    <w:rsid w:val="00AB2AF3"/>
    <w:rsid w:val="00AB2DF4"/>
    <w:rsid w:val="00AB32B8"/>
    <w:rsid w:val="00AB7AFD"/>
    <w:rsid w:val="00AB7DE8"/>
    <w:rsid w:val="00AC01BA"/>
    <w:rsid w:val="00AC033D"/>
    <w:rsid w:val="00AC450D"/>
    <w:rsid w:val="00AC5FB5"/>
    <w:rsid w:val="00AC6044"/>
    <w:rsid w:val="00AC606D"/>
    <w:rsid w:val="00AC6B71"/>
    <w:rsid w:val="00AC709E"/>
    <w:rsid w:val="00AC73D4"/>
    <w:rsid w:val="00AD6294"/>
    <w:rsid w:val="00AE13A9"/>
    <w:rsid w:val="00AE17D7"/>
    <w:rsid w:val="00AE3F49"/>
    <w:rsid w:val="00AE411D"/>
    <w:rsid w:val="00AE448A"/>
    <w:rsid w:val="00AE47A9"/>
    <w:rsid w:val="00AE664B"/>
    <w:rsid w:val="00AE66A0"/>
    <w:rsid w:val="00AE74A7"/>
    <w:rsid w:val="00AE7540"/>
    <w:rsid w:val="00AE76F2"/>
    <w:rsid w:val="00AF0D86"/>
    <w:rsid w:val="00AF33E8"/>
    <w:rsid w:val="00AF4726"/>
    <w:rsid w:val="00AF4DAD"/>
    <w:rsid w:val="00AF57FD"/>
    <w:rsid w:val="00AF6280"/>
    <w:rsid w:val="00B00C56"/>
    <w:rsid w:val="00B0201C"/>
    <w:rsid w:val="00B029DB"/>
    <w:rsid w:val="00B03E0A"/>
    <w:rsid w:val="00B044F7"/>
    <w:rsid w:val="00B103F9"/>
    <w:rsid w:val="00B12919"/>
    <w:rsid w:val="00B12AFA"/>
    <w:rsid w:val="00B17EA3"/>
    <w:rsid w:val="00B20215"/>
    <w:rsid w:val="00B20514"/>
    <w:rsid w:val="00B2475D"/>
    <w:rsid w:val="00B25D9C"/>
    <w:rsid w:val="00B27E5E"/>
    <w:rsid w:val="00B3042F"/>
    <w:rsid w:val="00B305D7"/>
    <w:rsid w:val="00B31397"/>
    <w:rsid w:val="00B33495"/>
    <w:rsid w:val="00B33A41"/>
    <w:rsid w:val="00B349EF"/>
    <w:rsid w:val="00B34FD0"/>
    <w:rsid w:val="00B352AA"/>
    <w:rsid w:val="00B3575D"/>
    <w:rsid w:val="00B3612A"/>
    <w:rsid w:val="00B4015A"/>
    <w:rsid w:val="00B43210"/>
    <w:rsid w:val="00B46F48"/>
    <w:rsid w:val="00B4777B"/>
    <w:rsid w:val="00B50CA7"/>
    <w:rsid w:val="00B50D34"/>
    <w:rsid w:val="00B51EEA"/>
    <w:rsid w:val="00B522FB"/>
    <w:rsid w:val="00B54DE4"/>
    <w:rsid w:val="00B611A1"/>
    <w:rsid w:val="00B67068"/>
    <w:rsid w:val="00B708F7"/>
    <w:rsid w:val="00B71DAF"/>
    <w:rsid w:val="00B72A71"/>
    <w:rsid w:val="00B77805"/>
    <w:rsid w:val="00B80CDB"/>
    <w:rsid w:val="00B81B2C"/>
    <w:rsid w:val="00B8284B"/>
    <w:rsid w:val="00B83233"/>
    <w:rsid w:val="00B83BA8"/>
    <w:rsid w:val="00B8528E"/>
    <w:rsid w:val="00B8669C"/>
    <w:rsid w:val="00B870B3"/>
    <w:rsid w:val="00B906C2"/>
    <w:rsid w:val="00B93F4C"/>
    <w:rsid w:val="00B96119"/>
    <w:rsid w:val="00B96938"/>
    <w:rsid w:val="00B975D7"/>
    <w:rsid w:val="00B97D7D"/>
    <w:rsid w:val="00BA0645"/>
    <w:rsid w:val="00BA13CD"/>
    <w:rsid w:val="00BA2C53"/>
    <w:rsid w:val="00BA48D9"/>
    <w:rsid w:val="00BA4ACA"/>
    <w:rsid w:val="00BA4E2C"/>
    <w:rsid w:val="00BA55E5"/>
    <w:rsid w:val="00BA56CC"/>
    <w:rsid w:val="00BB0AF1"/>
    <w:rsid w:val="00BB1D9E"/>
    <w:rsid w:val="00BB2137"/>
    <w:rsid w:val="00BB319F"/>
    <w:rsid w:val="00BB7456"/>
    <w:rsid w:val="00BC04C6"/>
    <w:rsid w:val="00BC0997"/>
    <w:rsid w:val="00BC0E48"/>
    <w:rsid w:val="00BC72EA"/>
    <w:rsid w:val="00BC74BC"/>
    <w:rsid w:val="00BD0163"/>
    <w:rsid w:val="00BD287B"/>
    <w:rsid w:val="00BD3576"/>
    <w:rsid w:val="00BD5A79"/>
    <w:rsid w:val="00BD63C7"/>
    <w:rsid w:val="00BE00F3"/>
    <w:rsid w:val="00BE1078"/>
    <w:rsid w:val="00BE1F73"/>
    <w:rsid w:val="00BE3A5E"/>
    <w:rsid w:val="00BE3B43"/>
    <w:rsid w:val="00BE48C5"/>
    <w:rsid w:val="00BE63F4"/>
    <w:rsid w:val="00BE699F"/>
    <w:rsid w:val="00BE781E"/>
    <w:rsid w:val="00BF26CD"/>
    <w:rsid w:val="00BF2C00"/>
    <w:rsid w:val="00BF3120"/>
    <w:rsid w:val="00BF453D"/>
    <w:rsid w:val="00C01A1A"/>
    <w:rsid w:val="00C10C87"/>
    <w:rsid w:val="00C12F43"/>
    <w:rsid w:val="00C131C0"/>
    <w:rsid w:val="00C14095"/>
    <w:rsid w:val="00C17D0F"/>
    <w:rsid w:val="00C2085B"/>
    <w:rsid w:val="00C20A01"/>
    <w:rsid w:val="00C2155A"/>
    <w:rsid w:val="00C24D3E"/>
    <w:rsid w:val="00C24FE0"/>
    <w:rsid w:val="00C27C5F"/>
    <w:rsid w:val="00C27CCF"/>
    <w:rsid w:val="00C31197"/>
    <w:rsid w:val="00C320C0"/>
    <w:rsid w:val="00C3224C"/>
    <w:rsid w:val="00C3397C"/>
    <w:rsid w:val="00C34894"/>
    <w:rsid w:val="00C35C18"/>
    <w:rsid w:val="00C35D69"/>
    <w:rsid w:val="00C36FE0"/>
    <w:rsid w:val="00C37083"/>
    <w:rsid w:val="00C373FB"/>
    <w:rsid w:val="00C379B2"/>
    <w:rsid w:val="00C42FF4"/>
    <w:rsid w:val="00C457A3"/>
    <w:rsid w:val="00C502D0"/>
    <w:rsid w:val="00C51465"/>
    <w:rsid w:val="00C51D2D"/>
    <w:rsid w:val="00C52A67"/>
    <w:rsid w:val="00C52CBA"/>
    <w:rsid w:val="00C553E7"/>
    <w:rsid w:val="00C565CA"/>
    <w:rsid w:val="00C56C18"/>
    <w:rsid w:val="00C579C3"/>
    <w:rsid w:val="00C57A95"/>
    <w:rsid w:val="00C603A1"/>
    <w:rsid w:val="00C6127F"/>
    <w:rsid w:val="00C61BA8"/>
    <w:rsid w:val="00C61DFF"/>
    <w:rsid w:val="00C62965"/>
    <w:rsid w:val="00C62EF3"/>
    <w:rsid w:val="00C64A8C"/>
    <w:rsid w:val="00C65257"/>
    <w:rsid w:val="00C6568A"/>
    <w:rsid w:val="00C65FFB"/>
    <w:rsid w:val="00C67A92"/>
    <w:rsid w:val="00C722F0"/>
    <w:rsid w:val="00C72793"/>
    <w:rsid w:val="00C72CA4"/>
    <w:rsid w:val="00C733D0"/>
    <w:rsid w:val="00C7410D"/>
    <w:rsid w:val="00C74614"/>
    <w:rsid w:val="00C757DE"/>
    <w:rsid w:val="00C77AA7"/>
    <w:rsid w:val="00C80A88"/>
    <w:rsid w:val="00C80E67"/>
    <w:rsid w:val="00C8130C"/>
    <w:rsid w:val="00C82CE4"/>
    <w:rsid w:val="00C84262"/>
    <w:rsid w:val="00C8567F"/>
    <w:rsid w:val="00C95824"/>
    <w:rsid w:val="00C96819"/>
    <w:rsid w:val="00C96C12"/>
    <w:rsid w:val="00CA0898"/>
    <w:rsid w:val="00CA3FCF"/>
    <w:rsid w:val="00CA5382"/>
    <w:rsid w:val="00CA57E0"/>
    <w:rsid w:val="00CB07AE"/>
    <w:rsid w:val="00CB14CB"/>
    <w:rsid w:val="00CB2A45"/>
    <w:rsid w:val="00CB5B2E"/>
    <w:rsid w:val="00CB7CC6"/>
    <w:rsid w:val="00CC074F"/>
    <w:rsid w:val="00CC2E43"/>
    <w:rsid w:val="00CC2E61"/>
    <w:rsid w:val="00CC37DC"/>
    <w:rsid w:val="00CC76BD"/>
    <w:rsid w:val="00CD0C63"/>
    <w:rsid w:val="00CD1A52"/>
    <w:rsid w:val="00CD3CFE"/>
    <w:rsid w:val="00CD41EB"/>
    <w:rsid w:val="00CE0361"/>
    <w:rsid w:val="00CE0492"/>
    <w:rsid w:val="00CE0D1F"/>
    <w:rsid w:val="00CE14D0"/>
    <w:rsid w:val="00CE21D2"/>
    <w:rsid w:val="00CE31B2"/>
    <w:rsid w:val="00CE7107"/>
    <w:rsid w:val="00CF02EC"/>
    <w:rsid w:val="00CF0577"/>
    <w:rsid w:val="00CF0A24"/>
    <w:rsid w:val="00CF0AF2"/>
    <w:rsid w:val="00CF169E"/>
    <w:rsid w:val="00CF30EA"/>
    <w:rsid w:val="00CF39F6"/>
    <w:rsid w:val="00CF4841"/>
    <w:rsid w:val="00CF5B46"/>
    <w:rsid w:val="00CF5C29"/>
    <w:rsid w:val="00D0009B"/>
    <w:rsid w:val="00D0195B"/>
    <w:rsid w:val="00D020BF"/>
    <w:rsid w:val="00D03FFA"/>
    <w:rsid w:val="00D05463"/>
    <w:rsid w:val="00D06652"/>
    <w:rsid w:val="00D10460"/>
    <w:rsid w:val="00D10600"/>
    <w:rsid w:val="00D112B1"/>
    <w:rsid w:val="00D11FFF"/>
    <w:rsid w:val="00D13E9F"/>
    <w:rsid w:val="00D16FCE"/>
    <w:rsid w:val="00D203C6"/>
    <w:rsid w:val="00D22079"/>
    <w:rsid w:val="00D22C57"/>
    <w:rsid w:val="00D26651"/>
    <w:rsid w:val="00D2678C"/>
    <w:rsid w:val="00D30911"/>
    <w:rsid w:val="00D32691"/>
    <w:rsid w:val="00D3299D"/>
    <w:rsid w:val="00D36CEC"/>
    <w:rsid w:val="00D37705"/>
    <w:rsid w:val="00D4028F"/>
    <w:rsid w:val="00D407E7"/>
    <w:rsid w:val="00D4446C"/>
    <w:rsid w:val="00D447C4"/>
    <w:rsid w:val="00D44EB2"/>
    <w:rsid w:val="00D50149"/>
    <w:rsid w:val="00D521E6"/>
    <w:rsid w:val="00D52235"/>
    <w:rsid w:val="00D52D74"/>
    <w:rsid w:val="00D535D3"/>
    <w:rsid w:val="00D53F94"/>
    <w:rsid w:val="00D54F82"/>
    <w:rsid w:val="00D61661"/>
    <w:rsid w:val="00D62319"/>
    <w:rsid w:val="00D65D81"/>
    <w:rsid w:val="00D66D2D"/>
    <w:rsid w:val="00D677BB"/>
    <w:rsid w:val="00D704F8"/>
    <w:rsid w:val="00D734BB"/>
    <w:rsid w:val="00D75A2B"/>
    <w:rsid w:val="00D75AAD"/>
    <w:rsid w:val="00D76760"/>
    <w:rsid w:val="00D76CEC"/>
    <w:rsid w:val="00D76E4C"/>
    <w:rsid w:val="00D76F9B"/>
    <w:rsid w:val="00D77A1A"/>
    <w:rsid w:val="00D801EA"/>
    <w:rsid w:val="00D812B7"/>
    <w:rsid w:val="00D82C39"/>
    <w:rsid w:val="00D848DD"/>
    <w:rsid w:val="00D850A9"/>
    <w:rsid w:val="00D872D4"/>
    <w:rsid w:val="00D872DA"/>
    <w:rsid w:val="00D912A3"/>
    <w:rsid w:val="00D933F8"/>
    <w:rsid w:val="00D9363B"/>
    <w:rsid w:val="00D938DB"/>
    <w:rsid w:val="00D94332"/>
    <w:rsid w:val="00D95256"/>
    <w:rsid w:val="00D9698E"/>
    <w:rsid w:val="00DA0C4B"/>
    <w:rsid w:val="00DA146C"/>
    <w:rsid w:val="00DA2CBB"/>
    <w:rsid w:val="00DA39CD"/>
    <w:rsid w:val="00DA3C78"/>
    <w:rsid w:val="00DA3E61"/>
    <w:rsid w:val="00DA59A0"/>
    <w:rsid w:val="00DA5A65"/>
    <w:rsid w:val="00DA7551"/>
    <w:rsid w:val="00DB2F79"/>
    <w:rsid w:val="00DB37A7"/>
    <w:rsid w:val="00DB606E"/>
    <w:rsid w:val="00DC090B"/>
    <w:rsid w:val="00DC10AF"/>
    <w:rsid w:val="00DC26B2"/>
    <w:rsid w:val="00DC3B7A"/>
    <w:rsid w:val="00DC3DD9"/>
    <w:rsid w:val="00DC5051"/>
    <w:rsid w:val="00DC5FB4"/>
    <w:rsid w:val="00DD1A82"/>
    <w:rsid w:val="00DD5A82"/>
    <w:rsid w:val="00DD6008"/>
    <w:rsid w:val="00DD7864"/>
    <w:rsid w:val="00DE0527"/>
    <w:rsid w:val="00DE1F06"/>
    <w:rsid w:val="00DE69B5"/>
    <w:rsid w:val="00DE6F36"/>
    <w:rsid w:val="00DE7CDA"/>
    <w:rsid w:val="00DF06DA"/>
    <w:rsid w:val="00DF15AB"/>
    <w:rsid w:val="00DF224E"/>
    <w:rsid w:val="00DF2428"/>
    <w:rsid w:val="00DF4092"/>
    <w:rsid w:val="00DF544D"/>
    <w:rsid w:val="00DF7F70"/>
    <w:rsid w:val="00E0022B"/>
    <w:rsid w:val="00E0352E"/>
    <w:rsid w:val="00E04694"/>
    <w:rsid w:val="00E050A8"/>
    <w:rsid w:val="00E050D7"/>
    <w:rsid w:val="00E06807"/>
    <w:rsid w:val="00E10B7A"/>
    <w:rsid w:val="00E13818"/>
    <w:rsid w:val="00E1387A"/>
    <w:rsid w:val="00E13987"/>
    <w:rsid w:val="00E13E65"/>
    <w:rsid w:val="00E15522"/>
    <w:rsid w:val="00E15586"/>
    <w:rsid w:val="00E17F59"/>
    <w:rsid w:val="00E20E47"/>
    <w:rsid w:val="00E22640"/>
    <w:rsid w:val="00E23F0C"/>
    <w:rsid w:val="00E24CA3"/>
    <w:rsid w:val="00E278DB"/>
    <w:rsid w:val="00E2792C"/>
    <w:rsid w:val="00E27A7A"/>
    <w:rsid w:val="00E30033"/>
    <w:rsid w:val="00E3299E"/>
    <w:rsid w:val="00E34734"/>
    <w:rsid w:val="00E35443"/>
    <w:rsid w:val="00E35C9A"/>
    <w:rsid w:val="00E3604F"/>
    <w:rsid w:val="00E3650B"/>
    <w:rsid w:val="00E3710E"/>
    <w:rsid w:val="00E37406"/>
    <w:rsid w:val="00E41AB5"/>
    <w:rsid w:val="00E42C8B"/>
    <w:rsid w:val="00E42E6B"/>
    <w:rsid w:val="00E43343"/>
    <w:rsid w:val="00E433A4"/>
    <w:rsid w:val="00E45F68"/>
    <w:rsid w:val="00E47858"/>
    <w:rsid w:val="00E50344"/>
    <w:rsid w:val="00E51CDE"/>
    <w:rsid w:val="00E53114"/>
    <w:rsid w:val="00E5415A"/>
    <w:rsid w:val="00E55A73"/>
    <w:rsid w:val="00E55F06"/>
    <w:rsid w:val="00E62FE5"/>
    <w:rsid w:val="00E6478A"/>
    <w:rsid w:val="00E73FE6"/>
    <w:rsid w:val="00E77E3A"/>
    <w:rsid w:val="00E80907"/>
    <w:rsid w:val="00E82E9E"/>
    <w:rsid w:val="00E8300F"/>
    <w:rsid w:val="00E835DD"/>
    <w:rsid w:val="00E8452D"/>
    <w:rsid w:val="00E84C4F"/>
    <w:rsid w:val="00E93FD7"/>
    <w:rsid w:val="00E969EE"/>
    <w:rsid w:val="00E96C20"/>
    <w:rsid w:val="00EA0A57"/>
    <w:rsid w:val="00EA281D"/>
    <w:rsid w:val="00EA28E1"/>
    <w:rsid w:val="00EB0B4C"/>
    <w:rsid w:val="00EB33DD"/>
    <w:rsid w:val="00EB34F4"/>
    <w:rsid w:val="00EB3848"/>
    <w:rsid w:val="00EB4A69"/>
    <w:rsid w:val="00EB4AA2"/>
    <w:rsid w:val="00EB5FC5"/>
    <w:rsid w:val="00EC0D25"/>
    <w:rsid w:val="00EC175C"/>
    <w:rsid w:val="00EC24BE"/>
    <w:rsid w:val="00EC27E0"/>
    <w:rsid w:val="00EC332B"/>
    <w:rsid w:val="00EC3B6F"/>
    <w:rsid w:val="00EC41C8"/>
    <w:rsid w:val="00EC4528"/>
    <w:rsid w:val="00EC5CD5"/>
    <w:rsid w:val="00EC6047"/>
    <w:rsid w:val="00EC620A"/>
    <w:rsid w:val="00EC6716"/>
    <w:rsid w:val="00EC6BDA"/>
    <w:rsid w:val="00EC7C04"/>
    <w:rsid w:val="00ED18EF"/>
    <w:rsid w:val="00ED3F4A"/>
    <w:rsid w:val="00ED65D9"/>
    <w:rsid w:val="00ED6B11"/>
    <w:rsid w:val="00ED6BE3"/>
    <w:rsid w:val="00ED7D92"/>
    <w:rsid w:val="00EE115A"/>
    <w:rsid w:val="00EE1252"/>
    <w:rsid w:val="00EE13D7"/>
    <w:rsid w:val="00EE206B"/>
    <w:rsid w:val="00EE2F4A"/>
    <w:rsid w:val="00EE30ED"/>
    <w:rsid w:val="00EE373D"/>
    <w:rsid w:val="00EE5BE8"/>
    <w:rsid w:val="00EE5D08"/>
    <w:rsid w:val="00EE5EE9"/>
    <w:rsid w:val="00EE7887"/>
    <w:rsid w:val="00EF05E5"/>
    <w:rsid w:val="00EF1E22"/>
    <w:rsid w:val="00EF3075"/>
    <w:rsid w:val="00EF5C38"/>
    <w:rsid w:val="00EF5C46"/>
    <w:rsid w:val="00EF7B64"/>
    <w:rsid w:val="00F00659"/>
    <w:rsid w:val="00F01800"/>
    <w:rsid w:val="00F01D01"/>
    <w:rsid w:val="00F03362"/>
    <w:rsid w:val="00F037C8"/>
    <w:rsid w:val="00F03A31"/>
    <w:rsid w:val="00F0491E"/>
    <w:rsid w:val="00F05967"/>
    <w:rsid w:val="00F0623C"/>
    <w:rsid w:val="00F0657B"/>
    <w:rsid w:val="00F070EE"/>
    <w:rsid w:val="00F072BC"/>
    <w:rsid w:val="00F11DDC"/>
    <w:rsid w:val="00F12AD5"/>
    <w:rsid w:val="00F1349C"/>
    <w:rsid w:val="00F16848"/>
    <w:rsid w:val="00F231D1"/>
    <w:rsid w:val="00F23BDE"/>
    <w:rsid w:val="00F245C4"/>
    <w:rsid w:val="00F251D5"/>
    <w:rsid w:val="00F27D3B"/>
    <w:rsid w:val="00F27DD7"/>
    <w:rsid w:val="00F303A1"/>
    <w:rsid w:val="00F32DC1"/>
    <w:rsid w:val="00F32DEA"/>
    <w:rsid w:val="00F33307"/>
    <w:rsid w:val="00F33579"/>
    <w:rsid w:val="00F36AC5"/>
    <w:rsid w:val="00F37069"/>
    <w:rsid w:val="00F403D9"/>
    <w:rsid w:val="00F41604"/>
    <w:rsid w:val="00F439BC"/>
    <w:rsid w:val="00F44781"/>
    <w:rsid w:val="00F4486C"/>
    <w:rsid w:val="00F47360"/>
    <w:rsid w:val="00F50C64"/>
    <w:rsid w:val="00F54E8D"/>
    <w:rsid w:val="00F56466"/>
    <w:rsid w:val="00F621B2"/>
    <w:rsid w:val="00F62C1C"/>
    <w:rsid w:val="00F635E7"/>
    <w:rsid w:val="00F655EB"/>
    <w:rsid w:val="00F66585"/>
    <w:rsid w:val="00F70397"/>
    <w:rsid w:val="00F714C4"/>
    <w:rsid w:val="00F72093"/>
    <w:rsid w:val="00F72166"/>
    <w:rsid w:val="00F7277D"/>
    <w:rsid w:val="00F72BE7"/>
    <w:rsid w:val="00F74CF2"/>
    <w:rsid w:val="00F7634E"/>
    <w:rsid w:val="00F772C3"/>
    <w:rsid w:val="00F77414"/>
    <w:rsid w:val="00F775BE"/>
    <w:rsid w:val="00F82295"/>
    <w:rsid w:val="00F82B5C"/>
    <w:rsid w:val="00F83199"/>
    <w:rsid w:val="00F8472C"/>
    <w:rsid w:val="00F854F1"/>
    <w:rsid w:val="00F85CAF"/>
    <w:rsid w:val="00F92EDF"/>
    <w:rsid w:val="00F9398A"/>
    <w:rsid w:val="00F95761"/>
    <w:rsid w:val="00FA012A"/>
    <w:rsid w:val="00FA04CE"/>
    <w:rsid w:val="00FA2EB6"/>
    <w:rsid w:val="00FA339F"/>
    <w:rsid w:val="00FA660C"/>
    <w:rsid w:val="00FA703A"/>
    <w:rsid w:val="00FA79BD"/>
    <w:rsid w:val="00FB260C"/>
    <w:rsid w:val="00FB2685"/>
    <w:rsid w:val="00FB3E9F"/>
    <w:rsid w:val="00FC33A5"/>
    <w:rsid w:val="00FC542C"/>
    <w:rsid w:val="00FC5D53"/>
    <w:rsid w:val="00FC69C6"/>
    <w:rsid w:val="00FC7B4E"/>
    <w:rsid w:val="00FD121B"/>
    <w:rsid w:val="00FD2855"/>
    <w:rsid w:val="00FD2FEA"/>
    <w:rsid w:val="00FD5EE8"/>
    <w:rsid w:val="00FE116A"/>
    <w:rsid w:val="00FE125D"/>
    <w:rsid w:val="00FE5D74"/>
    <w:rsid w:val="00FE7ED3"/>
    <w:rsid w:val="00FF0223"/>
    <w:rsid w:val="00FF16B7"/>
    <w:rsid w:val="00FF3C34"/>
    <w:rsid w:val="00FF3F18"/>
    <w:rsid w:val="00FF64E4"/>
    <w:rsid w:val="00FF67E6"/>
    <w:rsid w:val="00FF7552"/>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5D7"/>
  </w:style>
  <w:style w:type="paragraph" w:styleId="Heading3">
    <w:name w:val="heading 3"/>
    <w:basedOn w:val="Normal"/>
    <w:next w:val="Normal"/>
    <w:link w:val="Heading3Char"/>
    <w:uiPriority w:val="9"/>
    <w:unhideWhenUsed/>
    <w:qFormat/>
    <w:rsid w:val="00E42E6B"/>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065F"/>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9967A3"/>
    <w:rPr>
      <w:sz w:val="16"/>
      <w:szCs w:val="16"/>
    </w:rPr>
  </w:style>
  <w:style w:type="paragraph" w:styleId="CommentText">
    <w:name w:val="annotation text"/>
    <w:basedOn w:val="Normal"/>
    <w:link w:val="CommentTextChar"/>
    <w:uiPriority w:val="99"/>
    <w:semiHidden/>
    <w:unhideWhenUsed/>
    <w:rsid w:val="009967A3"/>
    <w:pPr>
      <w:spacing w:line="240" w:lineRule="auto"/>
    </w:pPr>
    <w:rPr>
      <w:sz w:val="20"/>
      <w:szCs w:val="20"/>
    </w:rPr>
  </w:style>
  <w:style w:type="character" w:customStyle="1" w:styleId="CommentTextChar">
    <w:name w:val="Comment Text Char"/>
    <w:basedOn w:val="DefaultParagraphFont"/>
    <w:link w:val="CommentText"/>
    <w:uiPriority w:val="99"/>
    <w:semiHidden/>
    <w:rsid w:val="009967A3"/>
    <w:rPr>
      <w:sz w:val="20"/>
      <w:szCs w:val="20"/>
    </w:rPr>
  </w:style>
  <w:style w:type="paragraph" w:styleId="CommentSubject">
    <w:name w:val="annotation subject"/>
    <w:basedOn w:val="CommentText"/>
    <w:next w:val="CommentText"/>
    <w:link w:val="CommentSubjectChar"/>
    <w:uiPriority w:val="99"/>
    <w:semiHidden/>
    <w:unhideWhenUsed/>
    <w:rsid w:val="009967A3"/>
    <w:rPr>
      <w:b/>
      <w:bCs/>
    </w:rPr>
  </w:style>
  <w:style w:type="character" w:customStyle="1" w:styleId="CommentSubjectChar">
    <w:name w:val="Comment Subject Char"/>
    <w:basedOn w:val="CommentTextChar"/>
    <w:link w:val="CommentSubject"/>
    <w:uiPriority w:val="99"/>
    <w:semiHidden/>
    <w:rsid w:val="009967A3"/>
    <w:rPr>
      <w:b/>
      <w:bCs/>
      <w:sz w:val="20"/>
      <w:szCs w:val="20"/>
    </w:rPr>
  </w:style>
  <w:style w:type="paragraph" w:styleId="BalloonText">
    <w:name w:val="Balloon Text"/>
    <w:basedOn w:val="Normal"/>
    <w:link w:val="BalloonTextChar"/>
    <w:uiPriority w:val="99"/>
    <w:semiHidden/>
    <w:unhideWhenUsed/>
    <w:rsid w:val="00996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7A3"/>
    <w:rPr>
      <w:rFonts w:ascii="Tahoma" w:hAnsi="Tahoma" w:cs="Tahoma"/>
      <w:sz w:val="16"/>
      <w:szCs w:val="16"/>
    </w:rPr>
  </w:style>
  <w:style w:type="character" w:styleId="Emphasis">
    <w:name w:val="Emphasis"/>
    <w:basedOn w:val="DefaultParagraphFont"/>
    <w:uiPriority w:val="20"/>
    <w:qFormat/>
    <w:rsid w:val="00F62C1C"/>
    <w:rPr>
      <w:i/>
      <w:iCs/>
    </w:rPr>
  </w:style>
  <w:style w:type="character" w:styleId="Hyperlink">
    <w:name w:val="Hyperlink"/>
    <w:basedOn w:val="DefaultParagraphFont"/>
    <w:uiPriority w:val="99"/>
    <w:unhideWhenUsed/>
    <w:rsid w:val="00DC26B2"/>
    <w:rPr>
      <w:color w:val="0000FF" w:themeColor="hyperlink"/>
      <w:u w:val="single"/>
    </w:rPr>
  </w:style>
  <w:style w:type="paragraph" w:styleId="ListParagraph">
    <w:name w:val="List Paragraph"/>
    <w:basedOn w:val="Normal"/>
    <w:uiPriority w:val="34"/>
    <w:qFormat/>
    <w:rsid w:val="00E15522"/>
    <w:pPr>
      <w:ind w:left="720"/>
      <w:contextualSpacing/>
    </w:pPr>
  </w:style>
  <w:style w:type="paragraph" w:styleId="Header">
    <w:name w:val="header"/>
    <w:basedOn w:val="Normal"/>
    <w:link w:val="HeaderChar"/>
    <w:uiPriority w:val="99"/>
    <w:unhideWhenUsed/>
    <w:rsid w:val="00A7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2F1"/>
  </w:style>
  <w:style w:type="paragraph" w:styleId="Footer">
    <w:name w:val="footer"/>
    <w:basedOn w:val="Normal"/>
    <w:link w:val="FooterChar"/>
    <w:uiPriority w:val="99"/>
    <w:unhideWhenUsed/>
    <w:rsid w:val="00A74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2F1"/>
  </w:style>
  <w:style w:type="paragraph" w:styleId="NormalWeb">
    <w:name w:val="Normal (Web)"/>
    <w:basedOn w:val="Normal"/>
    <w:uiPriority w:val="99"/>
    <w:semiHidden/>
    <w:unhideWhenUsed/>
    <w:rsid w:val="004E3A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iPriority w:val="99"/>
    <w:semiHidden/>
    <w:unhideWhenUsed/>
    <w:rsid w:val="00627F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7F67"/>
    <w:rPr>
      <w:sz w:val="20"/>
      <w:szCs w:val="20"/>
    </w:rPr>
  </w:style>
  <w:style w:type="character" w:styleId="EndnoteReference">
    <w:name w:val="endnote reference"/>
    <w:basedOn w:val="DefaultParagraphFont"/>
    <w:uiPriority w:val="99"/>
    <w:semiHidden/>
    <w:unhideWhenUsed/>
    <w:rsid w:val="00627F67"/>
    <w:rPr>
      <w:vertAlign w:val="superscript"/>
    </w:rPr>
  </w:style>
  <w:style w:type="paragraph" w:styleId="FootnoteText">
    <w:name w:val="footnote text"/>
    <w:basedOn w:val="Normal"/>
    <w:link w:val="FootnoteTextChar"/>
    <w:uiPriority w:val="99"/>
    <w:semiHidden/>
    <w:unhideWhenUsed/>
    <w:rsid w:val="00627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F67"/>
    <w:rPr>
      <w:sz w:val="20"/>
      <w:szCs w:val="20"/>
    </w:rPr>
  </w:style>
  <w:style w:type="character" w:styleId="FootnoteReference">
    <w:name w:val="footnote reference"/>
    <w:basedOn w:val="DefaultParagraphFont"/>
    <w:uiPriority w:val="99"/>
    <w:semiHidden/>
    <w:unhideWhenUsed/>
    <w:rsid w:val="00627F67"/>
    <w:rPr>
      <w:vertAlign w:val="superscript"/>
    </w:rPr>
  </w:style>
  <w:style w:type="character" w:styleId="Strong">
    <w:name w:val="Strong"/>
    <w:basedOn w:val="DefaultParagraphFont"/>
    <w:uiPriority w:val="22"/>
    <w:qFormat/>
    <w:rsid w:val="008A5EEB"/>
    <w:rPr>
      <w:b/>
      <w:bCs/>
    </w:rPr>
  </w:style>
  <w:style w:type="paragraph" w:styleId="HTMLPreformatted">
    <w:name w:val="HTML Preformatted"/>
    <w:basedOn w:val="Normal"/>
    <w:link w:val="HTMLPreformattedChar"/>
    <w:uiPriority w:val="99"/>
    <w:unhideWhenUsed/>
    <w:rsid w:val="003D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D1B25"/>
    <w:rPr>
      <w:rFonts w:ascii="Courier New" w:eastAsia="Times New Roman" w:hAnsi="Courier New" w:cs="Courier New"/>
      <w:sz w:val="20"/>
      <w:szCs w:val="20"/>
      <w:lang w:val="en-GB" w:eastAsia="en-GB"/>
    </w:rPr>
  </w:style>
  <w:style w:type="character" w:customStyle="1" w:styleId="personname">
    <w:name w:val="person_name"/>
    <w:basedOn w:val="DefaultParagraphFont"/>
    <w:rsid w:val="00911CAC"/>
  </w:style>
  <w:style w:type="character" w:customStyle="1" w:styleId="apple-converted-space">
    <w:name w:val="apple-converted-space"/>
    <w:basedOn w:val="DefaultParagraphFont"/>
    <w:rsid w:val="00BC0E48"/>
  </w:style>
  <w:style w:type="character" w:customStyle="1" w:styleId="Heading3Char">
    <w:name w:val="Heading 3 Char"/>
    <w:basedOn w:val="DefaultParagraphFont"/>
    <w:link w:val="Heading3"/>
    <w:uiPriority w:val="9"/>
    <w:rsid w:val="00E42E6B"/>
    <w:rPr>
      <w:rFonts w:asciiTheme="majorHAnsi" w:eastAsiaTheme="majorEastAsia" w:hAnsiTheme="majorHAnsi" w:cstheme="majorBidi"/>
      <w:b/>
      <w:bCs/>
      <w:color w:val="4F81BD" w:themeColor="accent1"/>
      <w:lang w:val="en-GB"/>
    </w:rPr>
  </w:style>
  <w:style w:type="character" w:styleId="HTMLCite">
    <w:name w:val="HTML Cite"/>
    <w:basedOn w:val="DefaultParagraphFont"/>
    <w:uiPriority w:val="99"/>
    <w:semiHidden/>
    <w:unhideWhenUsed/>
    <w:rsid w:val="00181D20"/>
    <w:rPr>
      <w:i/>
      <w:iCs/>
    </w:rPr>
  </w:style>
  <w:style w:type="paragraph" w:styleId="NoSpacing">
    <w:name w:val="No Spacing"/>
    <w:link w:val="NoSpacingChar"/>
    <w:uiPriority w:val="1"/>
    <w:qFormat/>
    <w:rsid w:val="004515A9"/>
    <w:pPr>
      <w:spacing w:after="0" w:line="240" w:lineRule="auto"/>
    </w:pPr>
    <w:rPr>
      <w:rFonts w:ascii="Calibri" w:eastAsia="Calibri" w:hAnsi="Calibri" w:cs="Times New Roman"/>
    </w:rPr>
  </w:style>
  <w:style w:type="character" w:customStyle="1" w:styleId="NoSpacingChar">
    <w:name w:val="No Spacing Char"/>
    <w:link w:val="NoSpacing"/>
    <w:uiPriority w:val="1"/>
    <w:rsid w:val="004515A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1335">
      <w:bodyDiv w:val="1"/>
      <w:marLeft w:val="0"/>
      <w:marRight w:val="0"/>
      <w:marTop w:val="0"/>
      <w:marBottom w:val="0"/>
      <w:divBdr>
        <w:top w:val="none" w:sz="0" w:space="0" w:color="auto"/>
        <w:left w:val="none" w:sz="0" w:space="0" w:color="auto"/>
        <w:bottom w:val="none" w:sz="0" w:space="0" w:color="auto"/>
        <w:right w:val="none" w:sz="0" w:space="0" w:color="auto"/>
      </w:divBdr>
    </w:div>
    <w:div w:id="205139368">
      <w:bodyDiv w:val="1"/>
      <w:marLeft w:val="0"/>
      <w:marRight w:val="0"/>
      <w:marTop w:val="0"/>
      <w:marBottom w:val="0"/>
      <w:divBdr>
        <w:top w:val="none" w:sz="0" w:space="0" w:color="auto"/>
        <w:left w:val="none" w:sz="0" w:space="0" w:color="auto"/>
        <w:bottom w:val="none" w:sz="0" w:space="0" w:color="auto"/>
        <w:right w:val="none" w:sz="0" w:space="0" w:color="auto"/>
      </w:divBdr>
    </w:div>
    <w:div w:id="389379490">
      <w:bodyDiv w:val="1"/>
      <w:marLeft w:val="0"/>
      <w:marRight w:val="0"/>
      <w:marTop w:val="0"/>
      <w:marBottom w:val="0"/>
      <w:divBdr>
        <w:top w:val="none" w:sz="0" w:space="0" w:color="auto"/>
        <w:left w:val="none" w:sz="0" w:space="0" w:color="auto"/>
        <w:bottom w:val="none" w:sz="0" w:space="0" w:color="auto"/>
        <w:right w:val="none" w:sz="0" w:space="0" w:color="auto"/>
      </w:divBdr>
    </w:div>
    <w:div w:id="642808251">
      <w:bodyDiv w:val="1"/>
      <w:marLeft w:val="0"/>
      <w:marRight w:val="0"/>
      <w:marTop w:val="0"/>
      <w:marBottom w:val="0"/>
      <w:divBdr>
        <w:top w:val="none" w:sz="0" w:space="0" w:color="auto"/>
        <w:left w:val="none" w:sz="0" w:space="0" w:color="auto"/>
        <w:bottom w:val="none" w:sz="0" w:space="0" w:color="auto"/>
        <w:right w:val="none" w:sz="0" w:space="0" w:color="auto"/>
      </w:divBdr>
    </w:div>
    <w:div w:id="692223577">
      <w:bodyDiv w:val="1"/>
      <w:marLeft w:val="0"/>
      <w:marRight w:val="0"/>
      <w:marTop w:val="0"/>
      <w:marBottom w:val="0"/>
      <w:divBdr>
        <w:top w:val="none" w:sz="0" w:space="0" w:color="auto"/>
        <w:left w:val="none" w:sz="0" w:space="0" w:color="auto"/>
        <w:bottom w:val="none" w:sz="0" w:space="0" w:color="auto"/>
        <w:right w:val="none" w:sz="0" w:space="0" w:color="auto"/>
      </w:divBdr>
      <w:divsChild>
        <w:div w:id="734862734">
          <w:marLeft w:val="576"/>
          <w:marRight w:val="0"/>
          <w:marTop w:val="80"/>
          <w:marBottom w:val="0"/>
          <w:divBdr>
            <w:top w:val="none" w:sz="0" w:space="0" w:color="auto"/>
            <w:left w:val="none" w:sz="0" w:space="0" w:color="auto"/>
            <w:bottom w:val="none" w:sz="0" w:space="0" w:color="auto"/>
            <w:right w:val="none" w:sz="0" w:space="0" w:color="auto"/>
          </w:divBdr>
        </w:div>
        <w:div w:id="742023954">
          <w:marLeft w:val="576"/>
          <w:marRight w:val="0"/>
          <w:marTop w:val="80"/>
          <w:marBottom w:val="0"/>
          <w:divBdr>
            <w:top w:val="none" w:sz="0" w:space="0" w:color="auto"/>
            <w:left w:val="none" w:sz="0" w:space="0" w:color="auto"/>
            <w:bottom w:val="none" w:sz="0" w:space="0" w:color="auto"/>
            <w:right w:val="none" w:sz="0" w:space="0" w:color="auto"/>
          </w:divBdr>
        </w:div>
        <w:div w:id="1449010214">
          <w:marLeft w:val="576"/>
          <w:marRight w:val="0"/>
          <w:marTop w:val="80"/>
          <w:marBottom w:val="0"/>
          <w:divBdr>
            <w:top w:val="none" w:sz="0" w:space="0" w:color="auto"/>
            <w:left w:val="none" w:sz="0" w:space="0" w:color="auto"/>
            <w:bottom w:val="none" w:sz="0" w:space="0" w:color="auto"/>
            <w:right w:val="none" w:sz="0" w:space="0" w:color="auto"/>
          </w:divBdr>
        </w:div>
        <w:div w:id="1480225903">
          <w:marLeft w:val="576"/>
          <w:marRight w:val="0"/>
          <w:marTop w:val="80"/>
          <w:marBottom w:val="0"/>
          <w:divBdr>
            <w:top w:val="none" w:sz="0" w:space="0" w:color="auto"/>
            <w:left w:val="none" w:sz="0" w:space="0" w:color="auto"/>
            <w:bottom w:val="none" w:sz="0" w:space="0" w:color="auto"/>
            <w:right w:val="none" w:sz="0" w:space="0" w:color="auto"/>
          </w:divBdr>
        </w:div>
        <w:div w:id="1562061091">
          <w:marLeft w:val="576"/>
          <w:marRight w:val="0"/>
          <w:marTop w:val="80"/>
          <w:marBottom w:val="0"/>
          <w:divBdr>
            <w:top w:val="none" w:sz="0" w:space="0" w:color="auto"/>
            <w:left w:val="none" w:sz="0" w:space="0" w:color="auto"/>
            <w:bottom w:val="none" w:sz="0" w:space="0" w:color="auto"/>
            <w:right w:val="none" w:sz="0" w:space="0" w:color="auto"/>
          </w:divBdr>
        </w:div>
        <w:div w:id="1899321648">
          <w:marLeft w:val="576"/>
          <w:marRight w:val="0"/>
          <w:marTop w:val="80"/>
          <w:marBottom w:val="0"/>
          <w:divBdr>
            <w:top w:val="none" w:sz="0" w:space="0" w:color="auto"/>
            <w:left w:val="none" w:sz="0" w:space="0" w:color="auto"/>
            <w:bottom w:val="none" w:sz="0" w:space="0" w:color="auto"/>
            <w:right w:val="none" w:sz="0" w:space="0" w:color="auto"/>
          </w:divBdr>
        </w:div>
      </w:divsChild>
    </w:div>
    <w:div w:id="734087720">
      <w:bodyDiv w:val="1"/>
      <w:marLeft w:val="0"/>
      <w:marRight w:val="0"/>
      <w:marTop w:val="0"/>
      <w:marBottom w:val="0"/>
      <w:divBdr>
        <w:top w:val="none" w:sz="0" w:space="0" w:color="auto"/>
        <w:left w:val="none" w:sz="0" w:space="0" w:color="auto"/>
        <w:bottom w:val="none" w:sz="0" w:space="0" w:color="auto"/>
        <w:right w:val="none" w:sz="0" w:space="0" w:color="auto"/>
      </w:divBdr>
    </w:div>
    <w:div w:id="918632821">
      <w:bodyDiv w:val="1"/>
      <w:marLeft w:val="0"/>
      <w:marRight w:val="0"/>
      <w:marTop w:val="0"/>
      <w:marBottom w:val="0"/>
      <w:divBdr>
        <w:top w:val="none" w:sz="0" w:space="0" w:color="auto"/>
        <w:left w:val="none" w:sz="0" w:space="0" w:color="auto"/>
        <w:bottom w:val="none" w:sz="0" w:space="0" w:color="auto"/>
        <w:right w:val="none" w:sz="0" w:space="0" w:color="auto"/>
      </w:divBdr>
    </w:div>
    <w:div w:id="972902540">
      <w:bodyDiv w:val="1"/>
      <w:marLeft w:val="0"/>
      <w:marRight w:val="0"/>
      <w:marTop w:val="0"/>
      <w:marBottom w:val="0"/>
      <w:divBdr>
        <w:top w:val="none" w:sz="0" w:space="0" w:color="auto"/>
        <w:left w:val="none" w:sz="0" w:space="0" w:color="auto"/>
        <w:bottom w:val="none" w:sz="0" w:space="0" w:color="auto"/>
        <w:right w:val="none" w:sz="0" w:space="0" w:color="auto"/>
      </w:divBdr>
    </w:div>
    <w:div w:id="1068334765">
      <w:bodyDiv w:val="1"/>
      <w:marLeft w:val="0"/>
      <w:marRight w:val="0"/>
      <w:marTop w:val="0"/>
      <w:marBottom w:val="0"/>
      <w:divBdr>
        <w:top w:val="none" w:sz="0" w:space="0" w:color="auto"/>
        <w:left w:val="none" w:sz="0" w:space="0" w:color="auto"/>
        <w:bottom w:val="none" w:sz="0" w:space="0" w:color="auto"/>
        <w:right w:val="none" w:sz="0" w:space="0" w:color="auto"/>
      </w:divBdr>
    </w:div>
    <w:div w:id="1167359658">
      <w:bodyDiv w:val="1"/>
      <w:marLeft w:val="0"/>
      <w:marRight w:val="0"/>
      <w:marTop w:val="0"/>
      <w:marBottom w:val="0"/>
      <w:divBdr>
        <w:top w:val="none" w:sz="0" w:space="0" w:color="auto"/>
        <w:left w:val="none" w:sz="0" w:space="0" w:color="auto"/>
        <w:bottom w:val="none" w:sz="0" w:space="0" w:color="auto"/>
        <w:right w:val="none" w:sz="0" w:space="0" w:color="auto"/>
      </w:divBdr>
      <w:divsChild>
        <w:div w:id="13265689">
          <w:marLeft w:val="432"/>
          <w:marRight w:val="0"/>
          <w:marTop w:val="125"/>
          <w:marBottom w:val="0"/>
          <w:divBdr>
            <w:top w:val="none" w:sz="0" w:space="0" w:color="auto"/>
            <w:left w:val="none" w:sz="0" w:space="0" w:color="auto"/>
            <w:bottom w:val="none" w:sz="0" w:space="0" w:color="auto"/>
            <w:right w:val="none" w:sz="0" w:space="0" w:color="auto"/>
          </w:divBdr>
        </w:div>
        <w:div w:id="572935046">
          <w:marLeft w:val="432"/>
          <w:marRight w:val="0"/>
          <w:marTop w:val="125"/>
          <w:marBottom w:val="0"/>
          <w:divBdr>
            <w:top w:val="none" w:sz="0" w:space="0" w:color="auto"/>
            <w:left w:val="none" w:sz="0" w:space="0" w:color="auto"/>
            <w:bottom w:val="none" w:sz="0" w:space="0" w:color="auto"/>
            <w:right w:val="none" w:sz="0" w:space="0" w:color="auto"/>
          </w:divBdr>
        </w:div>
        <w:div w:id="1700810981">
          <w:marLeft w:val="432"/>
          <w:marRight w:val="0"/>
          <w:marTop w:val="125"/>
          <w:marBottom w:val="0"/>
          <w:divBdr>
            <w:top w:val="none" w:sz="0" w:space="0" w:color="auto"/>
            <w:left w:val="none" w:sz="0" w:space="0" w:color="auto"/>
            <w:bottom w:val="none" w:sz="0" w:space="0" w:color="auto"/>
            <w:right w:val="none" w:sz="0" w:space="0" w:color="auto"/>
          </w:divBdr>
        </w:div>
        <w:div w:id="1989236948">
          <w:marLeft w:val="432"/>
          <w:marRight w:val="0"/>
          <w:marTop w:val="125"/>
          <w:marBottom w:val="0"/>
          <w:divBdr>
            <w:top w:val="none" w:sz="0" w:space="0" w:color="auto"/>
            <w:left w:val="none" w:sz="0" w:space="0" w:color="auto"/>
            <w:bottom w:val="none" w:sz="0" w:space="0" w:color="auto"/>
            <w:right w:val="none" w:sz="0" w:space="0" w:color="auto"/>
          </w:divBdr>
        </w:div>
      </w:divsChild>
    </w:div>
    <w:div w:id="1386221595">
      <w:bodyDiv w:val="1"/>
      <w:marLeft w:val="0"/>
      <w:marRight w:val="0"/>
      <w:marTop w:val="0"/>
      <w:marBottom w:val="0"/>
      <w:divBdr>
        <w:top w:val="none" w:sz="0" w:space="0" w:color="auto"/>
        <w:left w:val="none" w:sz="0" w:space="0" w:color="auto"/>
        <w:bottom w:val="none" w:sz="0" w:space="0" w:color="auto"/>
        <w:right w:val="none" w:sz="0" w:space="0" w:color="auto"/>
      </w:divBdr>
    </w:div>
    <w:div w:id="1578712653">
      <w:bodyDiv w:val="1"/>
      <w:marLeft w:val="0"/>
      <w:marRight w:val="0"/>
      <w:marTop w:val="0"/>
      <w:marBottom w:val="0"/>
      <w:divBdr>
        <w:top w:val="none" w:sz="0" w:space="0" w:color="auto"/>
        <w:left w:val="none" w:sz="0" w:space="0" w:color="auto"/>
        <w:bottom w:val="none" w:sz="0" w:space="0" w:color="auto"/>
        <w:right w:val="none" w:sz="0" w:space="0" w:color="auto"/>
      </w:divBdr>
    </w:div>
    <w:div w:id="1635526678">
      <w:bodyDiv w:val="1"/>
      <w:marLeft w:val="0"/>
      <w:marRight w:val="0"/>
      <w:marTop w:val="0"/>
      <w:marBottom w:val="0"/>
      <w:divBdr>
        <w:top w:val="none" w:sz="0" w:space="0" w:color="auto"/>
        <w:left w:val="none" w:sz="0" w:space="0" w:color="auto"/>
        <w:bottom w:val="none" w:sz="0" w:space="0" w:color="auto"/>
        <w:right w:val="none" w:sz="0" w:space="0" w:color="auto"/>
      </w:divBdr>
    </w:div>
    <w:div w:id="1874881332">
      <w:bodyDiv w:val="1"/>
      <w:marLeft w:val="0"/>
      <w:marRight w:val="0"/>
      <w:marTop w:val="0"/>
      <w:marBottom w:val="0"/>
      <w:divBdr>
        <w:top w:val="none" w:sz="0" w:space="0" w:color="auto"/>
        <w:left w:val="none" w:sz="0" w:space="0" w:color="auto"/>
        <w:bottom w:val="none" w:sz="0" w:space="0" w:color="auto"/>
        <w:right w:val="none" w:sz="0" w:space="0" w:color="auto"/>
      </w:divBdr>
    </w:div>
    <w:div w:id="1942450404">
      <w:bodyDiv w:val="1"/>
      <w:marLeft w:val="0"/>
      <w:marRight w:val="0"/>
      <w:marTop w:val="0"/>
      <w:marBottom w:val="0"/>
      <w:divBdr>
        <w:top w:val="none" w:sz="0" w:space="0" w:color="auto"/>
        <w:left w:val="none" w:sz="0" w:space="0" w:color="auto"/>
        <w:bottom w:val="none" w:sz="0" w:space="0" w:color="auto"/>
        <w:right w:val="none" w:sz="0" w:space="0" w:color="auto"/>
      </w:divBdr>
      <w:divsChild>
        <w:div w:id="1370573785">
          <w:marLeft w:val="45"/>
          <w:marRight w:val="45"/>
          <w:marTop w:val="15"/>
          <w:marBottom w:val="0"/>
          <w:divBdr>
            <w:top w:val="none" w:sz="0" w:space="0" w:color="auto"/>
            <w:left w:val="none" w:sz="0" w:space="0" w:color="auto"/>
            <w:bottom w:val="none" w:sz="0" w:space="0" w:color="auto"/>
            <w:right w:val="none" w:sz="0" w:space="0" w:color="auto"/>
          </w:divBdr>
          <w:divsChild>
            <w:div w:id="14277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yperlink" Target="mailto:alinakyea@gmail.com" TargetMode="External"/><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hyperlink" Target="mailto:john.amoh@upsamail.edu.gh" TargetMode="External"/><Relationship Id="rId14" Type="http://schemas.openxmlformats.org/officeDocument/2006/relationships/oleObject" Target="embeddings/oleObject2.bin"/><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TAXATION-LECTURES%20AND%20RESEARCH\TAXABLE%20CAPACITY\new%20data-Eviews-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graph!$B$2</c:f>
              <c:strCache>
                <c:ptCount val="1"/>
                <c:pt idx="0">
                  <c:v>Tax Burden</c:v>
                </c:pt>
              </c:strCache>
            </c:strRef>
          </c:tx>
          <c:marker>
            <c:symbol val="none"/>
          </c:marker>
          <c:cat>
            <c:strRef>
              <c:f>graph!$A$2:$A$48</c:f>
              <c:strCache>
                <c:ptCount val="47"/>
                <c:pt idx="0">
                  <c:v>Year</c:v>
                </c:pt>
                <c:pt idx="1">
                  <c:v>1970</c:v>
                </c:pt>
                <c:pt idx="2">
                  <c:v>1971</c:v>
                </c:pt>
                <c:pt idx="3">
                  <c:v>1972</c:v>
                </c:pt>
                <c:pt idx="4">
                  <c:v>1973</c:v>
                </c:pt>
                <c:pt idx="5">
                  <c:v>1974</c:v>
                </c:pt>
                <c:pt idx="6">
                  <c:v>1975</c:v>
                </c:pt>
                <c:pt idx="7">
                  <c:v>1976</c:v>
                </c:pt>
                <c:pt idx="8">
                  <c:v>1977</c:v>
                </c:pt>
                <c:pt idx="9">
                  <c:v>1978</c:v>
                </c:pt>
                <c:pt idx="10">
                  <c:v>1979</c:v>
                </c:pt>
                <c:pt idx="11">
                  <c:v>1980</c:v>
                </c:pt>
                <c:pt idx="12">
                  <c:v>1981</c:v>
                </c:pt>
                <c:pt idx="13">
                  <c:v>1982</c:v>
                </c:pt>
                <c:pt idx="14">
                  <c:v>1983</c:v>
                </c:pt>
                <c:pt idx="15">
                  <c:v>1984</c:v>
                </c:pt>
                <c:pt idx="16">
                  <c:v>1985</c:v>
                </c:pt>
                <c:pt idx="17">
                  <c:v>1986</c:v>
                </c:pt>
                <c:pt idx="18">
                  <c:v>1987</c:v>
                </c:pt>
                <c:pt idx="19">
                  <c:v>1988</c:v>
                </c:pt>
                <c:pt idx="20">
                  <c:v>1989</c:v>
                </c:pt>
                <c:pt idx="21">
                  <c:v>1990</c:v>
                </c:pt>
                <c:pt idx="22">
                  <c:v>1991</c:v>
                </c:pt>
                <c:pt idx="23">
                  <c:v>1992</c:v>
                </c:pt>
                <c:pt idx="24">
                  <c:v>1993</c:v>
                </c:pt>
                <c:pt idx="25">
                  <c:v>1994</c:v>
                </c:pt>
                <c:pt idx="26">
                  <c:v>1995</c:v>
                </c:pt>
                <c:pt idx="27">
                  <c:v>1996</c:v>
                </c:pt>
                <c:pt idx="28">
                  <c:v>1997</c:v>
                </c:pt>
                <c:pt idx="29">
                  <c:v>1998</c:v>
                </c:pt>
                <c:pt idx="30">
                  <c:v>1999</c:v>
                </c:pt>
                <c:pt idx="31">
                  <c:v>2000</c:v>
                </c:pt>
                <c:pt idx="32">
                  <c:v>2001</c:v>
                </c:pt>
                <c:pt idx="33">
                  <c:v>2002</c:v>
                </c:pt>
                <c:pt idx="34">
                  <c:v>2003</c:v>
                </c:pt>
                <c:pt idx="35">
                  <c:v>2004</c:v>
                </c:pt>
                <c:pt idx="36">
                  <c:v>2005</c:v>
                </c:pt>
                <c:pt idx="37">
                  <c:v>2006</c:v>
                </c:pt>
                <c:pt idx="38">
                  <c:v>2007</c:v>
                </c:pt>
                <c:pt idx="39">
                  <c:v>2008</c:v>
                </c:pt>
                <c:pt idx="40">
                  <c:v>2009</c:v>
                </c:pt>
                <c:pt idx="41">
                  <c:v>2010</c:v>
                </c:pt>
                <c:pt idx="42">
                  <c:v>2011</c:v>
                </c:pt>
                <c:pt idx="43">
                  <c:v>2012</c:v>
                </c:pt>
                <c:pt idx="44">
                  <c:v>2013</c:v>
                </c:pt>
                <c:pt idx="45">
                  <c:v>2014</c:v>
                </c:pt>
                <c:pt idx="46">
                  <c:v>2015</c:v>
                </c:pt>
              </c:strCache>
            </c:strRef>
          </c:cat>
          <c:val>
            <c:numRef>
              <c:f>graph!$B$3:$B$48</c:f>
              <c:numCache>
                <c:formatCode>_(* #,##0.00_);_(* \(#,##0.00\);_(* "-"??_);_(@_)</c:formatCode>
                <c:ptCount val="46"/>
                <c:pt idx="0">
                  <c:v>19.630000000000003</c:v>
                </c:pt>
                <c:pt idx="1">
                  <c:v>14.81</c:v>
                </c:pt>
                <c:pt idx="2">
                  <c:v>12.4</c:v>
                </c:pt>
                <c:pt idx="3">
                  <c:v>14.450000000000001</c:v>
                </c:pt>
                <c:pt idx="4">
                  <c:v>15.639999999999999</c:v>
                </c:pt>
                <c:pt idx="5">
                  <c:v>13.209999999999999</c:v>
                </c:pt>
                <c:pt idx="6">
                  <c:v>14.62</c:v>
                </c:pt>
                <c:pt idx="7">
                  <c:v>15.52</c:v>
                </c:pt>
                <c:pt idx="8">
                  <c:v>5.21</c:v>
                </c:pt>
                <c:pt idx="9">
                  <c:v>5.0999999999999996</c:v>
                </c:pt>
                <c:pt idx="10">
                  <c:v>5.44</c:v>
                </c:pt>
                <c:pt idx="11">
                  <c:v>4.38</c:v>
                </c:pt>
                <c:pt idx="12">
                  <c:v>4.0199999999999996</c:v>
                </c:pt>
                <c:pt idx="13">
                  <c:v>4.46</c:v>
                </c:pt>
                <c:pt idx="14">
                  <c:v>6.63</c:v>
                </c:pt>
                <c:pt idx="15">
                  <c:v>9.3700000000000028</c:v>
                </c:pt>
                <c:pt idx="16">
                  <c:v>12.15</c:v>
                </c:pt>
                <c:pt idx="17">
                  <c:v>12.719999999999999</c:v>
                </c:pt>
                <c:pt idx="18">
                  <c:v>12.29</c:v>
                </c:pt>
                <c:pt idx="19">
                  <c:v>12.31</c:v>
                </c:pt>
                <c:pt idx="20">
                  <c:v>10.81</c:v>
                </c:pt>
                <c:pt idx="21">
                  <c:v>13.16</c:v>
                </c:pt>
                <c:pt idx="22">
                  <c:v>10.77</c:v>
                </c:pt>
                <c:pt idx="23">
                  <c:v>13.15</c:v>
                </c:pt>
                <c:pt idx="24">
                  <c:v>16.16</c:v>
                </c:pt>
                <c:pt idx="25">
                  <c:v>14.69</c:v>
                </c:pt>
                <c:pt idx="26">
                  <c:v>15.09</c:v>
                </c:pt>
                <c:pt idx="27">
                  <c:v>14.67</c:v>
                </c:pt>
                <c:pt idx="28">
                  <c:v>15.78</c:v>
                </c:pt>
                <c:pt idx="29">
                  <c:v>15.01</c:v>
                </c:pt>
                <c:pt idx="30">
                  <c:v>16.260000000000002</c:v>
                </c:pt>
                <c:pt idx="31">
                  <c:v>17.25</c:v>
                </c:pt>
                <c:pt idx="32">
                  <c:v>18.23</c:v>
                </c:pt>
                <c:pt idx="33">
                  <c:v>21.02</c:v>
                </c:pt>
                <c:pt idx="34">
                  <c:v>21.810000000000002</c:v>
                </c:pt>
                <c:pt idx="35">
                  <c:v>20.759999999999998</c:v>
                </c:pt>
                <c:pt idx="36">
                  <c:v>20.25</c:v>
                </c:pt>
                <c:pt idx="37">
                  <c:v>22.05</c:v>
                </c:pt>
                <c:pt idx="38">
                  <c:v>15.9</c:v>
                </c:pt>
                <c:pt idx="39">
                  <c:v>15.4</c:v>
                </c:pt>
                <c:pt idx="40">
                  <c:v>16.7</c:v>
                </c:pt>
                <c:pt idx="41">
                  <c:v>20.8</c:v>
                </c:pt>
                <c:pt idx="42">
                  <c:v>17.100000000000001</c:v>
                </c:pt>
                <c:pt idx="43">
                  <c:v>15.1</c:v>
                </c:pt>
                <c:pt idx="44">
                  <c:v>16.7</c:v>
                </c:pt>
                <c:pt idx="45">
                  <c:v>19.3</c:v>
                </c:pt>
              </c:numCache>
            </c:numRef>
          </c:val>
          <c:smooth val="0"/>
        </c:ser>
        <c:ser>
          <c:idx val="2"/>
          <c:order val="1"/>
          <c:tx>
            <c:strRef>
              <c:f>graph!$C$2</c:f>
              <c:strCache>
                <c:ptCount val="1"/>
                <c:pt idx="0">
                  <c:v>Taxable Capacity</c:v>
                </c:pt>
              </c:strCache>
            </c:strRef>
          </c:tx>
          <c:marker>
            <c:symbol val="none"/>
          </c:marker>
          <c:cat>
            <c:strRef>
              <c:f>graph!$A$2:$A$48</c:f>
              <c:strCache>
                <c:ptCount val="47"/>
                <c:pt idx="0">
                  <c:v>Year</c:v>
                </c:pt>
                <c:pt idx="1">
                  <c:v>1970</c:v>
                </c:pt>
                <c:pt idx="2">
                  <c:v>1971</c:v>
                </c:pt>
                <c:pt idx="3">
                  <c:v>1972</c:v>
                </c:pt>
                <c:pt idx="4">
                  <c:v>1973</c:v>
                </c:pt>
                <c:pt idx="5">
                  <c:v>1974</c:v>
                </c:pt>
                <c:pt idx="6">
                  <c:v>1975</c:v>
                </c:pt>
                <c:pt idx="7">
                  <c:v>1976</c:v>
                </c:pt>
                <c:pt idx="8">
                  <c:v>1977</c:v>
                </c:pt>
                <c:pt idx="9">
                  <c:v>1978</c:v>
                </c:pt>
                <c:pt idx="10">
                  <c:v>1979</c:v>
                </c:pt>
                <c:pt idx="11">
                  <c:v>1980</c:v>
                </c:pt>
                <c:pt idx="12">
                  <c:v>1981</c:v>
                </c:pt>
                <c:pt idx="13">
                  <c:v>1982</c:v>
                </c:pt>
                <c:pt idx="14">
                  <c:v>1983</c:v>
                </c:pt>
                <c:pt idx="15">
                  <c:v>1984</c:v>
                </c:pt>
                <c:pt idx="16">
                  <c:v>1985</c:v>
                </c:pt>
                <c:pt idx="17">
                  <c:v>1986</c:v>
                </c:pt>
                <c:pt idx="18">
                  <c:v>1987</c:v>
                </c:pt>
                <c:pt idx="19">
                  <c:v>1988</c:v>
                </c:pt>
                <c:pt idx="20">
                  <c:v>1989</c:v>
                </c:pt>
                <c:pt idx="21">
                  <c:v>1990</c:v>
                </c:pt>
                <c:pt idx="22">
                  <c:v>1991</c:v>
                </c:pt>
                <c:pt idx="23">
                  <c:v>1992</c:v>
                </c:pt>
                <c:pt idx="24">
                  <c:v>1993</c:v>
                </c:pt>
                <c:pt idx="25">
                  <c:v>1994</c:v>
                </c:pt>
                <c:pt idx="26">
                  <c:v>1995</c:v>
                </c:pt>
                <c:pt idx="27">
                  <c:v>1996</c:v>
                </c:pt>
                <c:pt idx="28">
                  <c:v>1997</c:v>
                </c:pt>
                <c:pt idx="29">
                  <c:v>1998</c:v>
                </c:pt>
                <c:pt idx="30">
                  <c:v>1999</c:v>
                </c:pt>
                <c:pt idx="31">
                  <c:v>2000</c:v>
                </c:pt>
                <c:pt idx="32">
                  <c:v>2001</c:v>
                </c:pt>
                <c:pt idx="33">
                  <c:v>2002</c:v>
                </c:pt>
                <c:pt idx="34">
                  <c:v>2003</c:v>
                </c:pt>
                <c:pt idx="35">
                  <c:v>2004</c:v>
                </c:pt>
                <c:pt idx="36">
                  <c:v>2005</c:v>
                </c:pt>
                <c:pt idx="37">
                  <c:v>2006</c:v>
                </c:pt>
                <c:pt idx="38">
                  <c:v>2007</c:v>
                </c:pt>
                <c:pt idx="39">
                  <c:v>2008</c:v>
                </c:pt>
                <c:pt idx="40">
                  <c:v>2009</c:v>
                </c:pt>
                <c:pt idx="41">
                  <c:v>2010</c:v>
                </c:pt>
                <c:pt idx="42">
                  <c:v>2011</c:v>
                </c:pt>
                <c:pt idx="43">
                  <c:v>2012</c:v>
                </c:pt>
                <c:pt idx="44">
                  <c:v>2013</c:v>
                </c:pt>
                <c:pt idx="45">
                  <c:v>2014</c:v>
                </c:pt>
                <c:pt idx="46">
                  <c:v>2015</c:v>
                </c:pt>
              </c:strCache>
            </c:strRef>
          </c:cat>
          <c:val>
            <c:numRef>
              <c:f>graph!$C$3:$C$48</c:f>
              <c:numCache>
                <c:formatCode>_(* #,##0.00_);_(* \(#,##0.00\);_(* "-"??_);_(@_)</c:formatCode>
                <c:ptCount val="46"/>
                <c:pt idx="0">
                  <c:v>18.045983119921306</c:v>
                </c:pt>
                <c:pt idx="1">
                  <c:v>18.848885813360678</c:v>
                </c:pt>
                <c:pt idx="2">
                  <c:v>15.145231087949384</c:v>
                </c:pt>
                <c:pt idx="3">
                  <c:v>17.209577094306312</c:v>
                </c:pt>
                <c:pt idx="4">
                  <c:v>16.390776359985804</c:v>
                </c:pt>
                <c:pt idx="5">
                  <c:v>6.0160792128124179</c:v>
                </c:pt>
                <c:pt idx="6">
                  <c:v>7.3078939335176809</c:v>
                </c:pt>
                <c:pt idx="7">
                  <c:v>6.3125558689698984</c:v>
                </c:pt>
                <c:pt idx="8">
                  <c:v>7.8507540547056252</c:v>
                </c:pt>
                <c:pt idx="9">
                  <c:v>5.8140512406416853</c:v>
                </c:pt>
                <c:pt idx="10">
                  <c:v>10.711396084123955</c:v>
                </c:pt>
                <c:pt idx="11">
                  <c:v>13.455826875095962</c:v>
                </c:pt>
                <c:pt idx="12">
                  <c:v>14.220520138890205</c:v>
                </c:pt>
                <c:pt idx="13">
                  <c:v>21.952193500564693</c:v>
                </c:pt>
                <c:pt idx="14">
                  <c:v>25.248836526876509</c:v>
                </c:pt>
                <c:pt idx="15">
                  <c:v>23.695975011756033</c:v>
                </c:pt>
                <c:pt idx="16">
                  <c:v>22.080194466128244</c:v>
                </c:pt>
                <c:pt idx="17">
                  <c:v>20.85541099326803</c:v>
                </c:pt>
                <c:pt idx="18">
                  <c:v>21.135896741955253</c:v>
                </c:pt>
                <c:pt idx="19">
                  <c:v>21.295223591998745</c:v>
                </c:pt>
                <c:pt idx="20">
                  <c:v>22.638687801580012</c:v>
                </c:pt>
                <c:pt idx="21">
                  <c:v>23.969473139660533</c:v>
                </c:pt>
                <c:pt idx="22">
                  <c:v>24.069985289373275</c:v>
                </c:pt>
                <c:pt idx="23">
                  <c:v>23.627043377703561</c:v>
                </c:pt>
                <c:pt idx="24">
                  <c:v>22.989113790811658</c:v>
                </c:pt>
                <c:pt idx="25">
                  <c:v>21.711542792969684</c:v>
                </c:pt>
                <c:pt idx="26">
                  <c:v>20.819250059447128</c:v>
                </c:pt>
                <c:pt idx="27">
                  <c:v>22.317020771121005</c:v>
                </c:pt>
                <c:pt idx="28">
                  <c:v>22.516092356075877</c:v>
                </c:pt>
                <c:pt idx="29">
                  <c:v>22.803278697454157</c:v>
                </c:pt>
                <c:pt idx="30">
                  <c:v>24.497506087538785</c:v>
                </c:pt>
                <c:pt idx="31">
                  <c:v>24.693806113919493</c:v>
                </c:pt>
                <c:pt idx="32">
                  <c:v>25.489190008434822</c:v>
                </c:pt>
                <c:pt idx="33">
                  <c:v>24.793534459489628</c:v>
                </c:pt>
                <c:pt idx="34">
                  <c:v>24.249930279481564</c:v>
                </c:pt>
                <c:pt idx="35">
                  <c:v>23.78609980362716</c:v>
                </c:pt>
                <c:pt idx="36">
                  <c:v>25.3685360653636</c:v>
                </c:pt>
                <c:pt idx="37">
                  <c:v>27.604098244941987</c:v>
                </c:pt>
                <c:pt idx="38">
                  <c:v>28.924470250601129</c:v>
                </c:pt>
                <c:pt idx="39">
                  <c:v>26.868890054530237</c:v>
                </c:pt>
                <c:pt idx="40">
                  <c:v>29.25641293069063</c:v>
                </c:pt>
                <c:pt idx="41">
                  <c:v>33.174658707612018</c:v>
                </c:pt>
                <c:pt idx="42">
                  <c:v>31.331880069188628</c:v>
                </c:pt>
                <c:pt idx="43">
                  <c:v>30.518290157291631</c:v>
                </c:pt>
                <c:pt idx="44">
                  <c:v>29.857726049423768</c:v>
                </c:pt>
                <c:pt idx="45">
                  <c:v>28.279427728534824</c:v>
                </c:pt>
              </c:numCache>
            </c:numRef>
          </c:val>
          <c:smooth val="0"/>
        </c:ser>
        <c:ser>
          <c:idx val="3"/>
          <c:order val="2"/>
          <c:tx>
            <c:strRef>
              <c:f>graph!$D$2</c:f>
              <c:strCache>
                <c:ptCount val="1"/>
                <c:pt idx="0">
                  <c:v>Tax Effort</c:v>
                </c:pt>
              </c:strCache>
            </c:strRef>
          </c:tx>
          <c:marker>
            <c:symbol val="none"/>
          </c:marker>
          <c:cat>
            <c:strRef>
              <c:f>graph!$A$2:$A$48</c:f>
              <c:strCache>
                <c:ptCount val="47"/>
                <c:pt idx="0">
                  <c:v>Year</c:v>
                </c:pt>
                <c:pt idx="1">
                  <c:v>1970</c:v>
                </c:pt>
                <c:pt idx="2">
                  <c:v>1971</c:v>
                </c:pt>
                <c:pt idx="3">
                  <c:v>1972</c:v>
                </c:pt>
                <c:pt idx="4">
                  <c:v>1973</c:v>
                </c:pt>
                <c:pt idx="5">
                  <c:v>1974</c:v>
                </c:pt>
                <c:pt idx="6">
                  <c:v>1975</c:v>
                </c:pt>
                <c:pt idx="7">
                  <c:v>1976</c:v>
                </c:pt>
                <c:pt idx="8">
                  <c:v>1977</c:v>
                </c:pt>
                <c:pt idx="9">
                  <c:v>1978</c:v>
                </c:pt>
                <c:pt idx="10">
                  <c:v>1979</c:v>
                </c:pt>
                <c:pt idx="11">
                  <c:v>1980</c:v>
                </c:pt>
                <c:pt idx="12">
                  <c:v>1981</c:v>
                </c:pt>
                <c:pt idx="13">
                  <c:v>1982</c:v>
                </c:pt>
                <c:pt idx="14">
                  <c:v>1983</c:v>
                </c:pt>
                <c:pt idx="15">
                  <c:v>1984</c:v>
                </c:pt>
                <c:pt idx="16">
                  <c:v>1985</c:v>
                </c:pt>
                <c:pt idx="17">
                  <c:v>1986</c:v>
                </c:pt>
                <c:pt idx="18">
                  <c:v>1987</c:v>
                </c:pt>
                <c:pt idx="19">
                  <c:v>1988</c:v>
                </c:pt>
                <c:pt idx="20">
                  <c:v>1989</c:v>
                </c:pt>
                <c:pt idx="21">
                  <c:v>1990</c:v>
                </c:pt>
                <c:pt idx="22">
                  <c:v>1991</c:v>
                </c:pt>
                <c:pt idx="23">
                  <c:v>1992</c:v>
                </c:pt>
                <c:pt idx="24">
                  <c:v>1993</c:v>
                </c:pt>
                <c:pt idx="25">
                  <c:v>1994</c:v>
                </c:pt>
                <c:pt idx="26">
                  <c:v>1995</c:v>
                </c:pt>
                <c:pt idx="27">
                  <c:v>1996</c:v>
                </c:pt>
                <c:pt idx="28">
                  <c:v>1997</c:v>
                </c:pt>
                <c:pt idx="29">
                  <c:v>1998</c:v>
                </c:pt>
                <c:pt idx="30">
                  <c:v>1999</c:v>
                </c:pt>
                <c:pt idx="31">
                  <c:v>2000</c:v>
                </c:pt>
                <c:pt idx="32">
                  <c:v>2001</c:v>
                </c:pt>
                <c:pt idx="33">
                  <c:v>2002</c:v>
                </c:pt>
                <c:pt idx="34">
                  <c:v>2003</c:v>
                </c:pt>
                <c:pt idx="35">
                  <c:v>2004</c:v>
                </c:pt>
                <c:pt idx="36">
                  <c:v>2005</c:v>
                </c:pt>
                <c:pt idx="37">
                  <c:v>2006</c:v>
                </c:pt>
                <c:pt idx="38">
                  <c:v>2007</c:v>
                </c:pt>
                <c:pt idx="39">
                  <c:v>2008</c:v>
                </c:pt>
                <c:pt idx="40">
                  <c:v>2009</c:v>
                </c:pt>
                <c:pt idx="41">
                  <c:v>2010</c:v>
                </c:pt>
                <c:pt idx="42">
                  <c:v>2011</c:v>
                </c:pt>
                <c:pt idx="43">
                  <c:v>2012</c:v>
                </c:pt>
                <c:pt idx="44">
                  <c:v>2013</c:v>
                </c:pt>
                <c:pt idx="45">
                  <c:v>2014</c:v>
                </c:pt>
                <c:pt idx="46">
                  <c:v>2015</c:v>
                </c:pt>
              </c:strCache>
            </c:strRef>
          </c:cat>
          <c:val>
            <c:numRef>
              <c:f>graph!$D$3:$D$48</c:f>
              <c:numCache>
                <c:formatCode>_(* #,##0.00_);_(* \(#,##0.00\);_(* "-"??_);_(@_)</c:formatCode>
                <c:ptCount val="46"/>
                <c:pt idx="0">
                  <c:v>1.0877767018594879</c:v>
                </c:pt>
                <c:pt idx="1">
                  <c:v>0.78572283511326768</c:v>
                </c:pt>
                <c:pt idx="2">
                  <c:v>0.8187395707594266</c:v>
                </c:pt>
                <c:pt idx="3">
                  <c:v>0.83964875608597622</c:v>
                </c:pt>
                <c:pt idx="4">
                  <c:v>0.95419519225345262</c:v>
                </c:pt>
                <c:pt idx="5">
                  <c:v>2.1957822582965205</c:v>
                </c:pt>
                <c:pt idx="6">
                  <c:v>2.0005763812396506</c:v>
                </c:pt>
                <c:pt idx="7">
                  <c:v>2.4585921015432675</c:v>
                </c:pt>
                <c:pt idx="8">
                  <c:v>0.66363052054562888</c:v>
                </c:pt>
                <c:pt idx="9">
                  <c:v>0.87718525154193894</c:v>
                </c:pt>
                <c:pt idx="10">
                  <c:v>0.50787030535291022</c:v>
                </c:pt>
                <c:pt idx="11">
                  <c:v>0.32550953877880995</c:v>
                </c:pt>
                <c:pt idx="12">
                  <c:v>0.28269008170848298</c:v>
                </c:pt>
                <c:pt idx="13">
                  <c:v>0.20316876306166265</c:v>
                </c:pt>
                <c:pt idx="14">
                  <c:v>0.26258635691757898</c:v>
                </c:pt>
                <c:pt idx="15">
                  <c:v>0.39542580524124316</c:v>
                </c:pt>
                <c:pt idx="16">
                  <c:v>0.55026689274129814</c:v>
                </c:pt>
                <c:pt idx="17">
                  <c:v>0.60991365761652572</c:v>
                </c:pt>
                <c:pt idx="18">
                  <c:v>0.58147521016243719</c:v>
                </c:pt>
                <c:pt idx="19">
                  <c:v>0.5780638999547878</c:v>
                </c:pt>
                <c:pt idx="20">
                  <c:v>0.47750117386421775</c:v>
                </c:pt>
                <c:pt idx="21">
                  <c:v>0.5490316755533986</c:v>
                </c:pt>
                <c:pt idx="22">
                  <c:v>0.44744522568341066</c:v>
                </c:pt>
                <c:pt idx="23">
                  <c:v>0.55656561804129201</c:v>
                </c:pt>
                <c:pt idx="24">
                  <c:v>0.7029414072698561</c:v>
                </c:pt>
                <c:pt idx="25">
                  <c:v>0.67659862498378975</c:v>
                </c:pt>
                <c:pt idx="26">
                  <c:v>0.72480996947114484</c:v>
                </c:pt>
                <c:pt idx="27">
                  <c:v>0.65734580571719892</c:v>
                </c:pt>
                <c:pt idx="28">
                  <c:v>0.70083208713353107</c:v>
                </c:pt>
                <c:pt idx="29">
                  <c:v>0.65823867695287952</c:v>
                </c:pt>
                <c:pt idx="30">
                  <c:v>0.66374103314422783</c:v>
                </c:pt>
                <c:pt idx="31">
                  <c:v>0.6985557398653286</c:v>
                </c:pt>
                <c:pt idx="32">
                  <c:v>0.7152051514374278</c:v>
                </c:pt>
                <c:pt idx="33">
                  <c:v>0.84780167322834765</c:v>
                </c:pt>
                <c:pt idx="34">
                  <c:v>0.89938402909364024</c:v>
                </c:pt>
                <c:pt idx="35">
                  <c:v>0.87277864683113326</c:v>
                </c:pt>
                <c:pt idx="36">
                  <c:v>0.79823289557681287</c:v>
                </c:pt>
                <c:pt idx="37">
                  <c:v>0.7987944327810208</c:v>
                </c:pt>
                <c:pt idx="38">
                  <c:v>0.54970756118409991</c:v>
                </c:pt>
                <c:pt idx="39">
                  <c:v>0.57315356044651633</c:v>
                </c:pt>
                <c:pt idx="40">
                  <c:v>0.57081502231879322</c:v>
                </c:pt>
                <c:pt idx="41">
                  <c:v>0.62698459638493209</c:v>
                </c:pt>
                <c:pt idx="42">
                  <c:v>0.54576999408394666</c:v>
                </c:pt>
                <c:pt idx="43">
                  <c:v>0.49478525573269083</c:v>
                </c:pt>
                <c:pt idx="44">
                  <c:v>0.55931921849494959</c:v>
                </c:pt>
                <c:pt idx="45">
                  <c:v>0.6824749137524343</c:v>
                </c:pt>
              </c:numCache>
            </c:numRef>
          </c:val>
          <c:smooth val="0"/>
        </c:ser>
        <c:dLbls>
          <c:showLegendKey val="0"/>
          <c:showVal val="0"/>
          <c:showCatName val="0"/>
          <c:showSerName val="0"/>
          <c:showPercent val="0"/>
          <c:showBubbleSize val="0"/>
        </c:dLbls>
        <c:marker val="1"/>
        <c:smooth val="0"/>
        <c:axId val="114260992"/>
        <c:axId val="114262784"/>
      </c:lineChart>
      <c:catAx>
        <c:axId val="114260992"/>
        <c:scaling>
          <c:orientation val="minMax"/>
        </c:scaling>
        <c:delete val="0"/>
        <c:axPos val="b"/>
        <c:majorTickMark val="out"/>
        <c:minorTickMark val="none"/>
        <c:tickLblPos val="nextTo"/>
        <c:crossAx val="114262784"/>
        <c:crosses val="autoZero"/>
        <c:auto val="1"/>
        <c:lblAlgn val="ctr"/>
        <c:lblOffset val="100"/>
        <c:noMultiLvlLbl val="0"/>
      </c:catAx>
      <c:valAx>
        <c:axId val="114262784"/>
        <c:scaling>
          <c:orientation val="minMax"/>
        </c:scaling>
        <c:delete val="0"/>
        <c:axPos val="l"/>
        <c:majorGridlines/>
        <c:numFmt formatCode="_(* #,##0.00_);_(* \(#,##0.00\);_(* &quot;-&quot;??_);_(@_)" sourceLinked="1"/>
        <c:majorTickMark val="out"/>
        <c:minorTickMark val="none"/>
        <c:tickLblPos val="nextTo"/>
        <c:crossAx val="11426099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8AEFC-2B31-4AD7-8B59-825F4B9B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18170</TotalTime>
  <Pages>17</Pages>
  <Words>8032</Words>
  <Characters>45787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630</cp:revision>
  <cp:lastPrinted>2018-06-06T08:17:00Z</cp:lastPrinted>
  <dcterms:created xsi:type="dcterms:W3CDTF">2016-07-03T08:08:00Z</dcterms:created>
  <dcterms:modified xsi:type="dcterms:W3CDTF">2019-01-09T21:48:00Z</dcterms:modified>
</cp:coreProperties>
</file>