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A20" w:rsidRPr="00ED4EAF" w:rsidRDefault="004E3A20" w:rsidP="00536FA1">
      <w:pPr>
        <w:jc w:val="both"/>
        <w:rPr>
          <w:rFonts w:ascii="Arial" w:eastAsia="Arial" w:hAnsi="Arial" w:cs="Arial"/>
          <w:i/>
          <w:iCs/>
          <w:sz w:val="22"/>
          <w:szCs w:val="22"/>
          <w:lang w:val="vi-VN"/>
        </w:rPr>
      </w:pPr>
      <w:bookmarkStart w:id="0" w:name="_Toc496716936"/>
      <w:r w:rsidRPr="00ED4EAF">
        <w:rPr>
          <w:rFonts w:ascii="Arial" w:eastAsia="Arial" w:hAnsi="Arial" w:cs="Arial"/>
          <w:i/>
          <w:iCs/>
          <w:sz w:val="22"/>
          <w:szCs w:val="22"/>
          <w:lang w:val="vi-VN"/>
        </w:rPr>
        <w:t xml:space="preserve">APPENDIX 1: </w:t>
      </w:r>
      <w:r w:rsidR="00411C6E">
        <w:rPr>
          <w:rFonts w:ascii="Arial" w:eastAsia="Arial" w:hAnsi="Arial" w:cs="Arial"/>
          <w:i/>
          <w:iCs/>
          <w:sz w:val="22"/>
          <w:szCs w:val="22"/>
        </w:rPr>
        <w:t>Descriptions</w:t>
      </w:r>
      <w:r w:rsidRPr="00ED4EAF">
        <w:rPr>
          <w:rFonts w:ascii="Arial" w:eastAsia="Arial" w:hAnsi="Arial" w:cs="Arial"/>
          <w:i/>
          <w:iCs/>
          <w:sz w:val="22"/>
          <w:szCs w:val="22"/>
          <w:lang w:val="vi-VN"/>
        </w:rPr>
        <w:t xml:space="preserve"> of variables</w:t>
      </w:r>
    </w:p>
    <w:p w:rsidR="0062587F" w:rsidRPr="00ED4EAF" w:rsidRDefault="0062587F" w:rsidP="00536FA1">
      <w:pPr>
        <w:jc w:val="both"/>
        <w:rPr>
          <w:rFonts w:ascii="Arial" w:hAnsi="Arial" w:cs="Arial"/>
          <w:sz w:val="22"/>
          <w:szCs w:val="22"/>
          <w:lang w:val="vi-VN"/>
        </w:rPr>
      </w:pPr>
      <w:r w:rsidRPr="00ED4EAF">
        <w:rPr>
          <w:rFonts w:ascii="Arial" w:eastAsia="Arial" w:hAnsi="Arial" w:cs="Arial"/>
          <w:i/>
          <w:iCs/>
          <w:sz w:val="22"/>
          <w:szCs w:val="22"/>
        </w:rPr>
        <w:t>Dependent variable</w:t>
      </w:r>
      <w:r w:rsidRPr="00ED4EAF">
        <w:rPr>
          <w:rFonts w:ascii="Arial" w:eastAsia="Arial" w:hAnsi="Arial" w:cs="Arial"/>
          <w:i/>
          <w:iCs/>
          <w:sz w:val="22"/>
          <w:szCs w:val="22"/>
          <w:lang w:val="vi-VN"/>
        </w:rPr>
        <w:t xml:space="preserve"> (LEV) is represented by 3 proxies:</w:t>
      </w:r>
    </w:p>
    <w:p w:rsidR="0062587F" w:rsidRPr="00ED4EAF" w:rsidRDefault="0062587F" w:rsidP="00536FA1">
      <w:pPr>
        <w:jc w:val="both"/>
        <w:rPr>
          <w:rFonts w:ascii="Arial" w:hAnsi="Arial" w:cs="Arial"/>
          <w:sz w:val="22"/>
          <w:szCs w:val="22"/>
          <w:lang w:val="vi-VN"/>
        </w:rPr>
      </w:pPr>
      <w:proofErr w:type="spellStart"/>
      <w:r w:rsidRPr="00ED4EAF">
        <w:rPr>
          <w:rFonts w:ascii="Arial" w:eastAsia="Arial" w:hAnsi="Arial" w:cs="Arial"/>
          <w:sz w:val="22"/>
          <w:szCs w:val="22"/>
        </w:rPr>
        <w:t>TLEV</w:t>
      </w:r>
      <w:r w:rsidRPr="00ED4EAF">
        <w:rPr>
          <w:rFonts w:ascii="Arial" w:eastAsia="Arial" w:hAnsi="Arial" w:cs="Arial"/>
          <w:noProof/>
          <w:sz w:val="22"/>
          <w:szCs w:val="22"/>
          <w:vertAlign w:val="subscript"/>
        </w:rPr>
        <w:t>i</w:t>
      </w:r>
      <w:proofErr w:type="gramStart"/>
      <w:r w:rsidRPr="00ED4EAF">
        <w:rPr>
          <w:rFonts w:ascii="Arial" w:eastAsia="Arial" w:hAnsi="Arial" w:cs="Arial"/>
          <w:sz w:val="22"/>
          <w:szCs w:val="22"/>
          <w:vertAlign w:val="subscript"/>
        </w:rPr>
        <w:t>,t</w:t>
      </w:r>
      <w:proofErr w:type="spellEnd"/>
      <w:proofErr w:type="gramEnd"/>
      <w:r w:rsidRPr="00ED4EAF">
        <w:rPr>
          <w:rFonts w:ascii="Arial" w:hAnsi="Arial" w:cs="Arial"/>
          <w:sz w:val="22"/>
          <w:szCs w:val="22"/>
        </w:rPr>
        <w:t xml:space="preserve"> </w:t>
      </w:r>
      <w:r w:rsidRPr="00ED4EAF">
        <w:rPr>
          <w:rFonts w:ascii="Arial" w:eastAsia="Arial" w:hAnsi="Arial" w:cs="Arial"/>
          <w:sz w:val="22"/>
          <w:szCs w:val="22"/>
        </w:rPr>
        <w:t xml:space="preserve">is the ratio of total debt </w:t>
      </w:r>
      <w:r w:rsidRPr="00ED4EAF">
        <w:rPr>
          <w:rFonts w:ascii="Arial" w:eastAsia="Arial" w:hAnsi="Arial" w:cs="Arial"/>
          <w:sz w:val="22"/>
          <w:szCs w:val="22"/>
          <w:lang w:val="vi-VN"/>
        </w:rPr>
        <w:t>to</w:t>
      </w:r>
      <w:r w:rsidRPr="00ED4EAF">
        <w:rPr>
          <w:rFonts w:ascii="Arial" w:eastAsia="Arial" w:hAnsi="Arial" w:cs="Arial"/>
          <w:sz w:val="22"/>
          <w:szCs w:val="22"/>
        </w:rPr>
        <w:t xml:space="preserve"> total assets of firm </w:t>
      </w:r>
      <w:r w:rsidRPr="00ED4EAF">
        <w:rPr>
          <w:rFonts w:ascii="Arial" w:eastAsia="Arial" w:hAnsi="Arial" w:cs="Arial"/>
          <w:noProof/>
          <w:sz w:val="22"/>
          <w:szCs w:val="22"/>
        </w:rPr>
        <w:t>i</w:t>
      </w:r>
      <w:r w:rsidRPr="00ED4EAF">
        <w:rPr>
          <w:rFonts w:ascii="Arial" w:eastAsia="Arial" w:hAnsi="Arial" w:cs="Arial"/>
          <w:sz w:val="22"/>
          <w:szCs w:val="22"/>
        </w:rPr>
        <w:t xml:space="preserve"> in year t;</w:t>
      </w:r>
      <w:r w:rsidRPr="00ED4EAF">
        <w:rPr>
          <w:rFonts w:ascii="Arial" w:eastAsia="Arial" w:hAnsi="Arial" w:cs="Arial"/>
          <w:sz w:val="22"/>
          <w:szCs w:val="22"/>
          <w:lang w:val="vi-VN"/>
        </w:rPr>
        <w:t xml:space="preserve"> </w:t>
      </w:r>
    </w:p>
    <w:p w:rsidR="0062587F" w:rsidRPr="00ED4EAF" w:rsidRDefault="0062587F" w:rsidP="00536FA1">
      <w:pPr>
        <w:jc w:val="both"/>
        <w:rPr>
          <w:rFonts w:ascii="Arial" w:hAnsi="Arial" w:cs="Arial"/>
          <w:sz w:val="22"/>
          <w:szCs w:val="22"/>
        </w:rPr>
      </w:pPr>
      <w:proofErr w:type="spellStart"/>
      <w:r w:rsidRPr="00ED4EAF">
        <w:rPr>
          <w:rFonts w:ascii="Arial" w:eastAsia="Arial" w:hAnsi="Arial" w:cs="Arial"/>
          <w:sz w:val="22"/>
          <w:szCs w:val="22"/>
        </w:rPr>
        <w:t>LTLEV</w:t>
      </w:r>
      <w:r w:rsidRPr="00ED4EAF">
        <w:rPr>
          <w:rFonts w:ascii="Arial" w:eastAsia="Arial" w:hAnsi="Arial" w:cs="Arial"/>
          <w:noProof/>
          <w:sz w:val="22"/>
          <w:szCs w:val="22"/>
          <w:vertAlign w:val="subscript"/>
        </w:rPr>
        <w:t>i</w:t>
      </w:r>
      <w:proofErr w:type="gramStart"/>
      <w:r w:rsidRPr="00ED4EAF">
        <w:rPr>
          <w:rFonts w:ascii="Arial" w:eastAsia="Arial" w:hAnsi="Arial" w:cs="Arial"/>
          <w:sz w:val="22"/>
          <w:szCs w:val="22"/>
          <w:vertAlign w:val="subscript"/>
        </w:rPr>
        <w:t>,t</w:t>
      </w:r>
      <w:proofErr w:type="spellEnd"/>
      <w:proofErr w:type="gramEnd"/>
      <w:r w:rsidRPr="00ED4EAF">
        <w:rPr>
          <w:rFonts w:ascii="Arial" w:hAnsi="Arial" w:cs="Arial"/>
          <w:sz w:val="22"/>
          <w:szCs w:val="22"/>
        </w:rPr>
        <w:t xml:space="preserve"> </w:t>
      </w:r>
      <w:r w:rsidRPr="00ED4EAF">
        <w:rPr>
          <w:rFonts w:ascii="Arial" w:eastAsia="Arial" w:hAnsi="Arial" w:cs="Arial"/>
          <w:sz w:val="22"/>
          <w:szCs w:val="22"/>
        </w:rPr>
        <w:t>is the</w:t>
      </w:r>
      <w:r w:rsidRPr="00ED4EAF">
        <w:rPr>
          <w:rFonts w:ascii="Arial" w:hAnsi="Arial" w:cs="Arial"/>
          <w:sz w:val="22"/>
          <w:szCs w:val="22"/>
        </w:rPr>
        <w:t xml:space="preserve"> </w:t>
      </w:r>
      <w:r w:rsidRPr="00ED4EAF">
        <w:rPr>
          <w:rFonts w:ascii="Arial" w:eastAsia="Arial" w:hAnsi="Arial" w:cs="Arial"/>
          <w:sz w:val="22"/>
          <w:szCs w:val="22"/>
        </w:rPr>
        <w:t>firm</w:t>
      </w:r>
      <w:r w:rsidRPr="00ED4EAF">
        <w:rPr>
          <w:rFonts w:ascii="Arial" w:hAnsi="Arial" w:cs="Arial"/>
          <w:sz w:val="22"/>
          <w:szCs w:val="22"/>
        </w:rPr>
        <w:t xml:space="preserve"> </w:t>
      </w:r>
      <w:r w:rsidRPr="00ED4EAF">
        <w:rPr>
          <w:rFonts w:ascii="Arial" w:eastAsia="Arial" w:hAnsi="Arial" w:cs="Arial"/>
          <w:sz w:val="22"/>
          <w:szCs w:val="22"/>
        </w:rPr>
        <w:t xml:space="preserve">'s long-term debt </w:t>
      </w:r>
      <w:r w:rsidRPr="00ED4EAF">
        <w:rPr>
          <w:rFonts w:ascii="Arial" w:eastAsia="Arial" w:hAnsi="Arial" w:cs="Arial"/>
          <w:sz w:val="22"/>
          <w:szCs w:val="22"/>
          <w:lang w:val="vi-VN"/>
        </w:rPr>
        <w:t>to</w:t>
      </w:r>
      <w:r w:rsidRPr="00ED4EAF">
        <w:rPr>
          <w:rFonts w:ascii="Arial" w:eastAsia="Arial" w:hAnsi="Arial" w:cs="Arial"/>
          <w:sz w:val="22"/>
          <w:szCs w:val="22"/>
        </w:rPr>
        <w:t xml:space="preserve"> total assets ratio in year t;</w:t>
      </w:r>
    </w:p>
    <w:p w:rsidR="0062587F" w:rsidRPr="00ED4EAF" w:rsidRDefault="0062587F" w:rsidP="00536FA1">
      <w:pPr>
        <w:jc w:val="both"/>
        <w:rPr>
          <w:rFonts w:ascii="Arial" w:hAnsi="Arial" w:cs="Arial"/>
          <w:sz w:val="22"/>
          <w:szCs w:val="22"/>
        </w:rPr>
      </w:pPr>
      <w:r w:rsidRPr="00ED4EAF">
        <w:rPr>
          <w:rFonts w:ascii="Arial" w:eastAsia="Arial" w:hAnsi="Arial" w:cs="Arial"/>
          <w:noProof/>
          <w:sz w:val="22"/>
          <w:szCs w:val="22"/>
        </w:rPr>
        <w:t>STLEV</w:t>
      </w:r>
      <w:proofErr w:type="spellStart"/>
      <w:r w:rsidRPr="00ED4EAF">
        <w:rPr>
          <w:rFonts w:ascii="Arial" w:eastAsia="Arial" w:hAnsi="Arial" w:cs="Arial"/>
          <w:sz w:val="22"/>
          <w:szCs w:val="22"/>
          <w:vertAlign w:val="subscript"/>
        </w:rPr>
        <w:t>i</w:t>
      </w:r>
      <w:proofErr w:type="gramStart"/>
      <w:r w:rsidRPr="00ED4EAF">
        <w:rPr>
          <w:rFonts w:ascii="Arial" w:eastAsia="Arial" w:hAnsi="Arial" w:cs="Arial"/>
          <w:sz w:val="22"/>
          <w:szCs w:val="22"/>
          <w:vertAlign w:val="subscript"/>
        </w:rPr>
        <w:t>,t</w:t>
      </w:r>
      <w:proofErr w:type="spellEnd"/>
      <w:proofErr w:type="gramEnd"/>
      <w:r w:rsidRPr="00ED4EAF">
        <w:rPr>
          <w:rFonts w:ascii="Arial" w:hAnsi="Arial" w:cs="Arial"/>
          <w:sz w:val="22"/>
          <w:szCs w:val="22"/>
        </w:rPr>
        <w:t xml:space="preserve"> </w:t>
      </w:r>
      <w:r w:rsidRPr="00ED4EAF">
        <w:rPr>
          <w:rFonts w:ascii="Arial" w:eastAsia="Arial" w:hAnsi="Arial" w:cs="Arial"/>
          <w:sz w:val="22"/>
          <w:szCs w:val="22"/>
        </w:rPr>
        <w:t xml:space="preserve">the </w:t>
      </w:r>
      <w:r w:rsidRPr="00ED4EAF">
        <w:rPr>
          <w:rFonts w:ascii="Arial" w:eastAsia="Arial" w:hAnsi="Arial" w:cs="Arial"/>
          <w:sz w:val="22"/>
          <w:szCs w:val="22"/>
          <w:lang w:val="vi-VN"/>
        </w:rPr>
        <w:t>s</w:t>
      </w:r>
      <w:proofErr w:type="spellStart"/>
      <w:r w:rsidRPr="00ED4EAF">
        <w:rPr>
          <w:rFonts w:ascii="Arial" w:eastAsia="Arial" w:hAnsi="Arial" w:cs="Arial"/>
          <w:sz w:val="22"/>
          <w:szCs w:val="22"/>
        </w:rPr>
        <w:t>hort</w:t>
      </w:r>
      <w:proofErr w:type="spellEnd"/>
      <w:r w:rsidRPr="00ED4EAF">
        <w:rPr>
          <w:rFonts w:ascii="Arial" w:eastAsia="Arial" w:hAnsi="Arial" w:cs="Arial"/>
          <w:sz w:val="22"/>
          <w:szCs w:val="22"/>
        </w:rPr>
        <w:t xml:space="preserve">-term </w:t>
      </w:r>
      <w:r w:rsidRPr="00ED4EAF">
        <w:rPr>
          <w:rFonts w:ascii="Arial" w:eastAsia="Arial" w:hAnsi="Arial" w:cs="Arial"/>
          <w:sz w:val="22"/>
          <w:szCs w:val="22"/>
          <w:lang w:val="vi-VN"/>
        </w:rPr>
        <w:t>d</w:t>
      </w:r>
      <w:proofErr w:type="spellStart"/>
      <w:r w:rsidRPr="00ED4EAF">
        <w:rPr>
          <w:rFonts w:ascii="Arial" w:eastAsia="Arial" w:hAnsi="Arial" w:cs="Arial"/>
          <w:sz w:val="22"/>
          <w:szCs w:val="22"/>
        </w:rPr>
        <w:t>ebt</w:t>
      </w:r>
      <w:proofErr w:type="spellEnd"/>
      <w:r w:rsidRPr="00ED4EAF">
        <w:rPr>
          <w:rFonts w:ascii="Arial" w:eastAsia="Arial" w:hAnsi="Arial" w:cs="Arial"/>
          <w:sz w:val="22"/>
          <w:szCs w:val="22"/>
        </w:rPr>
        <w:t xml:space="preserve"> </w:t>
      </w:r>
      <w:r w:rsidRPr="00ED4EAF">
        <w:rPr>
          <w:rFonts w:ascii="Arial" w:eastAsia="Arial" w:hAnsi="Arial" w:cs="Arial"/>
          <w:sz w:val="22"/>
          <w:szCs w:val="22"/>
          <w:lang w:val="vi-VN"/>
        </w:rPr>
        <w:t>to</w:t>
      </w:r>
      <w:r w:rsidRPr="00ED4EAF">
        <w:rPr>
          <w:rFonts w:ascii="Arial" w:eastAsia="Arial" w:hAnsi="Arial" w:cs="Arial"/>
          <w:sz w:val="22"/>
          <w:szCs w:val="22"/>
        </w:rPr>
        <w:t xml:space="preserve"> </w:t>
      </w:r>
      <w:r w:rsidRPr="00ED4EAF">
        <w:rPr>
          <w:rFonts w:ascii="Arial" w:eastAsia="Arial" w:hAnsi="Arial" w:cs="Arial"/>
          <w:sz w:val="22"/>
          <w:szCs w:val="22"/>
          <w:lang w:val="vi-VN"/>
        </w:rPr>
        <w:t>t</w:t>
      </w:r>
      <w:proofErr w:type="spellStart"/>
      <w:r w:rsidRPr="00ED4EAF">
        <w:rPr>
          <w:rFonts w:ascii="Arial" w:eastAsia="Arial" w:hAnsi="Arial" w:cs="Arial"/>
          <w:sz w:val="22"/>
          <w:szCs w:val="22"/>
        </w:rPr>
        <w:t>otal</w:t>
      </w:r>
      <w:proofErr w:type="spellEnd"/>
      <w:r w:rsidRPr="00ED4EAF">
        <w:rPr>
          <w:rFonts w:ascii="Arial" w:eastAsia="Arial" w:hAnsi="Arial" w:cs="Arial"/>
          <w:sz w:val="22"/>
          <w:szCs w:val="22"/>
        </w:rPr>
        <w:t xml:space="preserve"> </w:t>
      </w:r>
      <w:r w:rsidRPr="00ED4EAF">
        <w:rPr>
          <w:rFonts w:ascii="Arial" w:eastAsia="Arial" w:hAnsi="Arial" w:cs="Arial"/>
          <w:sz w:val="22"/>
          <w:szCs w:val="22"/>
          <w:lang w:val="vi-VN"/>
        </w:rPr>
        <w:t>a</w:t>
      </w:r>
      <w:proofErr w:type="spellStart"/>
      <w:r w:rsidRPr="00ED4EAF">
        <w:rPr>
          <w:rFonts w:ascii="Arial" w:eastAsia="Arial" w:hAnsi="Arial" w:cs="Arial"/>
          <w:sz w:val="22"/>
          <w:szCs w:val="22"/>
        </w:rPr>
        <w:t>ssets</w:t>
      </w:r>
      <w:proofErr w:type="spellEnd"/>
      <w:r w:rsidRPr="00ED4EAF">
        <w:rPr>
          <w:rFonts w:ascii="Arial" w:eastAsia="Arial" w:hAnsi="Arial" w:cs="Arial"/>
          <w:sz w:val="22"/>
          <w:szCs w:val="22"/>
        </w:rPr>
        <w:t xml:space="preserve"> ratio of firm </w:t>
      </w:r>
      <w:r w:rsidRPr="00ED4EAF">
        <w:rPr>
          <w:rFonts w:ascii="Arial" w:eastAsia="Arial" w:hAnsi="Arial" w:cs="Arial"/>
          <w:noProof/>
          <w:sz w:val="22"/>
          <w:szCs w:val="22"/>
        </w:rPr>
        <w:t>i</w:t>
      </w:r>
      <w:r w:rsidRPr="00ED4EAF">
        <w:rPr>
          <w:rFonts w:ascii="Arial" w:eastAsia="Arial" w:hAnsi="Arial" w:cs="Arial"/>
          <w:sz w:val="22"/>
          <w:szCs w:val="22"/>
        </w:rPr>
        <w:t xml:space="preserve"> in year t.</w:t>
      </w:r>
    </w:p>
    <w:p w:rsidR="00FA7D00" w:rsidRPr="00ED4EAF" w:rsidRDefault="00FA7D00" w:rsidP="00536FA1">
      <w:pPr>
        <w:jc w:val="both"/>
        <w:rPr>
          <w:rFonts w:ascii="Arial" w:hAnsi="Arial" w:cs="Arial"/>
          <w:sz w:val="22"/>
          <w:szCs w:val="22"/>
        </w:rPr>
      </w:pPr>
      <w:r w:rsidRPr="00ED4EAF">
        <w:rPr>
          <w:rFonts w:ascii="Arial" w:eastAsia="Arial" w:hAnsi="Arial" w:cs="Arial"/>
          <w:i/>
          <w:iCs/>
          <w:sz w:val="22"/>
          <w:szCs w:val="22"/>
        </w:rPr>
        <w:t>Overconfidence - OVER</w:t>
      </w:r>
      <w:bookmarkEnd w:id="0"/>
    </w:p>
    <w:p w:rsidR="00FA7D00" w:rsidRPr="00ED4EAF" w:rsidRDefault="00FA7D00" w:rsidP="00536FA1">
      <w:pPr>
        <w:jc w:val="both"/>
        <w:rPr>
          <w:rFonts w:ascii="Arial" w:hAnsi="Arial" w:cs="Arial"/>
          <w:sz w:val="22"/>
          <w:szCs w:val="22"/>
        </w:rPr>
      </w:pPr>
      <w:bookmarkStart w:id="1" w:name="OLE_LINK116"/>
      <w:bookmarkEnd w:id="1"/>
      <w:r w:rsidRPr="00ED4EAF">
        <w:rPr>
          <w:rFonts w:ascii="Arial" w:eastAsia="Arial" w:hAnsi="Arial" w:cs="Arial"/>
          <w:sz w:val="22"/>
          <w:szCs w:val="22"/>
        </w:rPr>
        <w:t>Ben-David et al. (200</w:t>
      </w:r>
      <w:r w:rsidR="00AB5D19" w:rsidRPr="00ED4EAF">
        <w:rPr>
          <w:rFonts w:ascii="Arial" w:eastAsia="Arial" w:hAnsi="Arial" w:cs="Arial"/>
          <w:sz w:val="22"/>
          <w:szCs w:val="22"/>
          <w:lang w:val="vi-VN"/>
        </w:rPr>
        <w:t>7</w:t>
      </w:r>
      <w:r w:rsidRPr="00ED4EAF">
        <w:rPr>
          <w:rFonts w:ascii="Arial" w:eastAsia="Arial" w:hAnsi="Arial" w:cs="Arial"/>
          <w:sz w:val="22"/>
          <w:szCs w:val="22"/>
        </w:rPr>
        <w:t xml:space="preserve">) adopted CFO forecasts for stock market returns. </w:t>
      </w:r>
      <w:proofErr w:type="spellStart"/>
      <w:r w:rsidRPr="00ED4EAF">
        <w:rPr>
          <w:rFonts w:ascii="Arial" w:eastAsia="Arial" w:hAnsi="Arial" w:cs="Arial"/>
          <w:sz w:val="22"/>
          <w:szCs w:val="22"/>
        </w:rPr>
        <w:t>Malmendier</w:t>
      </w:r>
      <w:proofErr w:type="spellEnd"/>
      <w:r w:rsidRPr="00ED4EAF">
        <w:rPr>
          <w:rFonts w:ascii="Arial" w:eastAsia="Arial" w:hAnsi="Arial" w:cs="Arial"/>
          <w:sz w:val="22"/>
          <w:szCs w:val="22"/>
        </w:rPr>
        <w:t xml:space="preserve"> </w:t>
      </w:r>
      <w:r w:rsidR="00C9143B" w:rsidRPr="00ED4EAF">
        <w:rPr>
          <w:rFonts w:ascii="Arial" w:eastAsia="Arial" w:hAnsi="Arial" w:cs="Arial"/>
          <w:sz w:val="22"/>
          <w:szCs w:val="22"/>
          <w:lang w:val="vi-VN"/>
        </w:rPr>
        <w:t xml:space="preserve">and Tate </w:t>
      </w:r>
      <w:r w:rsidRPr="00ED4EAF">
        <w:rPr>
          <w:rFonts w:ascii="Arial" w:eastAsia="Arial" w:hAnsi="Arial" w:cs="Arial"/>
          <w:sz w:val="22"/>
          <w:szCs w:val="22"/>
        </w:rPr>
        <w:t>(200</w:t>
      </w:r>
      <w:r w:rsidR="00C9143B" w:rsidRPr="00ED4EAF">
        <w:rPr>
          <w:rFonts w:ascii="Arial" w:eastAsia="Arial" w:hAnsi="Arial" w:cs="Arial"/>
          <w:sz w:val="22"/>
          <w:szCs w:val="22"/>
          <w:lang w:val="vi-VN"/>
        </w:rPr>
        <w:t>8</w:t>
      </w:r>
      <w:r w:rsidRPr="00ED4EAF">
        <w:rPr>
          <w:rFonts w:ascii="Arial" w:eastAsia="Arial" w:hAnsi="Arial" w:cs="Arial"/>
          <w:sz w:val="22"/>
          <w:szCs w:val="22"/>
        </w:rPr>
        <w:t xml:space="preserve">) used two </w:t>
      </w:r>
      <w:r w:rsidRPr="00ED4EAF">
        <w:rPr>
          <w:rFonts w:ascii="Arial" w:eastAsia="Arial" w:hAnsi="Arial" w:cs="Arial"/>
          <w:noProof/>
          <w:sz w:val="22"/>
          <w:szCs w:val="22"/>
        </w:rPr>
        <w:t>method</w:t>
      </w:r>
      <w:r w:rsidRPr="00ED4EAF">
        <w:rPr>
          <w:rFonts w:ascii="Arial" w:eastAsia="Arial" w:hAnsi="Arial" w:cs="Arial"/>
          <w:sz w:val="22"/>
          <w:szCs w:val="22"/>
        </w:rPr>
        <w:t xml:space="preserve"> to measure managerial overconfidence: CEO's Personal Portfolio Decisions and CEO knowledge.</w:t>
      </w:r>
    </w:p>
    <w:p w:rsidR="004E3A20" w:rsidRPr="00ED4EAF" w:rsidRDefault="00FA7D00" w:rsidP="00536FA1">
      <w:pPr>
        <w:jc w:val="both"/>
        <w:rPr>
          <w:rFonts w:ascii="Arial" w:eastAsia="Arial" w:hAnsi="Arial" w:cs="Arial"/>
          <w:sz w:val="22"/>
          <w:szCs w:val="22"/>
        </w:rPr>
      </w:pPr>
      <w:r w:rsidRPr="00ED4EAF">
        <w:rPr>
          <w:rFonts w:ascii="Arial" w:eastAsia="Arial" w:hAnsi="Arial" w:cs="Arial"/>
          <w:sz w:val="22"/>
          <w:szCs w:val="22"/>
        </w:rPr>
        <w:t xml:space="preserve">Oliver (2005) and </w:t>
      </w:r>
      <w:proofErr w:type="spellStart"/>
      <w:r w:rsidRPr="00ED4EAF">
        <w:rPr>
          <w:rFonts w:ascii="Arial" w:eastAsia="Arial" w:hAnsi="Arial" w:cs="Arial"/>
          <w:sz w:val="22"/>
          <w:szCs w:val="22"/>
        </w:rPr>
        <w:t>Tomak</w:t>
      </w:r>
      <w:proofErr w:type="spellEnd"/>
      <w:r w:rsidRPr="00ED4EAF">
        <w:rPr>
          <w:rFonts w:ascii="Arial" w:eastAsia="Arial" w:hAnsi="Arial" w:cs="Arial"/>
          <w:sz w:val="22"/>
          <w:szCs w:val="22"/>
        </w:rPr>
        <w:t xml:space="preserve"> (2013) use the University of Michigan Consumer Sentiment index as a measure of confidence. </w:t>
      </w:r>
    </w:p>
    <w:p w:rsidR="00FA7D00" w:rsidRPr="00ED4EAF" w:rsidRDefault="00FA7D00" w:rsidP="00536FA1">
      <w:pPr>
        <w:jc w:val="both"/>
        <w:rPr>
          <w:rFonts w:ascii="Arial" w:hAnsi="Arial" w:cs="Arial"/>
          <w:sz w:val="22"/>
          <w:szCs w:val="22"/>
        </w:rPr>
      </w:pPr>
      <w:r w:rsidRPr="00ED4EAF">
        <w:rPr>
          <w:rFonts w:ascii="Arial" w:eastAsia="Arial" w:hAnsi="Arial" w:cs="Arial"/>
          <w:sz w:val="22"/>
          <w:szCs w:val="22"/>
        </w:rPr>
        <w:t>In the study of</w:t>
      </w:r>
      <w:r w:rsidRPr="00ED4EAF">
        <w:rPr>
          <w:rFonts w:ascii="Arial" w:hAnsi="Arial" w:cs="Arial"/>
          <w:sz w:val="22"/>
          <w:szCs w:val="22"/>
        </w:rPr>
        <w:t xml:space="preserve"> </w:t>
      </w:r>
      <w:bookmarkStart w:id="2" w:name="OLE_LINK187"/>
      <w:bookmarkStart w:id="3" w:name="OLE_LINK188"/>
      <w:bookmarkEnd w:id="2"/>
      <w:proofErr w:type="spellStart"/>
      <w:r w:rsidRPr="00ED4EAF">
        <w:rPr>
          <w:rFonts w:ascii="Arial" w:eastAsia="Arial" w:hAnsi="Arial" w:cs="Arial"/>
          <w:sz w:val="22"/>
          <w:szCs w:val="22"/>
        </w:rPr>
        <w:t>Malmendier</w:t>
      </w:r>
      <w:proofErr w:type="spellEnd"/>
      <w:r w:rsidRPr="00ED4EAF">
        <w:rPr>
          <w:rFonts w:ascii="Arial" w:eastAsia="Arial" w:hAnsi="Arial" w:cs="Arial"/>
          <w:sz w:val="22"/>
          <w:szCs w:val="22"/>
        </w:rPr>
        <w:t xml:space="preserve"> </w:t>
      </w:r>
      <w:r w:rsidR="004E3A20" w:rsidRPr="00ED4EAF">
        <w:rPr>
          <w:rFonts w:ascii="Arial" w:eastAsia="Arial" w:hAnsi="Arial" w:cs="Arial"/>
          <w:sz w:val="22"/>
          <w:szCs w:val="22"/>
          <w:lang w:val="vi-VN"/>
        </w:rPr>
        <w:t>and</w:t>
      </w:r>
      <w:r w:rsidRPr="00ED4EAF">
        <w:rPr>
          <w:rFonts w:ascii="Arial" w:eastAsia="Arial" w:hAnsi="Arial" w:cs="Arial"/>
          <w:sz w:val="22"/>
          <w:szCs w:val="22"/>
        </w:rPr>
        <w:t xml:space="preserve"> Tate (2005)</w:t>
      </w:r>
      <w:bookmarkEnd w:id="3"/>
      <w:r w:rsidRPr="00ED4EAF">
        <w:rPr>
          <w:rFonts w:ascii="Arial" w:hAnsi="Arial" w:cs="Arial"/>
          <w:sz w:val="22"/>
          <w:szCs w:val="22"/>
        </w:rPr>
        <w:t xml:space="preserve"> </w:t>
      </w:r>
      <w:r w:rsidRPr="00ED4EAF">
        <w:rPr>
          <w:rFonts w:ascii="Arial" w:eastAsia="Arial" w:hAnsi="Arial" w:cs="Arial"/>
          <w:sz w:val="22"/>
          <w:szCs w:val="22"/>
        </w:rPr>
        <w:t>on the effect of managerial overconfidence on corporate investment decisions in the 1980-</w:t>
      </w:r>
      <w:r w:rsidR="004E3A20" w:rsidRPr="00ED4EAF">
        <w:rPr>
          <w:rFonts w:ascii="Arial" w:eastAsia="Arial" w:hAnsi="Arial" w:cs="Arial"/>
          <w:sz w:val="22"/>
          <w:szCs w:val="22"/>
          <w:lang w:val="vi-VN"/>
        </w:rPr>
        <w:t>19</w:t>
      </w:r>
      <w:r w:rsidRPr="00ED4EAF">
        <w:rPr>
          <w:rFonts w:ascii="Arial" w:eastAsia="Arial" w:hAnsi="Arial" w:cs="Arial"/>
          <w:sz w:val="22"/>
          <w:szCs w:val="22"/>
        </w:rPr>
        <w:t>94 period, based on the "net buyer" concept.</w:t>
      </w:r>
      <w:bookmarkStart w:id="4" w:name="_GoBack"/>
      <w:bookmarkEnd w:id="4"/>
      <w:r w:rsidRPr="00ED4EAF">
        <w:rPr>
          <w:rFonts w:ascii="Arial" w:eastAsia="Arial" w:hAnsi="Arial" w:cs="Arial"/>
          <w:sz w:val="22"/>
          <w:szCs w:val="22"/>
        </w:rPr>
        <w:t xml:space="preserve"> Executives are considered overconfident if they are in the net buy</w:t>
      </w:r>
      <w:r w:rsidR="004E3A20" w:rsidRPr="00ED4EAF">
        <w:rPr>
          <w:rFonts w:ascii="Arial" w:eastAsia="Arial" w:hAnsi="Arial" w:cs="Arial"/>
          <w:sz w:val="22"/>
          <w:szCs w:val="22"/>
          <w:lang w:val="vi-VN"/>
        </w:rPr>
        <w:t>ing</w:t>
      </w:r>
      <w:r w:rsidRPr="00ED4EAF">
        <w:rPr>
          <w:rFonts w:ascii="Arial" w:eastAsia="Arial" w:hAnsi="Arial" w:cs="Arial"/>
          <w:sz w:val="22"/>
          <w:szCs w:val="22"/>
        </w:rPr>
        <w:t xml:space="preserve"> position of the company during the initial period of the survey period. In this study, managers were considered overconfident as those who had more net stock buy</w:t>
      </w:r>
      <w:r w:rsidR="004E3A20" w:rsidRPr="00ED4EAF">
        <w:rPr>
          <w:rFonts w:ascii="Arial" w:eastAsia="Arial" w:hAnsi="Arial" w:cs="Arial"/>
          <w:sz w:val="22"/>
          <w:szCs w:val="22"/>
          <w:lang w:val="vi-VN"/>
        </w:rPr>
        <w:t>ing</w:t>
      </w:r>
      <w:r w:rsidRPr="00ED4EAF">
        <w:rPr>
          <w:rFonts w:ascii="Arial" w:eastAsia="Arial" w:hAnsi="Arial" w:cs="Arial"/>
          <w:sz w:val="22"/>
          <w:szCs w:val="22"/>
        </w:rPr>
        <w:t xml:space="preserve"> years than net stock sell</w:t>
      </w:r>
      <w:r w:rsidR="004E3A20" w:rsidRPr="00ED4EAF">
        <w:rPr>
          <w:rFonts w:ascii="Arial" w:eastAsia="Arial" w:hAnsi="Arial" w:cs="Arial"/>
          <w:sz w:val="22"/>
          <w:szCs w:val="22"/>
          <w:lang w:val="vi-VN"/>
        </w:rPr>
        <w:t>ing</w:t>
      </w:r>
      <w:r w:rsidRPr="00ED4EAF">
        <w:rPr>
          <w:rFonts w:ascii="Arial" w:eastAsia="Arial" w:hAnsi="Arial" w:cs="Arial"/>
          <w:sz w:val="22"/>
          <w:szCs w:val="22"/>
        </w:rPr>
        <w:t xml:space="preserve"> </w:t>
      </w:r>
      <w:r w:rsidRPr="00ED4EAF">
        <w:rPr>
          <w:rFonts w:ascii="Arial" w:eastAsia="Arial" w:hAnsi="Arial" w:cs="Arial"/>
          <w:noProof/>
          <w:sz w:val="22"/>
          <w:szCs w:val="22"/>
        </w:rPr>
        <w:t>year during</w:t>
      </w:r>
      <w:r w:rsidRPr="00ED4EAF">
        <w:rPr>
          <w:rFonts w:ascii="Arial" w:eastAsia="Arial" w:hAnsi="Arial" w:cs="Arial"/>
          <w:sz w:val="22"/>
          <w:szCs w:val="22"/>
        </w:rPr>
        <w:t xml:space="preserve"> the 6</w:t>
      </w:r>
      <w:r w:rsidR="004E3A20" w:rsidRPr="00ED4EAF">
        <w:rPr>
          <w:rFonts w:ascii="Arial" w:eastAsia="Arial" w:hAnsi="Arial" w:cs="Arial"/>
          <w:sz w:val="22"/>
          <w:szCs w:val="22"/>
          <w:lang w:val="vi-VN"/>
        </w:rPr>
        <w:t>-</w:t>
      </w:r>
      <w:r w:rsidRPr="00ED4EAF">
        <w:rPr>
          <w:rFonts w:ascii="Arial" w:eastAsia="Arial" w:hAnsi="Arial" w:cs="Arial"/>
          <w:sz w:val="22"/>
          <w:szCs w:val="22"/>
        </w:rPr>
        <w:t>year period of the observation period (1980-1994</w:t>
      </w:r>
      <w:r w:rsidRPr="00ED4EAF">
        <w:rPr>
          <w:rFonts w:ascii="Arial" w:eastAsia="Arial" w:hAnsi="Arial" w:cs="Arial"/>
          <w:noProof/>
          <w:sz w:val="22"/>
          <w:szCs w:val="22"/>
        </w:rPr>
        <w:t>).</w:t>
      </w:r>
      <w:r w:rsidRPr="00ED4EAF">
        <w:rPr>
          <w:rFonts w:ascii="Arial" w:eastAsia="Arial" w:hAnsi="Arial" w:cs="Arial"/>
          <w:sz w:val="22"/>
          <w:szCs w:val="22"/>
        </w:rPr>
        <w:t xml:space="preserve"> </w:t>
      </w:r>
      <w:proofErr w:type="spellStart"/>
      <w:r w:rsidRPr="00ED4EAF">
        <w:rPr>
          <w:rFonts w:ascii="Arial" w:eastAsia="Arial" w:hAnsi="Arial" w:cs="Arial"/>
          <w:sz w:val="22"/>
          <w:szCs w:val="22"/>
        </w:rPr>
        <w:t>Malmendier</w:t>
      </w:r>
      <w:proofErr w:type="spellEnd"/>
      <w:r w:rsidRPr="00ED4EAF">
        <w:rPr>
          <w:rFonts w:ascii="Arial" w:eastAsia="Arial" w:hAnsi="Arial" w:cs="Arial"/>
          <w:sz w:val="22"/>
          <w:szCs w:val="22"/>
        </w:rPr>
        <w:t xml:space="preserve"> </w:t>
      </w:r>
      <w:r w:rsidR="004E3A20" w:rsidRPr="00ED4EAF">
        <w:rPr>
          <w:rFonts w:ascii="Arial" w:eastAsia="Arial" w:hAnsi="Arial" w:cs="Arial"/>
          <w:sz w:val="22"/>
          <w:szCs w:val="22"/>
          <w:lang w:val="vi-VN"/>
        </w:rPr>
        <w:t>and</w:t>
      </w:r>
      <w:r w:rsidRPr="00ED4EAF">
        <w:rPr>
          <w:rFonts w:ascii="Arial" w:eastAsia="Arial" w:hAnsi="Arial" w:cs="Arial"/>
          <w:sz w:val="22"/>
          <w:szCs w:val="22"/>
        </w:rPr>
        <w:t xml:space="preserve"> Tate (2005) also argue</w:t>
      </w:r>
      <w:r w:rsidR="004E3A20" w:rsidRPr="00ED4EAF">
        <w:rPr>
          <w:rFonts w:ascii="Arial" w:eastAsia="Arial" w:hAnsi="Arial" w:cs="Arial"/>
          <w:sz w:val="22"/>
          <w:szCs w:val="22"/>
          <w:lang w:val="vi-VN"/>
        </w:rPr>
        <w:t>d</w:t>
      </w:r>
      <w:r w:rsidRPr="00ED4EAF">
        <w:rPr>
          <w:rFonts w:ascii="Arial" w:eastAsia="Arial" w:hAnsi="Arial" w:cs="Arial"/>
          <w:sz w:val="22"/>
          <w:szCs w:val="22"/>
        </w:rPr>
        <w:t xml:space="preserve"> that managerial overconfidence as a trait in their personality should be considered constant in the research phase.</w:t>
      </w:r>
    </w:p>
    <w:p w:rsidR="00FA7D00" w:rsidRPr="00ED4EAF" w:rsidRDefault="00FA7D00" w:rsidP="00536FA1">
      <w:pPr>
        <w:jc w:val="both"/>
        <w:rPr>
          <w:rFonts w:ascii="Arial" w:hAnsi="Arial" w:cs="Arial"/>
          <w:sz w:val="22"/>
          <w:szCs w:val="22"/>
        </w:rPr>
      </w:pPr>
      <w:r w:rsidRPr="00ED4EAF">
        <w:rPr>
          <w:rFonts w:ascii="Arial" w:eastAsia="Arial" w:hAnsi="Arial" w:cs="Arial"/>
          <w:sz w:val="22"/>
          <w:szCs w:val="22"/>
        </w:rPr>
        <w:t xml:space="preserve">The study by Glaser et al. (2008) on the impact of managerial optimism on business investment in the German market for the period 2001-2006, suggests that investment decision making process is </w:t>
      </w:r>
      <w:r w:rsidRPr="00ED4EAF">
        <w:rPr>
          <w:rFonts w:ascii="Arial" w:eastAsia="Arial" w:hAnsi="Arial" w:cs="Arial"/>
          <w:noProof/>
          <w:sz w:val="22"/>
          <w:szCs w:val="22"/>
        </w:rPr>
        <w:t>complex</w:t>
      </w:r>
      <w:r w:rsidRPr="00ED4EAF">
        <w:rPr>
          <w:rFonts w:ascii="Arial" w:eastAsia="Arial" w:hAnsi="Arial" w:cs="Arial"/>
          <w:sz w:val="22"/>
          <w:szCs w:val="22"/>
        </w:rPr>
        <w:t xml:space="preserve">. Investment decisions are not solely driven by CEO or </w:t>
      </w:r>
      <w:r w:rsidRPr="00ED4EAF">
        <w:rPr>
          <w:rFonts w:ascii="Arial" w:eastAsia="Arial" w:hAnsi="Arial" w:cs="Arial"/>
          <w:noProof/>
          <w:sz w:val="22"/>
          <w:szCs w:val="22"/>
        </w:rPr>
        <w:t>CFO</w:t>
      </w:r>
      <w:r w:rsidRPr="00ED4EAF">
        <w:rPr>
          <w:rFonts w:ascii="Arial" w:eastAsia="Arial" w:hAnsi="Arial" w:cs="Arial"/>
          <w:sz w:val="22"/>
          <w:szCs w:val="22"/>
        </w:rPr>
        <w:t xml:space="preserve"> but are also highly dependent on the </w:t>
      </w:r>
      <w:r w:rsidRPr="00ED4EAF">
        <w:rPr>
          <w:rFonts w:ascii="Arial" w:eastAsia="Arial" w:hAnsi="Arial" w:cs="Arial"/>
          <w:noProof/>
          <w:sz w:val="22"/>
          <w:szCs w:val="22"/>
        </w:rPr>
        <w:t>senior</w:t>
      </w:r>
      <w:r w:rsidRPr="00ED4EAF">
        <w:rPr>
          <w:rFonts w:ascii="Arial" w:eastAsia="Arial" w:hAnsi="Arial" w:cs="Arial"/>
          <w:sz w:val="22"/>
          <w:szCs w:val="22"/>
        </w:rPr>
        <w:t xml:space="preserve"> manager</w:t>
      </w:r>
      <w:r w:rsidRPr="00ED4EAF">
        <w:rPr>
          <w:rFonts w:ascii="Arial" w:eastAsia="Arial" w:hAnsi="Arial" w:cs="Arial"/>
          <w:noProof/>
          <w:sz w:val="22"/>
          <w:szCs w:val="22"/>
        </w:rPr>
        <w:t>.</w:t>
      </w:r>
      <w:r w:rsidRPr="00ED4EAF">
        <w:rPr>
          <w:rFonts w:ascii="Arial" w:eastAsia="Arial" w:hAnsi="Arial" w:cs="Arial"/>
          <w:sz w:val="22"/>
          <w:szCs w:val="22"/>
        </w:rPr>
        <w:t xml:space="preserve"> The measure of managerial optimism is determined based on volume, which is the stock trading volume from </w:t>
      </w:r>
      <w:r w:rsidRPr="00ED4EAF">
        <w:rPr>
          <w:rFonts w:ascii="Arial" w:eastAsia="Arial" w:hAnsi="Arial" w:cs="Arial"/>
          <w:noProof/>
          <w:sz w:val="22"/>
          <w:szCs w:val="22"/>
        </w:rPr>
        <w:t>internal</w:t>
      </w:r>
      <w:r w:rsidRPr="00ED4EAF">
        <w:rPr>
          <w:rFonts w:ascii="Arial" w:eastAsia="Arial" w:hAnsi="Arial" w:cs="Arial"/>
          <w:sz w:val="22"/>
          <w:szCs w:val="22"/>
        </w:rPr>
        <w:t xml:space="preserve"> trading behavior of the manager; or on the basis of quantity, that is the number of managers involved in internal trading. </w:t>
      </w:r>
    </w:p>
    <w:p w:rsidR="00FA7D00" w:rsidRPr="00ED4EAF" w:rsidRDefault="00FA7D00" w:rsidP="00536FA1">
      <w:pPr>
        <w:jc w:val="both"/>
        <w:rPr>
          <w:rFonts w:ascii="Arial" w:hAnsi="Arial" w:cs="Arial"/>
          <w:sz w:val="22"/>
          <w:szCs w:val="22"/>
        </w:rPr>
      </w:pPr>
      <w:bookmarkStart w:id="5" w:name="OLE_LINK86"/>
      <w:bookmarkStart w:id="6" w:name="OLE_LINK87"/>
      <w:bookmarkStart w:id="7" w:name="OLE_LINK90"/>
      <w:bookmarkEnd w:id="5"/>
      <w:bookmarkEnd w:id="6"/>
      <w:r w:rsidRPr="00ED4EAF">
        <w:rPr>
          <w:rFonts w:ascii="Arial" w:eastAsia="Arial" w:hAnsi="Arial" w:cs="Arial"/>
          <w:sz w:val="22"/>
          <w:szCs w:val="22"/>
        </w:rPr>
        <w:t xml:space="preserve">In this study, the measure of managerial overconfidence </w:t>
      </w:r>
      <w:r w:rsidR="004E3A20" w:rsidRPr="00ED4EAF">
        <w:rPr>
          <w:rFonts w:ascii="Arial" w:eastAsia="Arial" w:hAnsi="Arial" w:cs="Arial"/>
          <w:sz w:val="22"/>
          <w:szCs w:val="22"/>
          <w:lang w:val="vi-VN"/>
        </w:rPr>
        <w:t xml:space="preserve">followed </w:t>
      </w:r>
      <w:r w:rsidRPr="00ED4EAF">
        <w:rPr>
          <w:rFonts w:ascii="Arial" w:eastAsia="Arial" w:hAnsi="Arial" w:cs="Arial"/>
          <w:sz w:val="22"/>
          <w:szCs w:val="22"/>
        </w:rPr>
        <w:t xml:space="preserve">studies by </w:t>
      </w:r>
      <w:proofErr w:type="spellStart"/>
      <w:r w:rsidRPr="00ED4EAF">
        <w:rPr>
          <w:rFonts w:ascii="Arial" w:eastAsia="Arial" w:hAnsi="Arial" w:cs="Arial"/>
          <w:sz w:val="22"/>
          <w:szCs w:val="22"/>
        </w:rPr>
        <w:t>Malmendier</w:t>
      </w:r>
      <w:proofErr w:type="spellEnd"/>
      <w:r w:rsidRPr="00ED4EAF">
        <w:rPr>
          <w:rFonts w:ascii="Arial" w:eastAsia="Arial" w:hAnsi="Arial" w:cs="Arial"/>
          <w:sz w:val="22"/>
          <w:szCs w:val="22"/>
        </w:rPr>
        <w:t xml:space="preserve"> </w:t>
      </w:r>
      <w:r w:rsidR="005178A8" w:rsidRPr="00ED4EAF">
        <w:rPr>
          <w:rFonts w:ascii="Arial" w:eastAsia="Arial" w:hAnsi="Arial" w:cs="Arial"/>
          <w:sz w:val="22"/>
          <w:szCs w:val="22"/>
          <w:lang w:val="vi-VN"/>
        </w:rPr>
        <w:t>and</w:t>
      </w:r>
      <w:r w:rsidRPr="00ED4EAF">
        <w:rPr>
          <w:rFonts w:ascii="Arial" w:eastAsia="Arial" w:hAnsi="Arial" w:cs="Arial"/>
          <w:sz w:val="22"/>
          <w:szCs w:val="22"/>
        </w:rPr>
        <w:t xml:space="preserve"> Tate (2005) and Glaser et al. (2008). Accordingly, the overconfidence measured by the executives in this study was an adjusted net buyer measure. </w:t>
      </w:r>
      <w:bookmarkEnd w:id="7"/>
      <w:r w:rsidR="005178A8" w:rsidRPr="00ED4EAF">
        <w:rPr>
          <w:rFonts w:ascii="Arial" w:eastAsia="Arial" w:hAnsi="Arial" w:cs="Arial"/>
          <w:sz w:val="22"/>
          <w:szCs w:val="22"/>
          <w:lang w:val="vi-VN"/>
        </w:rPr>
        <w:t>“N</w:t>
      </w:r>
      <w:r w:rsidRPr="00ED4EAF">
        <w:rPr>
          <w:rFonts w:ascii="Arial" w:eastAsia="Arial" w:hAnsi="Arial" w:cs="Arial"/>
          <w:sz w:val="22"/>
          <w:szCs w:val="22"/>
        </w:rPr>
        <w:t>et buyer</w:t>
      </w:r>
      <w:r w:rsidR="005178A8" w:rsidRPr="00ED4EAF">
        <w:rPr>
          <w:rFonts w:ascii="Arial" w:eastAsia="Arial" w:hAnsi="Arial" w:cs="Arial"/>
          <w:sz w:val="22"/>
          <w:szCs w:val="22"/>
          <w:lang w:val="vi-VN"/>
        </w:rPr>
        <w:t>”</w:t>
      </w:r>
      <w:r w:rsidRPr="00ED4EAF">
        <w:rPr>
          <w:rFonts w:ascii="Arial" w:eastAsia="Arial" w:hAnsi="Arial" w:cs="Arial"/>
          <w:sz w:val="22"/>
          <w:szCs w:val="22"/>
        </w:rPr>
        <w:t xml:space="preserve"> measures the net purchase of shares in the internal transactions of both the board and the CEOs. Businesses are considered to have overconfident managers when their total net buying exceeds the total net sales in internal trades during the study period (2011-2016) and vice versa.</w:t>
      </w:r>
    </w:p>
    <w:p w:rsidR="00FA7D00" w:rsidRPr="00ED4EAF" w:rsidRDefault="00FA7D00" w:rsidP="00536FA1">
      <w:pPr>
        <w:jc w:val="both"/>
        <w:rPr>
          <w:rFonts w:ascii="Arial" w:hAnsi="Arial" w:cs="Arial"/>
          <w:sz w:val="22"/>
          <w:szCs w:val="22"/>
        </w:rPr>
      </w:pPr>
      <w:bookmarkStart w:id="8" w:name="OLE_LINK60"/>
      <w:bookmarkStart w:id="9" w:name="OLE_LINK61"/>
      <w:bookmarkEnd w:id="8"/>
      <w:r w:rsidRPr="00ED4EAF">
        <w:rPr>
          <w:rFonts w:ascii="Arial" w:eastAsia="Arial" w:hAnsi="Arial" w:cs="Arial"/>
          <w:sz w:val="22"/>
          <w:szCs w:val="22"/>
        </w:rPr>
        <w:t>OVER represents the managerial overconfidence as a dummy variable.</w:t>
      </w:r>
      <w:bookmarkEnd w:id="9"/>
    </w:p>
    <w:p w:rsidR="00FA7D00" w:rsidRPr="00ED4EAF" w:rsidRDefault="00FA7D00" w:rsidP="00536FA1">
      <w:pPr>
        <w:jc w:val="both"/>
        <w:rPr>
          <w:rFonts w:ascii="Arial" w:hAnsi="Arial" w:cs="Arial"/>
          <w:sz w:val="22"/>
          <w:szCs w:val="22"/>
        </w:rPr>
      </w:pPr>
      <w:r w:rsidRPr="00ED4EAF">
        <w:rPr>
          <w:rFonts w:ascii="Arial" w:eastAsia="Arial" w:hAnsi="Arial" w:cs="Arial"/>
          <w:sz w:val="22"/>
          <w:szCs w:val="22"/>
        </w:rPr>
        <w:t xml:space="preserve">OVER = 1, representing the enterprise has an </w:t>
      </w:r>
      <w:r w:rsidRPr="00ED4EAF">
        <w:rPr>
          <w:rFonts w:ascii="Arial" w:eastAsia="Arial" w:hAnsi="Arial" w:cs="Arial"/>
          <w:noProof/>
          <w:sz w:val="22"/>
          <w:szCs w:val="22"/>
        </w:rPr>
        <w:t>overconfident</w:t>
      </w:r>
      <w:r w:rsidRPr="00ED4EAF">
        <w:rPr>
          <w:rFonts w:ascii="Arial" w:eastAsia="Arial" w:hAnsi="Arial" w:cs="Arial"/>
          <w:sz w:val="22"/>
          <w:szCs w:val="22"/>
        </w:rPr>
        <w:t xml:space="preserve"> manager;</w:t>
      </w:r>
    </w:p>
    <w:p w:rsidR="00FA7D00" w:rsidRPr="00ED4EAF" w:rsidRDefault="00FA7D00" w:rsidP="00536FA1">
      <w:pPr>
        <w:jc w:val="both"/>
        <w:rPr>
          <w:rFonts w:ascii="Arial" w:hAnsi="Arial" w:cs="Arial"/>
          <w:sz w:val="22"/>
          <w:szCs w:val="22"/>
        </w:rPr>
      </w:pPr>
      <w:r w:rsidRPr="00ED4EAF">
        <w:rPr>
          <w:rFonts w:ascii="Arial" w:eastAsia="Arial" w:hAnsi="Arial" w:cs="Arial"/>
          <w:sz w:val="22"/>
          <w:szCs w:val="22"/>
        </w:rPr>
        <w:t xml:space="preserve">OVER = 0, when the business does not have an </w:t>
      </w:r>
      <w:r w:rsidRPr="00ED4EAF">
        <w:rPr>
          <w:rFonts w:ascii="Arial" w:eastAsia="Arial" w:hAnsi="Arial" w:cs="Arial"/>
          <w:noProof/>
          <w:sz w:val="22"/>
          <w:szCs w:val="22"/>
        </w:rPr>
        <w:t>overconfident</w:t>
      </w:r>
      <w:r w:rsidRPr="00ED4EAF">
        <w:rPr>
          <w:rFonts w:ascii="Arial" w:eastAsia="Arial" w:hAnsi="Arial" w:cs="Arial"/>
          <w:sz w:val="22"/>
          <w:szCs w:val="22"/>
        </w:rPr>
        <w:t xml:space="preserve"> manager. </w:t>
      </w:r>
    </w:p>
    <w:p w:rsidR="00FA7D00" w:rsidRPr="00ED4EAF" w:rsidRDefault="00FA7D00" w:rsidP="00536FA1">
      <w:pPr>
        <w:jc w:val="both"/>
        <w:rPr>
          <w:rFonts w:ascii="Arial" w:hAnsi="Arial" w:cs="Arial"/>
          <w:sz w:val="22"/>
          <w:szCs w:val="22"/>
        </w:rPr>
      </w:pPr>
      <w:r w:rsidRPr="00ED4EAF">
        <w:rPr>
          <w:rFonts w:ascii="Arial" w:eastAsia="Arial" w:hAnsi="Arial" w:cs="Arial"/>
          <w:noProof/>
          <w:sz w:val="22"/>
          <w:szCs w:val="22"/>
        </w:rPr>
        <w:t>Managerial overconfidence</w:t>
      </w:r>
      <w:r w:rsidRPr="00ED4EAF">
        <w:rPr>
          <w:rFonts w:ascii="Arial" w:eastAsia="Arial" w:hAnsi="Arial" w:cs="Arial"/>
          <w:sz w:val="22"/>
          <w:szCs w:val="22"/>
        </w:rPr>
        <w:t xml:space="preserve"> is a behavioral characteristic that is considered constant throughout the study period, according to </w:t>
      </w:r>
      <w:proofErr w:type="spellStart"/>
      <w:r w:rsidRPr="00ED4EAF">
        <w:rPr>
          <w:rFonts w:ascii="Arial" w:eastAsia="Arial" w:hAnsi="Arial" w:cs="Arial"/>
          <w:sz w:val="22"/>
          <w:szCs w:val="22"/>
        </w:rPr>
        <w:t>Malmendier</w:t>
      </w:r>
      <w:proofErr w:type="spellEnd"/>
      <w:r w:rsidRPr="00ED4EAF">
        <w:rPr>
          <w:rFonts w:ascii="Arial" w:eastAsia="Arial" w:hAnsi="Arial" w:cs="Arial"/>
          <w:sz w:val="22"/>
          <w:szCs w:val="22"/>
        </w:rPr>
        <w:t xml:space="preserve"> </w:t>
      </w:r>
      <w:r w:rsidR="00C9143B" w:rsidRPr="00ED4EAF">
        <w:rPr>
          <w:rFonts w:ascii="Arial" w:eastAsia="Arial" w:hAnsi="Arial" w:cs="Arial"/>
          <w:sz w:val="22"/>
          <w:szCs w:val="22"/>
          <w:lang w:val="vi-VN"/>
        </w:rPr>
        <w:t xml:space="preserve">and </w:t>
      </w:r>
      <w:r w:rsidRPr="00ED4EAF">
        <w:rPr>
          <w:rFonts w:ascii="Arial" w:eastAsia="Arial" w:hAnsi="Arial" w:cs="Arial"/>
          <w:sz w:val="22"/>
          <w:szCs w:val="22"/>
        </w:rPr>
        <w:t>Tate (2005).</w:t>
      </w:r>
    </w:p>
    <w:p w:rsidR="00FA7D00" w:rsidRPr="00ED4EAF" w:rsidRDefault="005178A8" w:rsidP="00536FA1">
      <w:pPr>
        <w:jc w:val="both"/>
        <w:rPr>
          <w:rFonts w:ascii="Arial" w:hAnsi="Arial" w:cs="Arial"/>
          <w:sz w:val="22"/>
          <w:szCs w:val="22"/>
        </w:rPr>
      </w:pPr>
      <w:bookmarkStart w:id="10" w:name="_Toc484240105"/>
      <w:bookmarkStart w:id="11" w:name="_Toc485943574"/>
      <w:bookmarkStart w:id="12" w:name="_Toc495849448"/>
      <w:bookmarkStart w:id="13" w:name="_Toc496716937"/>
      <w:bookmarkEnd w:id="10"/>
      <w:bookmarkEnd w:id="11"/>
      <w:bookmarkEnd w:id="12"/>
      <w:r w:rsidRPr="00ED4EAF">
        <w:rPr>
          <w:rFonts w:ascii="Arial" w:eastAsia="Arial" w:hAnsi="Arial" w:cs="Arial"/>
          <w:i/>
          <w:iCs/>
          <w:sz w:val="22"/>
          <w:szCs w:val="22"/>
          <w:lang w:val="vi-VN"/>
        </w:rPr>
        <w:t xml:space="preserve">Firm </w:t>
      </w:r>
      <w:r w:rsidR="00FA7D00" w:rsidRPr="00ED4EAF">
        <w:rPr>
          <w:rFonts w:ascii="Arial" w:eastAsia="Arial" w:hAnsi="Arial" w:cs="Arial"/>
          <w:i/>
          <w:iCs/>
          <w:sz w:val="22"/>
          <w:szCs w:val="22"/>
        </w:rPr>
        <w:t>size (SIZE)</w:t>
      </w:r>
      <w:bookmarkEnd w:id="13"/>
    </w:p>
    <w:p w:rsidR="00FA7D00" w:rsidRPr="00ED4EAF" w:rsidRDefault="00FA7D00" w:rsidP="00536FA1">
      <w:pPr>
        <w:jc w:val="both"/>
        <w:rPr>
          <w:rFonts w:ascii="Arial" w:hAnsi="Arial" w:cs="Arial"/>
          <w:sz w:val="22"/>
          <w:szCs w:val="22"/>
        </w:rPr>
      </w:pPr>
      <w:bookmarkStart w:id="14" w:name="OLE_LINK40"/>
      <w:bookmarkStart w:id="15" w:name="OLE_LINK41"/>
      <w:bookmarkEnd w:id="14"/>
      <w:r w:rsidRPr="00ED4EAF">
        <w:rPr>
          <w:rFonts w:ascii="Arial" w:eastAsia="Arial" w:hAnsi="Arial" w:cs="Arial"/>
          <w:sz w:val="22"/>
          <w:szCs w:val="22"/>
        </w:rPr>
        <w:t xml:space="preserve">The size of the </w:t>
      </w:r>
      <w:r w:rsidR="005178A8" w:rsidRPr="00ED4EAF">
        <w:rPr>
          <w:rFonts w:ascii="Arial" w:eastAsia="Arial" w:hAnsi="Arial" w:cs="Arial"/>
          <w:sz w:val="22"/>
          <w:szCs w:val="22"/>
          <w:lang w:val="vi-VN"/>
        </w:rPr>
        <w:t xml:space="preserve">firm </w:t>
      </w:r>
      <w:r w:rsidRPr="00ED4EAF">
        <w:rPr>
          <w:rFonts w:ascii="Arial" w:eastAsia="Arial" w:hAnsi="Arial" w:cs="Arial"/>
          <w:sz w:val="22"/>
          <w:szCs w:val="22"/>
        </w:rPr>
        <w:t>- expected to have a positive relationship with the capital structure - is one of the core factors always used by economists in the literature on capital structure. The measurement of firm size is usually defined in two ways:</w:t>
      </w:r>
      <w:bookmarkEnd w:id="15"/>
    </w:p>
    <w:p w:rsidR="00FA7D00" w:rsidRPr="00ED4EAF" w:rsidRDefault="00FA7D00" w:rsidP="00536FA1">
      <w:pPr>
        <w:jc w:val="both"/>
        <w:rPr>
          <w:rFonts w:ascii="Arial" w:hAnsi="Arial" w:cs="Arial"/>
          <w:sz w:val="22"/>
          <w:szCs w:val="22"/>
          <w:lang w:val="vi-VN"/>
        </w:rPr>
      </w:pPr>
      <w:r w:rsidRPr="00ED4EAF">
        <w:rPr>
          <w:rFonts w:ascii="Arial" w:eastAsia="Arial" w:hAnsi="Arial" w:cs="Arial"/>
          <w:sz w:val="22"/>
          <w:szCs w:val="22"/>
        </w:rPr>
        <w:t xml:space="preserve">The natural logarithm of total assets - according to </w:t>
      </w:r>
      <w:proofErr w:type="spellStart"/>
      <w:r w:rsidRPr="00ED4EAF">
        <w:rPr>
          <w:rFonts w:ascii="Arial" w:eastAsia="Arial" w:hAnsi="Arial" w:cs="Arial"/>
          <w:sz w:val="22"/>
          <w:szCs w:val="22"/>
        </w:rPr>
        <w:t>Deesomsak</w:t>
      </w:r>
      <w:proofErr w:type="spellEnd"/>
      <w:r w:rsidRPr="00ED4EAF">
        <w:rPr>
          <w:rFonts w:ascii="Arial" w:eastAsia="Arial" w:hAnsi="Arial" w:cs="Arial"/>
          <w:sz w:val="22"/>
          <w:szCs w:val="22"/>
        </w:rPr>
        <w:t xml:space="preserve"> </w:t>
      </w:r>
      <w:r w:rsidR="00C9143B" w:rsidRPr="00ED4EAF">
        <w:rPr>
          <w:rFonts w:ascii="Arial" w:eastAsia="Arial" w:hAnsi="Arial" w:cs="Arial"/>
          <w:sz w:val="22"/>
          <w:szCs w:val="22"/>
          <w:lang w:val="vi-VN"/>
        </w:rPr>
        <w:t xml:space="preserve">et al. </w:t>
      </w:r>
      <w:r w:rsidRPr="00ED4EAF">
        <w:rPr>
          <w:rFonts w:ascii="Arial" w:eastAsia="Arial" w:hAnsi="Arial" w:cs="Arial"/>
          <w:sz w:val="22"/>
          <w:szCs w:val="22"/>
        </w:rPr>
        <w:t xml:space="preserve">(2004), Chen (2004), </w:t>
      </w:r>
      <w:r w:rsidR="005178A8" w:rsidRPr="00ED4EAF">
        <w:rPr>
          <w:rFonts w:ascii="Arial" w:eastAsia="Arial" w:hAnsi="Arial" w:cs="Arial"/>
          <w:sz w:val="22"/>
          <w:szCs w:val="22"/>
          <w:lang w:val="vi-VN"/>
        </w:rPr>
        <w:t>among others.</w:t>
      </w:r>
    </w:p>
    <w:p w:rsidR="00FA7D00" w:rsidRPr="00ED4EAF" w:rsidRDefault="00FA7D00" w:rsidP="00536FA1">
      <w:pPr>
        <w:jc w:val="both"/>
        <w:rPr>
          <w:rFonts w:ascii="Arial" w:hAnsi="Arial" w:cs="Arial"/>
          <w:sz w:val="22"/>
          <w:szCs w:val="22"/>
        </w:rPr>
      </w:pPr>
      <w:r w:rsidRPr="00ED4EAF">
        <w:rPr>
          <w:rFonts w:ascii="Arial" w:eastAsia="Arial" w:hAnsi="Arial" w:cs="Arial"/>
          <w:sz w:val="22"/>
          <w:szCs w:val="22"/>
        </w:rPr>
        <w:t xml:space="preserve">The natural logarithm of revenue - according to </w:t>
      </w:r>
      <w:proofErr w:type="spellStart"/>
      <w:r w:rsidRPr="00ED4EAF">
        <w:rPr>
          <w:rFonts w:ascii="Arial" w:eastAsia="Arial" w:hAnsi="Arial" w:cs="Arial"/>
          <w:sz w:val="22"/>
          <w:szCs w:val="22"/>
        </w:rPr>
        <w:t>Reimoo</w:t>
      </w:r>
      <w:proofErr w:type="spellEnd"/>
      <w:r w:rsidRPr="00ED4EAF">
        <w:rPr>
          <w:rFonts w:ascii="Arial" w:eastAsia="Arial" w:hAnsi="Arial" w:cs="Arial"/>
          <w:sz w:val="22"/>
          <w:szCs w:val="22"/>
        </w:rPr>
        <w:t xml:space="preserve"> (2008).</w:t>
      </w:r>
    </w:p>
    <w:p w:rsidR="00FA7D00" w:rsidRPr="00ED4EAF" w:rsidRDefault="00FA7D00" w:rsidP="00536FA1">
      <w:pPr>
        <w:jc w:val="both"/>
        <w:rPr>
          <w:rFonts w:ascii="Arial" w:hAnsi="Arial" w:cs="Arial"/>
          <w:sz w:val="22"/>
          <w:szCs w:val="22"/>
          <w:lang w:val="vi-VN"/>
        </w:rPr>
      </w:pPr>
      <w:r w:rsidRPr="00ED4EAF">
        <w:rPr>
          <w:rFonts w:ascii="Arial" w:eastAsia="Arial" w:hAnsi="Arial" w:cs="Arial"/>
          <w:sz w:val="22"/>
          <w:szCs w:val="22"/>
        </w:rPr>
        <w:t>In this study, the firm scale factor is measured by the natural logarithm of total assets</w:t>
      </w:r>
      <w:bookmarkStart w:id="16" w:name="OLE_LINK91"/>
      <w:bookmarkStart w:id="17" w:name="OLE_LINK92"/>
      <w:bookmarkEnd w:id="16"/>
      <w:bookmarkEnd w:id="17"/>
      <w:r w:rsidR="005178A8" w:rsidRPr="00ED4EAF">
        <w:rPr>
          <w:rFonts w:ascii="Arial" w:eastAsia="Arial" w:hAnsi="Arial" w:cs="Arial"/>
          <w:sz w:val="22"/>
          <w:szCs w:val="22"/>
          <w:lang w:val="vi-VN"/>
        </w:rPr>
        <w:t>.</w:t>
      </w:r>
    </w:p>
    <w:p w:rsidR="00FA7D00" w:rsidRPr="00ED4EAF" w:rsidRDefault="00FA7D00" w:rsidP="00536FA1">
      <w:pPr>
        <w:jc w:val="both"/>
        <w:rPr>
          <w:rFonts w:ascii="Arial" w:hAnsi="Arial" w:cs="Arial"/>
          <w:color w:val="000000" w:themeColor="text1"/>
          <w:sz w:val="22"/>
          <w:szCs w:val="22"/>
        </w:rPr>
      </w:pPr>
      <w:bookmarkStart w:id="18" w:name="_Toc484240106"/>
      <w:bookmarkStart w:id="19" w:name="_Toc485943575"/>
      <w:bookmarkStart w:id="20" w:name="_Toc495849449"/>
      <w:bookmarkStart w:id="21" w:name="_Toc496716938"/>
      <w:bookmarkEnd w:id="18"/>
      <w:bookmarkEnd w:id="19"/>
      <w:bookmarkEnd w:id="20"/>
      <w:r w:rsidRPr="00ED4EAF">
        <w:rPr>
          <w:rFonts w:ascii="Arial" w:eastAsia="Arial" w:hAnsi="Arial" w:cs="Arial"/>
          <w:i/>
          <w:iCs/>
          <w:color w:val="000000" w:themeColor="text1"/>
          <w:sz w:val="22"/>
          <w:szCs w:val="22"/>
        </w:rPr>
        <w:t>Profitability (PROF)</w:t>
      </w:r>
      <w:bookmarkEnd w:id="21"/>
    </w:p>
    <w:p w:rsidR="00FA7D00" w:rsidRPr="00ED4EAF" w:rsidRDefault="00FA7D00" w:rsidP="00536FA1">
      <w:pPr>
        <w:jc w:val="both"/>
        <w:rPr>
          <w:rFonts w:ascii="Arial" w:hAnsi="Arial" w:cs="Arial"/>
          <w:sz w:val="22"/>
          <w:szCs w:val="22"/>
        </w:rPr>
      </w:pPr>
      <w:bookmarkStart w:id="22" w:name="OLE_LINK95"/>
      <w:bookmarkStart w:id="23" w:name="OLE_LINK96"/>
      <w:bookmarkEnd w:id="22"/>
      <w:r w:rsidRPr="00ED4EAF">
        <w:rPr>
          <w:rFonts w:ascii="Arial" w:eastAsia="Arial" w:hAnsi="Arial" w:cs="Arial"/>
          <w:sz w:val="22"/>
          <w:szCs w:val="22"/>
        </w:rPr>
        <w:t>Unlike the size of the company, profitability is expected to bear negative sign (-) against the company’s capital structure. To measure profitability there are many different ways such as:</w:t>
      </w:r>
      <w:bookmarkEnd w:id="23"/>
    </w:p>
    <w:p w:rsidR="00FA7D00" w:rsidRPr="00ED4EAF" w:rsidRDefault="00FA7D00" w:rsidP="00536FA1">
      <w:pPr>
        <w:jc w:val="both"/>
        <w:rPr>
          <w:rFonts w:ascii="Arial" w:hAnsi="Arial" w:cs="Arial"/>
          <w:sz w:val="22"/>
          <w:szCs w:val="22"/>
        </w:rPr>
      </w:pPr>
      <w:bookmarkStart w:id="24" w:name="OLE_LINK93"/>
      <w:bookmarkStart w:id="25" w:name="OLE_LINK94"/>
      <w:bookmarkEnd w:id="24"/>
      <w:r w:rsidRPr="00ED4EAF">
        <w:rPr>
          <w:rFonts w:ascii="Arial" w:eastAsia="Arial" w:hAnsi="Arial" w:cs="Arial"/>
          <w:noProof/>
          <w:sz w:val="22"/>
          <w:szCs w:val="22"/>
        </w:rPr>
        <w:t>Earnings</w:t>
      </w:r>
      <w:r w:rsidRPr="00ED4EAF">
        <w:rPr>
          <w:rFonts w:ascii="Arial" w:eastAsia="Arial" w:hAnsi="Arial" w:cs="Arial"/>
          <w:sz w:val="22"/>
          <w:szCs w:val="22"/>
        </w:rPr>
        <w:t xml:space="preserve"> before interest, tax, </w:t>
      </w:r>
      <w:r w:rsidRPr="00ED4EAF">
        <w:rPr>
          <w:rFonts w:ascii="Arial" w:eastAsia="Arial" w:hAnsi="Arial" w:cs="Arial"/>
          <w:noProof/>
          <w:sz w:val="22"/>
          <w:szCs w:val="22"/>
        </w:rPr>
        <w:t>and</w:t>
      </w:r>
      <w:r w:rsidRPr="00ED4EAF">
        <w:rPr>
          <w:rFonts w:ascii="Arial" w:eastAsia="Arial" w:hAnsi="Arial" w:cs="Arial"/>
          <w:sz w:val="22"/>
          <w:szCs w:val="22"/>
        </w:rPr>
        <w:t xml:space="preserve"> depreciation</w:t>
      </w:r>
      <w:bookmarkEnd w:id="25"/>
      <w:r w:rsidRPr="00ED4EAF">
        <w:rPr>
          <w:rFonts w:ascii="Arial" w:hAnsi="Arial" w:cs="Arial"/>
          <w:sz w:val="22"/>
          <w:szCs w:val="22"/>
        </w:rPr>
        <w:t xml:space="preserve"> </w:t>
      </w:r>
      <w:r w:rsidRPr="00ED4EAF">
        <w:rPr>
          <w:rFonts w:ascii="Arial" w:eastAsia="Arial" w:hAnsi="Arial" w:cs="Arial"/>
          <w:sz w:val="22"/>
          <w:szCs w:val="22"/>
        </w:rPr>
        <w:t>(EBITDA)/revenue</w:t>
      </w:r>
      <w:r w:rsidRPr="00ED4EAF">
        <w:rPr>
          <w:rFonts w:ascii="Arial" w:hAnsi="Arial" w:cs="Arial"/>
          <w:sz w:val="22"/>
          <w:szCs w:val="22"/>
        </w:rPr>
        <w:t xml:space="preserve"> </w:t>
      </w:r>
      <w:r w:rsidRPr="00ED4EAF">
        <w:rPr>
          <w:rFonts w:ascii="Arial" w:eastAsia="Arial" w:hAnsi="Arial" w:cs="Arial"/>
          <w:sz w:val="22"/>
          <w:szCs w:val="22"/>
        </w:rPr>
        <w:t>ratio</w:t>
      </w:r>
      <w:r w:rsidRPr="00ED4EAF">
        <w:rPr>
          <w:rFonts w:ascii="Arial" w:hAnsi="Arial" w:cs="Arial"/>
          <w:sz w:val="22"/>
          <w:szCs w:val="22"/>
        </w:rPr>
        <w:t xml:space="preserve"> </w:t>
      </w:r>
      <w:r w:rsidRPr="00ED4EAF">
        <w:rPr>
          <w:rFonts w:ascii="Arial" w:eastAsia="Arial" w:hAnsi="Arial" w:cs="Arial"/>
          <w:sz w:val="22"/>
          <w:szCs w:val="22"/>
        </w:rPr>
        <w:t>- according to research</w:t>
      </w:r>
      <w:r w:rsidR="00197ACA" w:rsidRPr="00ED4EAF">
        <w:rPr>
          <w:rFonts w:ascii="Arial" w:eastAsia="Arial" w:hAnsi="Arial" w:cs="Arial"/>
          <w:sz w:val="22"/>
          <w:szCs w:val="22"/>
          <w:lang w:val="vi-VN"/>
        </w:rPr>
        <w:t>es</w:t>
      </w:r>
      <w:r w:rsidRPr="00ED4EAF">
        <w:rPr>
          <w:rFonts w:ascii="Arial" w:eastAsia="Arial" w:hAnsi="Arial" w:cs="Arial"/>
          <w:sz w:val="22"/>
          <w:szCs w:val="22"/>
        </w:rPr>
        <w:t xml:space="preserve"> by </w:t>
      </w:r>
      <w:proofErr w:type="spellStart"/>
      <w:r w:rsidRPr="00ED4EAF">
        <w:rPr>
          <w:rFonts w:ascii="Arial" w:eastAsia="Arial" w:hAnsi="Arial" w:cs="Arial"/>
          <w:sz w:val="22"/>
          <w:szCs w:val="22"/>
        </w:rPr>
        <w:t>Deesomsak</w:t>
      </w:r>
      <w:proofErr w:type="spellEnd"/>
      <w:r w:rsidRPr="00ED4EAF">
        <w:rPr>
          <w:rFonts w:ascii="Arial" w:eastAsia="Arial" w:hAnsi="Arial" w:cs="Arial"/>
          <w:sz w:val="22"/>
          <w:szCs w:val="22"/>
        </w:rPr>
        <w:t xml:space="preserve"> </w:t>
      </w:r>
      <w:r w:rsidR="00C9143B" w:rsidRPr="00ED4EAF">
        <w:rPr>
          <w:rFonts w:ascii="Arial" w:eastAsia="Arial" w:hAnsi="Arial" w:cs="Arial"/>
          <w:sz w:val="22"/>
          <w:szCs w:val="22"/>
          <w:lang w:val="vi-VN"/>
        </w:rPr>
        <w:t xml:space="preserve">et al. </w:t>
      </w:r>
      <w:r w:rsidRPr="00ED4EAF">
        <w:rPr>
          <w:rFonts w:ascii="Arial" w:eastAsia="Arial" w:hAnsi="Arial" w:cs="Arial"/>
          <w:sz w:val="22"/>
          <w:szCs w:val="22"/>
        </w:rPr>
        <w:t xml:space="preserve">(2004), Chen (2004), Oliver (2005) and </w:t>
      </w:r>
      <w:proofErr w:type="spellStart"/>
      <w:r w:rsidRPr="00ED4EAF">
        <w:rPr>
          <w:rFonts w:ascii="Arial" w:eastAsia="Arial" w:hAnsi="Arial" w:cs="Arial"/>
          <w:sz w:val="22"/>
          <w:szCs w:val="22"/>
        </w:rPr>
        <w:t>Tomak</w:t>
      </w:r>
      <w:proofErr w:type="spellEnd"/>
      <w:r w:rsidRPr="00ED4EAF">
        <w:rPr>
          <w:rFonts w:ascii="Arial" w:eastAsia="Arial" w:hAnsi="Arial" w:cs="Arial"/>
          <w:sz w:val="22"/>
          <w:szCs w:val="22"/>
        </w:rPr>
        <w:t xml:space="preserve"> (2013).</w:t>
      </w:r>
    </w:p>
    <w:p w:rsidR="00FA7D00" w:rsidRPr="00ED4EAF" w:rsidRDefault="00FA7D00" w:rsidP="00536FA1">
      <w:pPr>
        <w:jc w:val="both"/>
        <w:rPr>
          <w:rFonts w:ascii="Arial" w:hAnsi="Arial" w:cs="Arial"/>
          <w:sz w:val="22"/>
          <w:szCs w:val="22"/>
        </w:rPr>
      </w:pPr>
      <w:r w:rsidRPr="00ED4EAF">
        <w:rPr>
          <w:rFonts w:ascii="Arial" w:eastAsia="Arial" w:hAnsi="Arial" w:cs="Arial"/>
          <w:sz w:val="22"/>
          <w:szCs w:val="22"/>
        </w:rPr>
        <w:t>Earnings before Taxes and Interest (EBIT)/Total Assets - according to Huang (2006).</w:t>
      </w:r>
    </w:p>
    <w:p w:rsidR="00FA7D00" w:rsidRPr="00ED4EAF" w:rsidRDefault="00FA7D00" w:rsidP="00536FA1">
      <w:pPr>
        <w:jc w:val="both"/>
        <w:rPr>
          <w:rFonts w:ascii="Arial" w:hAnsi="Arial" w:cs="Arial"/>
          <w:sz w:val="22"/>
          <w:szCs w:val="22"/>
          <w:lang w:val="vi-VN"/>
        </w:rPr>
      </w:pPr>
      <w:r w:rsidRPr="00ED4EAF">
        <w:rPr>
          <w:rFonts w:ascii="Arial" w:eastAsia="Arial" w:hAnsi="Arial" w:cs="Arial"/>
          <w:sz w:val="22"/>
          <w:szCs w:val="22"/>
        </w:rPr>
        <w:t xml:space="preserve">In this study, the profitability of the firm is measured by the ratio of earnings before tax, interest, </w:t>
      </w:r>
      <w:r w:rsidRPr="00ED4EAF">
        <w:rPr>
          <w:rFonts w:ascii="Arial" w:eastAsia="Arial" w:hAnsi="Arial" w:cs="Arial"/>
          <w:noProof/>
          <w:sz w:val="22"/>
          <w:szCs w:val="22"/>
        </w:rPr>
        <w:t>and</w:t>
      </w:r>
      <w:r w:rsidRPr="00ED4EAF">
        <w:rPr>
          <w:rFonts w:ascii="Arial" w:eastAsia="Arial" w:hAnsi="Arial" w:cs="Arial"/>
          <w:sz w:val="22"/>
          <w:szCs w:val="22"/>
        </w:rPr>
        <w:t xml:space="preserve"> depreciation on sales</w:t>
      </w:r>
      <w:r w:rsidR="00197ACA" w:rsidRPr="00ED4EAF">
        <w:rPr>
          <w:rFonts w:ascii="Arial" w:eastAsia="Arial" w:hAnsi="Arial" w:cs="Arial"/>
          <w:sz w:val="22"/>
          <w:szCs w:val="22"/>
          <w:lang w:val="vi-VN"/>
        </w:rPr>
        <w:t>.</w:t>
      </w:r>
    </w:p>
    <w:p w:rsidR="00FA7D00" w:rsidRPr="00ED4EAF" w:rsidRDefault="00FA7D00" w:rsidP="00536FA1">
      <w:pPr>
        <w:jc w:val="both"/>
        <w:rPr>
          <w:rFonts w:ascii="Arial" w:hAnsi="Arial" w:cs="Arial"/>
          <w:sz w:val="22"/>
          <w:szCs w:val="22"/>
        </w:rPr>
      </w:pPr>
      <w:bookmarkStart w:id="26" w:name="_Toc484240107"/>
      <w:bookmarkStart w:id="27" w:name="_Toc485943576"/>
      <w:bookmarkStart w:id="28" w:name="_Toc495849450"/>
      <w:bookmarkStart w:id="29" w:name="_Toc496716939"/>
      <w:bookmarkEnd w:id="26"/>
      <w:bookmarkEnd w:id="27"/>
      <w:bookmarkEnd w:id="28"/>
      <w:r w:rsidRPr="00ED4EAF">
        <w:rPr>
          <w:rFonts w:ascii="Arial" w:eastAsia="Arial" w:hAnsi="Arial" w:cs="Arial"/>
          <w:i/>
          <w:iCs/>
          <w:sz w:val="22"/>
          <w:szCs w:val="22"/>
        </w:rPr>
        <w:t>Growth Opportunities (GROWTH)</w:t>
      </w:r>
      <w:bookmarkEnd w:id="29"/>
    </w:p>
    <w:p w:rsidR="00FA7D00" w:rsidRPr="00ED4EAF" w:rsidRDefault="00FA7D00" w:rsidP="00536FA1">
      <w:pPr>
        <w:jc w:val="both"/>
        <w:rPr>
          <w:rFonts w:ascii="Arial" w:hAnsi="Arial" w:cs="Arial"/>
          <w:sz w:val="22"/>
          <w:szCs w:val="22"/>
        </w:rPr>
      </w:pPr>
      <w:r w:rsidRPr="00ED4EAF">
        <w:rPr>
          <w:rFonts w:ascii="Arial" w:eastAsia="Arial" w:hAnsi="Arial" w:cs="Arial"/>
          <w:sz w:val="22"/>
          <w:szCs w:val="22"/>
        </w:rPr>
        <w:t xml:space="preserve">There are </w:t>
      </w:r>
      <w:r w:rsidR="00197ACA" w:rsidRPr="00ED4EAF">
        <w:rPr>
          <w:rFonts w:ascii="Arial" w:eastAsia="Arial" w:hAnsi="Arial" w:cs="Arial"/>
          <w:sz w:val="22"/>
          <w:szCs w:val="22"/>
          <w:lang w:val="vi-VN"/>
        </w:rPr>
        <w:t xml:space="preserve">some </w:t>
      </w:r>
      <w:r w:rsidRPr="00ED4EAF">
        <w:rPr>
          <w:rFonts w:ascii="Arial" w:eastAsia="Arial" w:hAnsi="Arial" w:cs="Arial"/>
          <w:sz w:val="22"/>
          <w:szCs w:val="22"/>
        </w:rPr>
        <w:t>ways to measure growth opportunities for your business:</w:t>
      </w:r>
    </w:p>
    <w:p w:rsidR="00FA7D00" w:rsidRPr="00ED4EAF" w:rsidRDefault="00FA7D00" w:rsidP="00536FA1">
      <w:pPr>
        <w:jc w:val="both"/>
        <w:rPr>
          <w:rFonts w:ascii="Arial" w:hAnsi="Arial" w:cs="Arial"/>
          <w:sz w:val="22"/>
          <w:szCs w:val="22"/>
        </w:rPr>
      </w:pPr>
      <w:r w:rsidRPr="00ED4EAF">
        <w:rPr>
          <w:rFonts w:ascii="Arial" w:eastAsia="Arial" w:hAnsi="Arial" w:cs="Arial"/>
          <w:sz w:val="22"/>
          <w:szCs w:val="22"/>
        </w:rPr>
        <w:lastRenderedPageBreak/>
        <w:t>Chen (2004) use</w:t>
      </w:r>
      <w:r w:rsidR="00197ACA" w:rsidRPr="00ED4EAF">
        <w:rPr>
          <w:rFonts w:ascii="Arial" w:eastAsia="Arial" w:hAnsi="Arial" w:cs="Arial"/>
          <w:sz w:val="22"/>
          <w:szCs w:val="22"/>
          <w:lang w:val="vi-VN"/>
        </w:rPr>
        <w:t>d</w:t>
      </w:r>
      <w:r w:rsidRPr="00ED4EAF">
        <w:rPr>
          <w:rFonts w:ascii="Arial" w:eastAsia="Arial" w:hAnsi="Arial" w:cs="Arial"/>
          <w:sz w:val="22"/>
          <w:szCs w:val="22"/>
        </w:rPr>
        <w:t xml:space="preserve"> a combination of Revenue Growth/Total Assets Growth Rate.</w:t>
      </w:r>
    </w:p>
    <w:p w:rsidR="00FA7D00" w:rsidRPr="00ED4EAF" w:rsidRDefault="00FA7D00" w:rsidP="00536FA1">
      <w:pPr>
        <w:jc w:val="both"/>
        <w:rPr>
          <w:rFonts w:ascii="Arial" w:hAnsi="Arial" w:cs="Arial"/>
          <w:sz w:val="22"/>
          <w:szCs w:val="22"/>
        </w:rPr>
      </w:pPr>
      <w:r w:rsidRPr="00ED4EAF">
        <w:rPr>
          <w:rFonts w:ascii="Arial" w:eastAsia="Arial" w:hAnsi="Arial" w:cs="Arial"/>
          <w:sz w:val="22"/>
          <w:szCs w:val="22"/>
        </w:rPr>
        <w:t xml:space="preserve">Titman and </w:t>
      </w:r>
      <w:proofErr w:type="spellStart"/>
      <w:r w:rsidRPr="00ED4EAF">
        <w:rPr>
          <w:rFonts w:ascii="Arial" w:eastAsia="Arial" w:hAnsi="Arial" w:cs="Arial"/>
          <w:sz w:val="22"/>
          <w:szCs w:val="22"/>
        </w:rPr>
        <w:t>Wessels</w:t>
      </w:r>
      <w:proofErr w:type="spellEnd"/>
      <w:r w:rsidRPr="00ED4EAF">
        <w:rPr>
          <w:rFonts w:ascii="Arial" w:eastAsia="Arial" w:hAnsi="Arial" w:cs="Arial"/>
          <w:sz w:val="22"/>
          <w:szCs w:val="22"/>
        </w:rPr>
        <w:t xml:space="preserve"> (1988), </w:t>
      </w:r>
      <w:proofErr w:type="spellStart"/>
      <w:r w:rsidRPr="00ED4EAF">
        <w:rPr>
          <w:rFonts w:ascii="Arial" w:eastAsia="Arial" w:hAnsi="Arial" w:cs="Arial"/>
          <w:sz w:val="22"/>
          <w:szCs w:val="22"/>
        </w:rPr>
        <w:t>Reimoo</w:t>
      </w:r>
      <w:proofErr w:type="spellEnd"/>
      <w:r w:rsidRPr="00ED4EAF">
        <w:rPr>
          <w:rFonts w:ascii="Arial" w:eastAsia="Arial" w:hAnsi="Arial" w:cs="Arial"/>
          <w:sz w:val="22"/>
          <w:szCs w:val="22"/>
        </w:rPr>
        <w:t xml:space="preserve"> (2008) use</w:t>
      </w:r>
      <w:r w:rsidR="00197ACA" w:rsidRPr="00ED4EAF">
        <w:rPr>
          <w:rFonts w:ascii="Arial" w:eastAsia="Arial" w:hAnsi="Arial" w:cs="Arial"/>
          <w:sz w:val="22"/>
          <w:szCs w:val="22"/>
          <w:lang w:val="vi-VN"/>
        </w:rPr>
        <w:t>d</w:t>
      </w:r>
      <w:r w:rsidRPr="00ED4EAF">
        <w:rPr>
          <w:rFonts w:ascii="Arial" w:eastAsia="Arial" w:hAnsi="Arial" w:cs="Arial"/>
          <w:sz w:val="22"/>
          <w:szCs w:val="22"/>
        </w:rPr>
        <w:t xml:space="preserve"> the annual percentage change of total assets. </w:t>
      </w:r>
    </w:p>
    <w:p w:rsidR="00FA7D00" w:rsidRPr="00ED4EAF" w:rsidRDefault="00FA7D00" w:rsidP="00536FA1">
      <w:pPr>
        <w:jc w:val="both"/>
        <w:rPr>
          <w:rFonts w:ascii="Arial" w:hAnsi="Arial" w:cs="Arial"/>
          <w:sz w:val="22"/>
          <w:szCs w:val="22"/>
        </w:rPr>
      </w:pPr>
      <w:r w:rsidRPr="00ED4EAF">
        <w:rPr>
          <w:rFonts w:ascii="Arial" w:eastAsia="Arial" w:hAnsi="Arial" w:cs="Arial"/>
          <w:sz w:val="22"/>
          <w:szCs w:val="22"/>
        </w:rPr>
        <w:t>In this study, the growth opportunity is measured by</w:t>
      </w:r>
      <w:r w:rsidRPr="00ED4EAF">
        <w:rPr>
          <w:rFonts w:ascii="Arial" w:hAnsi="Arial" w:cs="Arial"/>
          <w:sz w:val="22"/>
          <w:szCs w:val="22"/>
        </w:rPr>
        <w:t xml:space="preserve"> </w:t>
      </w:r>
      <w:bookmarkStart w:id="30" w:name="OLE_LINK127"/>
      <w:bookmarkStart w:id="31" w:name="OLE_LINK128"/>
      <w:bookmarkStart w:id="32" w:name="OLE_LINK131"/>
      <w:bookmarkStart w:id="33" w:name="OLE_LINK132"/>
      <w:bookmarkEnd w:id="30"/>
      <w:bookmarkEnd w:id="31"/>
      <w:bookmarkEnd w:id="32"/>
      <w:r w:rsidRPr="00ED4EAF">
        <w:rPr>
          <w:rFonts w:ascii="Arial" w:eastAsia="Arial" w:hAnsi="Arial" w:cs="Arial"/>
          <w:sz w:val="22"/>
          <w:szCs w:val="22"/>
        </w:rPr>
        <w:t>the annual percentage change in total sales</w:t>
      </w:r>
      <w:bookmarkEnd w:id="33"/>
      <w:r w:rsidRPr="00ED4EAF">
        <w:rPr>
          <w:rFonts w:ascii="Arial" w:hAnsi="Arial" w:cs="Arial"/>
          <w:sz w:val="22"/>
          <w:szCs w:val="22"/>
        </w:rPr>
        <w:t xml:space="preserve"> </w:t>
      </w:r>
      <w:r w:rsidRPr="00ED4EAF">
        <w:rPr>
          <w:rFonts w:ascii="Arial" w:eastAsia="Arial" w:hAnsi="Arial" w:cs="Arial"/>
          <w:sz w:val="22"/>
          <w:szCs w:val="22"/>
        </w:rPr>
        <w:t xml:space="preserve">of </w:t>
      </w:r>
      <w:r w:rsidR="001F21B4" w:rsidRPr="00ED4EAF">
        <w:rPr>
          <w:rFonts w:ascii="Arial" w:eastAsia="Arial" w:hAnsi="Arial" w:cs="Arial"/>
          <w:sz w:val="22"/>
          <w:szCs w:val="22"/>
          <w:lang w:val="vi-VN"/>
        </w:rPr>
        <w:t>firms</w:t>
      </w:r>
      <w:r w:rsidRPr="00ED4EAF">
        <w:rPr>
          <w:rFonts w:ascii="Arial" w:eastAsia="Arial" w:hAnsi="Arial" w:cs="Arial"/>
          <w:sz w:val="22"/>
          <w:szCs w:val="22"/>
        </w:rPr>
        <w:t xml:space="preserve"> during the study period.</w:t>
      </w:r>
      <w:bookmarkStart w:id="34" w:name="_Toc484240108"/>
      <w:bookmarkStart w:id="35" w:name="_Toc485943577"/>
      <w:bookmarkEnd w:id="34"/>
      <w:bookmarkEnd w:id="35"/>
    </w:p>
    <w:p w:rsidR="00FA7D00" w:rsidRPr="00ED4EAF" w:rsidRDefault="00FA7D00" w:rsidP="00536FA1">
      <w:pPr>
        <w:jc w:val="both"/>
        <w:rPr>
          <w:rFonts w:ascii="Arial" w:hAnsi="Arial" w:cs="Arial"/>
          <w:sz w:val="22"/>
          <w:szCs w:val="22"/>
        </w:rPr>
      </w:pPr>
      <w:bookmarkStart w:id="36" w:name="_Toc495849451"/>
      <w:bookmarkStart w:id="37" w:name="_Toc496716940"/>
      <w:bookmarkEnd w:id="36"/>
      <w:r w:rsidRPr="00ED4EAF">
        <w:rPr>
          <w:rFonts w:ascii="Arial" w:eastAsia="Arial" w:hAnsi="Arial" w:cs="Arial"/>
          <w:i/>
          <w:iCs/>
          <w:sz w:val="22"/>
          <w:szCs w:val="22"/>
        </w:rPr>
        <w:t>Tangibility (TANG)</w:t>
      </w:r>
      <w:bookmarkEnd w:id="37"/>
    </w:p>
    <w:p w:rsidR="00FA7D00" w:rsidRPr="00ED4EAF" w:rsidRDefault="00FA7D00" w:rsidP="00536FA1">
      <w:pPr>
        <w:jc w:val="both"/>
        <w:rPr>
          <w:rFonts w:ascii="Arial" w:hAnsi="Arial" w:cs="Arial"/>
          <w:sz w:val="22"/>
          <w:szCs w:val="22"/>
          <w:lang w:val="vi-VN"/>
        </w:rPr>
      </w:pPr>
      <w:bookmarkStart w:id="38" w:name="OLE_LINK114"/>
      <w:bookmarkStart w:id="39" w:name="OLE_LINK115"/>
      <w:bookmarkEnd w:id="38"/>
      <w:r w:rsidRPr="00ED4EAF">
        <w:rPr>
          <w:rFonts w:ascii="Arial" w:eastAsia="Arial" w:hAnsi="Arial" w:cs="Arial"/>
          <w:sz w:val="22"/>
          <w:szCs w:val="22"/>
        </w:rPr>
        <w:t xml:space="preserve">The most commonly used measurement method in the literature is the tangible assets/total assets ratio - Oliver (2005), Huang (2006), </w:t>
      </w:r>
      <w:proofErr w:type="spellStart"/>
      <w:r w:rsidRPr="00ED4EAF">
        <w:rPr>
          <w:rFonts w:ascii="Arial" w:eastAsia="Arial" w:hAnsi="Arial" w:cs="Arial"/>
          <w:sz w:val="22"/>
          <w:szCs w:val="22"/>
        </w:rPr>
        <w:t>Reimoo</w:t>
      </w:r>
      <w:proofErr w:type="spellEnd"/>
      <w:r w:rsidRPr="00ED4EAF">
        <w:rPr>
          <w:rFonts w:ascii="Arial" w:eastAsia="Arial" w:hAnsi="Arial" w:cs="Arial"/>
          <w:sz w:val="22"/>
          <w:szCs w:val="22"/>
        </w:rPr>
        <w:t xml:space="preserve"> (2008) and </w:t>
      </w:r>
      <w:proofErr w:type="spellStart"/>
      <w:r w:rsidRPr="00ED4EAF">
        <w:rPr>
          <w:rFonts w:ascii="Arial" w:eastAsia="Arial" w:hAnsi="Arial" w:cs="Arial"/>
          <w:sz w:val="22"/>
          <w:szCs w:val="22"/>
        </w:rPr>
        <w:t>Tomak</w:t>
      </w:r>
      <w:proofErr w:type="spellEnd"/>
      <w:r w:rsidRPr="00ED4EAF">
        <w:rPr>
          <w:rFonts w:ascii="Arial" w:eastAsia="Arial" w:hAnsi="Arial" w:cs="Arial"/>
          <w:sz w:val="22"/>
          <w:szCs w:val="22"/>
        </w:rPr>
        <w:t xml:space="preserve"> (2013). Based on previous studies, the measurement of variable tangible fixed assets is </w:t>
      </w:r>
      <w:r w:rsidR="00197ACA" w:rsidRPr="00ED4EAF">
        <w:rPr>
          <w:rFonts w:ascii="Arial" w:eastAsia="Arial" w:hAnsi="Arial" w:cs="Arial"/>
          <w:sz w:val="22"/>
          <w:szCs w:val="22"/>
          <w:lang w:val="vi-VN"/>
        </w:rPr>
        <w:t>b</w:t>
      </w:r>
      <w:proofErr w:type="spellStart"/>
      <w:r w:rsidR="00197ACA" w:rsidRPr="00ED4EAF">
        <w:rPr>
          <w:rFonts w:ascii="Arial" w:eastAsia="Arial" w:hAnsi="Arial" w:cs="Arial"/>
          <w:sz w:val="22"/>
          <w:szCs w:val="22"/>
        </w:rPr>
        <w:t>ased</w:t>
      </w:r>
      <w:proofErr w:type="spellEnd"/>
      <w:r w:rsidR="00197ACA" w:rsidRPr="00ED4EAF">
        <w:rPr>
          <w:rFonts w:ascii="Arial" w:eastAsia="Arial" w:hAnsi="Arial" w:cs="Arial"/>
          <w:sz w:val="22"/>
          <w:szCs w:val="22"/>
        </w:rPr>
        <w:t xml:space="preserve"> on previous studies</w:t>
      </w:r>
      <w:bookmarkStart w:id="40" w:name="OLE_LINK120"/>
      <w:bookmarkStart w:id="41" w:name="OLE_LINK121"/>
      <w:bookmarkStart w:id="42" w:name="_Toc484240109"/>
      <w:bookmarkEnd w:id="39"/>
      <w:bookmarkEnd w:id="40"/>
      <w:bookmarkEnd w:id="41"/>
      <w:bookmarkEnd w:id="42"/>
      <w:r w:rsidR="00197ACA" w:rsidRPr="00ED4EAF">
        <w:rPr>
          <w:rFonts w:ascii="Arial" w:eastAsia="Arial" w:hAnsi="Arial" w:cs="Arial"/>
          <w:sz w:val="22"/>
          <w:szCs w:val="22"/>
          <w:lang w:val="vi-VN"/>
        </w:rPr>
        <w:t>.</w:t>
      </w:r>
    </w:p>
    <w:p w:rsidR="00FA7D00" w:rsidRPr="00ED4EAF" w:rsidRDefault="00FA7D00" w:rsidP="00536FA1">
      <w:pPr>
        <w:jc w:val="both"/>
        <w:rPr>
          <w:rFonts w:ascii="Arial" w:hAnsi="Arial" w:cs="Arial"/>
          <w:sz w:val="22"/>
          <w:szCs w:val="22"/>
        </w:rPr>
      </w:pPr>
      <w:bookmarkStart w:id="43" w:name="_Toc485943578"/>
      <w:bookmarkStart w:id="44" w:name="_Toc495849452"/>
      <w:bookmarkStart w:id="45" w:name="_Toc496716941"/>
      <w:bookmarkEnd w:id="43"/>
      <w:bookmarkEnd w:id="44"/>
      <w:r w:rsidRPr="00ED4EAF">
        <w:rPr>
          <w:rFonts w:ascii="Arial" w:eastAsia="Arial" w:hAnsi="Arial" w:cs="Arial"/>
          <w:i/>
          <w:iCs/>
          <w:sz w:val="22"/>
          <w:szCs w:val="22"/>
        </w:rPr>
        <w:t>Uniqueness (UNIQ)</w:t>
      </w:r>
      <w:bookmarkEnd w:id="45"/>
    </w:p>
    <w:p w:rsidR="00FA7D00" w:rsidRPr="00ED4EAF" w:rsidRDefault="00FA7D00" w:rsidP="00536FA1">
      <w:pPr>
        <w:jc w:val="both"/>
        <w:rPr>
          <w:rFonts w:ascii="Arial" w:hAnsi="Arial" w:cs="Arial"/>
          <w:sz w:val="22"/>
          <w:szCs w:val="22"/>
          <w:lang w:val="vi-VN"/>
        </w:rPr>
      </w:pPr>
      <w:bookmarkStart w:id="46" w:name="OLE_LINK167"/>
      <w:bookmarkStart w:id="47" w:name="OLE_LINK168"/>
      <w:bookmarkEnd w:id="46"/>
      <w:r w:rsidRPr="00ED4EAF">
        <w:rPr>
          <w:rFonts w:ascii="Arial" w:eastAsia="Arial" w:hAnsi="Arial" w:cs="Arial"/>
          <w:sz w:val="22"/>
          <w:szCs w:val="22"/>
        </w:rPr>
        <w:t>In fact, the product uniqueness of the product is rarely found in the capital structure literature.</w:t>
      </w:r>
      <w:bookmarkEnd w:id="47"/>
      <w:r w:rsidRPr="00ED4EAF">
        <w:rPr>
          <w:rFonts w:ascii="Arial" w:eastAsia="Arial" w:hAnsi="Arial" w:cs="Arial"/>
          <w:sz w:val="22"/>
          <w:szCs w:val="22"/>
        </w:rPr>
        <w:t xml:space="preserve"> This variable is usually measured by R&amp;D cost/sale ratio</w:t>
      </w:r>
      <w:r w:rsidR="00197ACA" w:rsidRPr="00ED4EAF">
        <w:rPr>
          <w:rFonts w:ascii="Arial" w:eastAsia="Arial" w:hAnsi="Arial" w:cs="Arial"/>
          <w:sz w:val="22"/>
          <w:szCs w:val="22"/>
          <w:lang w:val="vi-VN"/>
        </w:rPr>
        <w:t>.</w:t>
      </w:r>
      <w:r w:rsidRPr="00ED4EAF">
        <w:rPr>
          <w:rFonts w:ascii="Arial" w:eastAsia="Arial" w:hAnsi="Arial" w:cs="Arial"/>
          <w:sz w:val="22"/>
          <w:szCs w:val="22"/>
        </w:rPr>
        <w:t xml:space="preserve"> However, due to the limited collection of R &amp; D cost data, research articles often use the cost of sales relative to net sales of the company as a substitute for product uniqueness measurement</w:t>
      </w:r>
      <w:r w:rsidR="00197ACA" w:rsidRPr="00ED4EAF">
        <w:rPr>
          <w:rFonts w:ascii="Arial" w:eastAsia="Arial" w:hAnsi="Arial" w:cs="Arial"/>
          <w:sz w:val="22"/>
          <w:szCs w:val="22"/>
          <w:lang w:val="vi-VN"/>
        </w:rPr>
        <w:t xml:space="preserve"> (</w:t>
      </w:r>
      <w:r w:rsidR="00197ACA" w:rsidRPr="00ED4EAF">
        <w:rPr>
          <w:rFonts w:ascii="Arial" w:eastAsia="Arial" w:hAnsi="Arial" w:cs="Arial"/>
          <w:sz w:val="22"/>
          <w:szCs w:val="22"/>
        </w:rPr>
        <w:t>Titman</w:t>
      </w:r>
      <w:r w:rsidR="00197ACA" w:rsidRPr="00ED4EAF">
        <w:rPr>
          <w:rFonts w:ascii="Arial" w:eastAsia="Arial" w:hAnsi="Arial" w:cs="Arial"/>
          <w:sz w:val="22"/>
          <w:szCs w:val="22"/>
          <w:lang w:val="vi-VN"/>
        </w:rPr>
        <w:t xml:space="preserve"> &amp; </w:t>
      </w:r>
      <w:proofErr w:type="spellStart"/>
      <w:r w:rsidR="00197ACA" w:rsidRPr="00ED4EAF">
        <w:rPr>
          <w:rFonts w:ascii="Arial" w:eastAsia="Arial" w:hAnsi="Arial" w:cs="Arial"/>
          <w:sz w:val="22"/>
          <w:szCs w:val="22"/>
        </w:rPr>
        <w:t>Wessels</w:t>
      </w:r>
      <w:proofErr w:type="spellEnd"/>
      <w:r w:rsidR="00197ACA" w:rsidRPr="00ED4EAF">
        <w:rPr>
          <w:rFonts w:ascii="Arial" w:eastAsia="Arial" w:hAnsi="Arial" w:cs="Arial"/>
          <w:sz w:val="22"/>
          <w:szCs w:val="22"/>
          <w:lang w:val="vi-VN"/>
        </w:rPr>
        <w:t>,</w:t>
      </w:r>
      <w:r w:rsidR="00197ACA" w:rsidRPr="00ED4EAF">
        <w:rPr>
          <w:rFonts w:ascii="Arial" w:eastAsia="Arial" w:hAnsi="Arial" w:cs="Arial"/>
          <w:sz w:val="22"/>
          <w:szCs w:val="22"/>
        </w:rPr>
        <w:t xml:space="preserve"> 1988</w:t>
      </w:r>
      <w:r w:rsidR="00197ACA" w:rsidRPr="00ED4EAF">
        <w:rPr>
          <w:rFonts w:ascii="Arial" w:eastAsia="Arial" w:hAnsi="Arial" w:cs="Arial"/>
          <w:sz w:val="22"/>
          <w:szCs w:val="22"/>
          <w:lang w:val="vi-VN"/>
        </w:rPr>
        <w:t>;</w:t>
      </w:r>
      <w:r w:rsidR="00197ACA" w:rsidRPr="00ED4EAF">
        <w:rPr>
          <w:rFonts w:ascii="Arial" w:eastAsia="Arial" w:hAnsi="Arial" w:cs="Arial"/>
          <w:sz w:val="22"/>
          <w:szCs w:val="22"/>
        </w:rPr>
        <w:t xml:space="preserve"> </w:t>
      </w:r>
      <w:proofErr w:type="spellStart"/>
      <w:r w:rsidR="00197ACA" w:rsidRPr="00ED4EAF">
        <w:rPr>
          <w:rFonts w:ascii="Arial" w:eastAsia="Arial" w:hAnsi="Arial" w:cs="Arial"/>
          <w:sz w:val="22"/>
          <w:szCs w:val="22"/>
        </w:rPr>
        <w:t>Reimoo</w:t>
      </w:r>
      <w:proofErr w:type="spellEnd"/>
      <w:r w:rsidR="00197ACA" w:rsidRPr="00ED4EAF">
        <w:rPr>
          <w:rFonts w:ascii="Arial" w:eastAsia="Arial" w:hAnsi="Arial" w:cs="Arial"/>
          <w:sz w:val="22"/>
          <w:szCs w:val="22"/>
          <w:lang w:val="vi-VN"/>
        </w:rPr>
        <w:t>,</w:t>
      </w:r>
      <w:r w:rsidR="00197ACA" w:rsidRPr="00ED4EAF">
        <w:rPr>
          <w:rFonts w:ascii="Arial" w:eastAsia="Arial" w:hAnsi="Arial" w:cs="Arial"/>
          <w:sz w:val="22"/>
          <w:szCs w:val="22"/>
        </w:rPr>
        <w:t xml:space="preserve"> 2008</w:t>
      </w:r>
      <w:r w:rsidR="00197ACA" w:rsidRPr="00ED4EAF">
        <w:rPr>
          <w:rFonts w:ascii="Arial" w:eastAsia="Arial" w:hAnsi="Arial" w:cs="Arial"/>
          <w:sz w:val="22"/>
          <w:szCs w:val="22"/>
          <w:lang w:val="vi-VN"/>
        </w:rPr>
        <w:t>)</w:t>
      </w:r>
      <w:r w:rsidRPr="00ED4EAF">
        <w:rPr>
          <w:rFonts w:ascii="Arial" w:eastAsia="Arial" w:hAnsi="Arial" w:cs="Arial"/>
          <w:sz w:val="22"/>
          <w:szCs w:val="22"/>
        </w:rPr>
        <w:t>.</w:t>
      </w:r>
      <w:r w:rsidR="00197ACA" w:rsidRPr="00ED4EAF">
        <w:rPr>
          <w:rFonts w:ascii="Arial" w:eastAsia="Arial" w:hAnsi="Arial" w:cs="Arial"/>
          <w:sz w:val="22"/>
          <w:szCs w:val="22"/>
          <w:lang w:val="vi-VN"/>
        </w:rPr>
        <w:t xml:space="preserve"> </w:t>
      </w:r>
      <w:bookmarkStart w:id="48" w:name="OLE_LINK169"/>
      <w:r w:rsidR="00197ACA" w:rsidRPr="00ED4EAF">
        <w:rPr>
          <w:rFonts w:ascii="Arial" w:eastAsia="Arial" w:hAnsi="Arial" w:cs="Arial"/>
          <w:sz w:val="22"/>
          <w:szCs w:val="22"/>
          <w:lang w:val="vi-VN"/>
        </w:rPr>
        <w:t>T</w:t>
      </w:r>
      <w:r w:rsidRPr="00ED4EAF">
        <w:rPr>
          <w:rFonts w:ascii="Arial" w:eastAsia="Arial" w:hAnsi="Arial" w:cs="Arial"/>
          <w:sz w:val="22"/>
          <w:szCs w:val="22"/>
        </w:rPr>
        <w:t xml:space="preserve">he UNIQ variable </w:t>
      </w:r>
      <w:r w:rsidR="00197ACA" w:rsidRPr="00ED4EAF">
        <w:rPr>
          <w:rFonts w:ascii="Arial" w:eastAsia="Arial" w:hAnsi="Arial" w:cs="Arial"/>
          <w:sz w:val="22"/>
          <w:szCs w:val="22"/>
          <w:lang w:val="vi-VN"/>
        </w:rPr>
        <w:t xml:space="preserve">in this research </w:t>
      </w:r>
      <w:r w:rsidRPr="00ED4EAF">
        <w:rPr>
          <w:rFonts w:ascii="Arial" w:eastAsia="Arial" w:hAnsi="Arial" w:cs="Arial"/>
          <w:sz w:val="22"/>
          <w:szCs w:val="22"/>
        </w:rPr>
        <w:t>follow</w:t>
      </w:r>
      <w:r w:rsidR="00197ACA" w:rsidRPr="00ED4EAF">
        <w:rPr>
          <w:rFonts w:ascii="Arial" w:eastAsia="Arial" w:hAnsi="Arial" w:cs="Arial"/>
          <w:sz w:val="22"/>
          <w:szCs w:val="22"/>
          <w:lang w:val="vi-VN"/>
        </w:rPr>
        <w:t xml:space="preserve">s the above </w:t>
      </w:r>
      <w:proofErr w:type="spellStart"/>
      <w:r w:rsidR="00197ACA" w:rsidRPr="00ED4EAF">
        <w:rPr>
          <w:rFonts w:ascii="Arial" w:eastAsia="Arial" w:hAnsi="Arial" w:cs="Arial"/>
          <w:sz w:val="22"/>
          <w:szCs w:val="22"/>
        </w:rPr>
        <w:t>measuremen</w:t>
      </w:r>
      <w:proofErr w:type="spellEnd"/>
      <w:r w:rsidR="00197ACA" w:rsidRPr="00ED4EAF">
        <w:rPr>
          <w:rFonts w:ascii="Arial" w:eastAsia="Arial" w:hAnsi="Arial" w:cs="Arial"/>
          <w:sz w:val="22"/>
          <w:szCs w:val="22"/>
          <w:lang w:val="vi-VN"/>
        </w:rPr>
        <w:t>t</w:t>
      </w:r>
      <w:bookmarkEnd w:id="48"/>
      <w:r w:rsidR="00197ACA" w:rsidRPr="00ED4EAF">
        <w:rPr>
          <w:rFonts w:ascii="Arial" w:eastAsia="Arial" w:hAnsi="Arial" w:cs="Arial"/>
          <w:sz w:val="22"/>
          <w:szCs w:val="22"/>
          <w:lang w:val="vi-VN"/>
        </w:rPr>
        <w:t>.</w:t>
      </w:r>
    </w:p>
    <w:p w:rsidR="00FA7D00" w:rsidRPr="00ED4EAF" w:rsidRDefault="00FA7D00" w:rsidP="00536FA1">
      <w:pPr>
        <w:jc w:val="both"/>
        <w:rPr>
          <w:rFonts w:ascii="Arial" w:hAnsi="Arial" w:cs="Arial"/>
          <w:sz w:val="22"/>
          <w:szCs w:val="22"/>
        </w:rPr>
      </w:pPr>
      <w:bookmarkStart w:id="49" w:name="_Toc484240110"/>
      <w:bookmarkStart w:id="50" w:name="_Toc485943579"/>
      <w:bookmarkStart w:id="51" w:name="_Toc495849453"/>
      <w:bookmarkStart w:id="52" w:name="_Toc496716942"/>
      <w:bookmarkEnd w:id="49"/>
      <w:bookmarkEnd w:id="50"/>
      <w:bookmarkEnd w:id="51"/>
      <w:r w:rsidRPr="00ED4EAF">
        <w:rPr>
          <w:rFonts w:ascii="Arial" w:eastAsia="Arial" w:hAnsi="Arial" w:cs="Arial"/>
          <w:i/>
          <w:iCs/>
          <w:sz w:val="22"/>
          <w:szCs w:val="22"/>
        </w:rPr>
        <w:t>Liquidity (LIQ)</w:t>
      </w:r>
      <w:bookmarkEnd w:id="52"/>
    </w:p>
    <w:p w:rsidR="00FA7D00" w:rsidRPr="00ED4EAF" w:rsidRDefault="00FA7D00" w:rsidP="00536FA1">
      <w:pPr>
        <w:jc w:val="both"/>
        <w:rPr>
          <w:rFonts w:ascii="Arial" w:hAnsi="Arial" w:cs="Arial"/>
          <w:sz w:val="22"/>
          <w:szCs w:val="22"/>
          <w:lang w:val="vi-VN"/>
        </w:rPr>
      </w:pPr>
      <w:bookmarkStart w:id="53" w:name="OLE_LINK174"/>
      <w:bookmarkStart w:id="54" w:name="OLE_LINK175"/>
      <w:bookmarkEnd w:id="53"/>
      <w:r w:rsidRPr="00ED4EAF">
        <w:rPr>
          <w:rFonts w:ascii="Arial" w:eastAsia="Arial" w:hAnsi="Arial" w:cs="Arial"/>
          <w:sz w:val="22"/>
          <w:szCs w:val="22"/>
        </w:rPr>
        <w:t xml:space="preserve">It can be seen that most empirical studies show that there is an inverse relationship between liquidity and capital structure. </w:t>
      </w:r>
      <w:bookmarkEnd w:id="54"/>
      <w:r w:rsidRPr="00ED4EAF">
        <w:rPr>
          <w:rFonts w:ascii="Arial" w:eastAsia="Arial" w:hAnsi="Arial" w:cs="Arial"/>
          <w:sz w:val="22"/>
          <w:szCs w:val="22"/>
        </w:rPr>
        <w:t xml:space="preserve">According to </w:t>
      </w:r>
      <w:proofErr w:type="spellStart"/>
      <w:r w:rsidRPr="00ED4EAF">
        <w:rPr>
          <w:rFonts w:ascii="Arial" w:eastAsia="Arial" w:hAnsi="Arial" w:cs="Arial"/>
          <w:sz w:val="22"/>
          <w:szCs w:val="22"/>
        </w:rPr>
        <w:t>Deesomsak</w:t>
      </w:r>
      <w:proofErr w:type="spellEnd"/>
      <w:r w:rsidRPr="00ED4EAF">
        <w:rPr>
          <w:rFonts w:ascii="Arial" w:eastAsia="Arial" w:hAnsi="Arial" w:cs="Arial"/>
          <w:sz w:val="22"/>
          <w:szCs w:val="22"/>
        </w:rPr>
        <w:t xml:space="preserve"> </w:t>
      </w:r>
      <w:r w:rsidR="00C9143B" w:rsidRPr="00ED4EAF">
        <w:rPr>
          <w:rFonts w:ascii="Arial" w:eastAsia="Arial" w:hAnsi="Arial" w:cs="Arial"/>
          <w:sz w:val="22"/>
          <w:szCs w:val="22"/>
          <w:lang w:val="vi-VN"/>
        </w:rPr>
        <w:t xml:space="preserve">et al. </w:t>
      </w:r>
      <w:r w:rsidRPr="00ED4EAF">
        <w:rPr>
          <w:rFonts w:ascii="Arial" w:eastAsia="Arial" w:hAnsi="Arial" w:cs="Arial"/>
          <w:sz w:val="22"/>
          <w:szCs w:val="22"/>
        </w:rPr>
        <w:t xml:space="preserve">(2004), </w:t>
      </w:r>
      <w:proofErr w:type="spellStart"/>
      <w:r w:rsidRPr="00ED4EAF">
        <w:rPr>
          <w:rFonts w:ascii="Arial" w:eastAsia="Arial" w:hAnsi="Arial" w:cs="Arial"/>
          <w:sz w:val="22"/>
          <w:szCs w:val="22"/>
        </w:rPr>
        <w:t>Reimoo</w:t>
      </w:r>
      <w:proofErr w:type="spellEnd"/>
      <w:r w:rsidRPr="00ED4EAF">
        <w:rPr>
          <w:rFonts w:ascii="Arial" w:eastAsia="Arial" w:hAnsi="Arial" w:cs="Arial"/>
          <w:sz w:val="22"/>
          <w:szCs w:val="22"/>
        </w:rPr>
        <w:t xml:space="preserve"> (2008), liquidity is measured by the short-term assets/short-term debt ratio.</w:t>
      </w:r>
      <w:r w:rsidR="00197ACA" w:rsidRPr="00ED4EAF">
        <w:rPr>
          <w:rFonts w:ascii="Arial" w:eastAsia="Arial" w:hAnsi="Arial" w:cs="Arial"/>
          <w:sz w:val="22"/>
          <w:szCs w:val="22"/>
          <w:lang w:val="vi-VN"/>
        </w:rPr>
        <w:t xml:space="preserve"> </w:t>
      </w:r>
      <w:r w:rsidR="005624FF" w:rsidRPr="00ED4EAF">
        <w:rPr>
          <w:rFonts w:ascii="Arial" w:eastAsia="Arial" w:hAnsi="Arial" w:cs="Arial"/>
          <w:sz w:val="22"/>
          <w:szCs w:val="22"/>
          <w:lang w:val="vi-VN"/>
        </w:rPr>
        <w:t>The authors use this mearurement.</w:t>
      </w:r>
    </w:p>
    <w:p w:rsidR="00FA7D00" w:rsidRPr="00ED4EAF" w:rsidRDefault="00FA7D00" w:rsidP="00536FA1">
      <w:pPr>
        <w:jc w:val="both"/>
        <w:rPr>
          <w:rFonts w:ascii="Arial" w:hAnsi="Arial" w:cs="Arial"/>
          <w:sz w:val="22"/>
          <w:szCs w:val="22"/>
        </w:rPr>
      </w:pPr>
      <w:bookmarkStart w:id="55" w:name="_Toc484240111"/>
      <w:bookmarkStart w:id="56" w:name="_Toc485943580"/>
      <w:bookmarkStart w:id="57" w:name="_Toc495849454"/>
      <w:bookmarkStart w:id="58" w:name="OLE_LINK62"/>
      <w:bookmarkStart w:id="59" w:name="OLE_LINK63"/>
      <w:bookmarkEnd w:id="55"/>
      <w:bookmarkEnd w:id="56"/>
      <w:bookmarkEnd w:id="57"/>
      <w:bookmarkEnd w:id="58"/>
      <w:r w:rsidRPr="00ED4EAF">
        <w:rPr>
          <w:rFonts w:ascii="Arial" w:eastAsia="Arial" w:hAnsi="Arial" w:cs="Arial"/>
          <w:i/>
          <w:iCs/>
          <w:sz w:val="22"/>
          <w:szCs w:val="22"/>
        </w:rPr>
        <w:t>Non-debt tax shields</w:t>
      </w:r>
      <w:bookmarkEnd w:id="59"/>
      <w:r w:rsidRPr="00ED4EAF">
        <w:rPr>
          <w:rFonts w:ascii="Arial" w:hAnsi="Arial" w:cs="Arial"/>
          <w:sz w:val="22"/>
          <w:szCs w:val="22"/>
        </w:rPr>
        <w:t xml:space="preserve"> </w:t>
      </w:r>
      <w:r w:rsidRPr="00ED4EAF">
        <w:rPr>
          <w:rFonts w:ascii="Arial" w:eastAsia="Arial" w:hAnsi="Arial" w:cs="Arial"/>
          <w:i/>
          <w:iCs/>
          <w:sz w:val="22"/>
          <w:szCs w:val="22"/>
        </w:rPr>
        <w:t>(NDTS):</w:t>
      </w:r>
    </w:p>
    <w:p w:rsidR="00FA7D00" w:rsidRPr="00ED4EAF" w:rsidRDefault="00FA7D00" w:rsidP="00536FA1">
      <w:pPr>
        <w:jc w:val="both"/>
        <w:rPr>
          <w:rFonts w:ascii="Arial" w:hAnsi="Arial" w:cs="Arial"/>
          <w:sz w:val="22"/>
          <w:szCs w:val="22"/>
        </w:rPr>
      </w:pPr>
      <w:bookmarkStart w:id="60" w:name="OLE_LINK152"/>
      <w:bookmarkStart w:id="61" w:name="OLE_LINK153"/>
      <w:bookmarkStart w:id="62" w:name="OLE_LINK156"/>
      <w:bookmarkEnd w:id="60"/>
      <w:bookmarkEnd w:id="61"/>
      <w:r w:rsidRPr="00ED4EAF">
        <w:rPr>
          <w:rFonts w:ascii="Arial" w:eastAsia="Arial" w:hAnsi="Arial" w:cs="Arial"/>
          <w:sz w:val="22"/>
          <w:szCs w:val="22"/>
        </w:rPr>
        <w:t>NDTS is a common factor in the study of capital structure.</w:t>
      </w:r>
      <w:bookmarkEnd w:id="62"/>
      <w:r w:rsidR="005624FF" w:rsidRPr="00ED4EAF">
        <w:rPr>
          <w:rFonts w:ascii="Arial" w:eastAsia="Arial" w:hAnsi="Arial" w:cs="Arial"/>
          <w:sz w:val="22"/>
          <w:szCs w:val="22"/>
          <w:lang w:val="vi-VN"/>
        </w:rPr>
        <w:t xml:space="preserve"> </w:t>
      </w:r>
      <w:proofErr w:type="spellStart"/>
      <w:r w:rsidRPr="00ED4EAF">
        <w:rPr>
          <w:rFonts w:ascii="Arial" w:eastAsia="Arial" w:hAnsi="Arial" w:cs="Arial"/>
          <w:sz w:val="22"/>
          <w:szCs w:val="22"/>
        </w:rPr>
        <w:t>Chaplinsky</w:t>
      </w:r>
      <w:proofErr w:type="spellEnd"/>
      <w:r w:rsidRPr="00ED4EAF">
        <w:rPr>
          <w:rFonts w:ascii="Arial" w:eastAsia="Arial" w:hAnsi="Arial" w:cs="Arial"/>
          <w:sz w:val="22"/>
          <w:szCs w:val="22"/>
        </w:rPr>
        <w:t xml:space="preserve"> </w:t>
      </w:r>
      <w:r w:rsidR="005624FF" w:rsidRPr="00ED4EAF">
        <w:rPr>
          <w:rFonts w:ascii="Arial" w:eastAsia="Arial" w:hAnsi="Arial" w:cs="Arial"/>
          <w:sz w:val="22"/>
          <w:szCs w:val="22"/>
          <w:lang w:val="vi-VN"/>
        </w:rPr>
        <w:t>and</w:t>
      </w:r>
      <w:r w:rsidRPr="00ED4EAF">
        <w:rPr>
          <w:rFonts w:ascii="Arial" w:eastAsia="Arial" w:hAnsi="Arial" w:cs="Arial"/>
          <w:sz w:val="22"/>
          <w:szCs w:val="22"/>
        </w:rPr>
        <w:t xml:space="preserve"> </w:t>
      </w:r>
      <w:proofErr w:type="spellStart"/>
      <w:r w:rsidRPr="00ED4EAF">
        <w:rPr>
          <w:rFonts w:ascii="Arial" w:eastAsia="Arial" w:hAnsi="Arial" w:cs="Arial"/>
          <w:sz w:val="22"/>
          <w:szCs w:val="22"/>
        </w:rPr>
        <w:t>Niehaus</w:t>
      </w:r>
      <w:proofErr w:type="spellEnd"/>
      <w:r w:rsidRPr="00ED4EAF">
        <w:rPr>
          <w:rFonts w:ascii="Arial" w:eastAsia="Arial" w:hAnsi="Arial" w:cs="Arial"/>
          <w:sz w:val="22"/>
          <w:szCs w:val="22"/>
        </w:rPr>
        <w:t xml:space="preserve"> (1993), </w:t>
      </w:r>
      <w:proofErr w:type="spellStart"/>
      <w:r w:rsidRPr="00ED4EAF">
        <w:rPr>
          <w:rFonts w:ascii="Arial" w:eastAsia="Arial" w:hAnsi="Arial" w:cs="Arial"/>
          <w:sz w:val="22"/>
          <w:szCs w:val="22"/>
        </w:rPr>
        <w:t>Deesomsak</w:t>
      </w:r>
      <w:proofErr w:type="spellEnd"/>
      <w:r w:rsidRPr="00ED4EAF">
        <w:rPr>
          <w:rFonts w:ascii="Arial" w:eastAsia="Arial" w:hAnsi="Arial" w:cs="Arial"/>
          <w:sz w:val="22"/>
          <w:szCs w:val="22"/>
        </w:rPr>
        <w:t xml:space="preserve"> </w:t>
      </w:r>
      <w:r w:rsidR="00C9143B" w:rsidRPr="00ED4EAF">
        <w:rPr>
          <w:rFonts w:ascii="Arial" w:eastAsia="Arial" w:hAnsi="Arial" w:cs="Arial"/>
          <w:sz w:val="22"/>
          <w:szCs w:val="22"/>
          <w:lang w:val="vi-VN"/>
        </w:rPr>
        <w:t xml:space="preserve">et al. </w:t>
      </w:r>
      <w:r w:rsidRPr="00ED4EAF">
        <w:rPr>
          <w:rFonts w:ascii="Arial" w:eastAsia="Arial" w:hAnsi="Arial" w:cs="Arial"/>
          <w:sz w:val="22"/>
          <w:szCs w:val="22"/>
        </w:rPr>
        <w:t>(2004) and Chen (2004) use</w:t>
      </w:r>
      <w:r w:rsidRPr="00ED4EAF">
        <w:rPr>
          <w:rFonts w:ascii="Arial" w:hAnsi="Arial" w:cs="Arial"/>
          <w:sz w:val="22"/>
          <w:szCs w:val="22"/>
        </w:rPr>
        <w:t xml:space="preserve"> </w:t>
      </w:r>
      <w:bookmarkStart w:id="63" w:name="OLE_LINK159"/>
      <w:bookmarkStart w:id="64" w:name="OLE_LINK160"/>
      <w:bookmarkEnd w:id="63"/>
      <w:r w:rsidRPr="00ED4EAF">
        <w:rPr>
          <w:rFonts w:ascii="Arial" w:eastAsia="Arial" w:hAnsi="Arial" w:cs="Arial"/>
          <w:sz w:val="22"/>
          <w:szCs w:val="22"/>
        </w:rPr>
        <w:t>fixed asset</w:t>
      </w:r>
      <w:r w:rsidR="006E13F0" w:rsidRPr="00ED4EAF">
        <w:rPr>
          <w:rFonts w:ascii="Arial" w:eastAsia="Arial" w:hAnsi="Arial" w:cs="Arial"/>
          <w:sz w:val="22"/>
          <w:szCs w:val="22"/>
        </w:rPr>
        <w:t xml:space="preserve"> depreciation</w:t>
      </w:r>
      <w:r w:rsidRPr="00ED4EAF">
        <w:rPr>
          <w:rFonts w:ascii="Arial" w:eastAsia="Arial" w:hAnsi="Arial" w:cs="Arial"/>
          <w:sz w:val="22"/>
          <w:szCs w:val="22"/>
        </w:rPr>
        <w:t>/total asset ratio</w:t>
      </w:r>
      <w:bookmarkEnd w:id="64"/>
      <w:r w:rsidRPr="00ED4EAF">
        <w:rPr>
          <w:rFonts w:ascii="Arial" w:hAnsi="Arial" w:cs="Arial"/>
          <w:sz w:val="22"/>
          <w:szCs w:val="22"/>
        </w:rPr>
        <w:t xml:space="preserve"> </w:t>
      </w:r>
      <w:r w:rsidRPr="00ED4EAF">
        <w:rPr>
          <w:rFonts w:ascii="Arial" w:eastAsia="Arial" w:hAnsi="Arial" w:cs="Arial"/>
          <w:sz w:val="22"/>
          <w:szCs w:val="22"/>
        </w:rPr>
        <w:t>to measure the non-debt tax shield.</w:t>
      </w:r>
      <w:r w:rsidR="005624FF" w:rsidRPr="00ED4EAF">
        <w:rPr>
          <w:rFonts w:ascii="Arial" w:eastAsia="Arial" w:hAnsi="Arial" w:cs="Arial"/>
          <w:sz w:val="22"/>
          <w:szCs w:val="22"/>
          <w:lang w:val="vi-VN"/>
        </w:rPr>
        <w:t xml:space="preserve"> </w:t>
      </w:r>
      <w:r w:rsidRPr="00ED4EAF">
        <w:rPr>
          <w:rFonts w:ascii="Arial" w:eastAsia="Arial" w:hAnsi="Arial" w:cs="Arial"/>
          <w:sz w:val="22"/>
          <w:szCs w:val="22"/>
        </w:rPr>
        <w:t xml:space="preserve">Huang (2006) used both fixed </w:t>
      </w:r>
      <w:r w:rsidR="006E13F0" w:rsidRPr="00ED4EAF">
        <w:rPr>
          <w:rFonts w:ascii="Arial" w:eastAsia="Arial" w:hAnsi="Arial" w:cs="Arial"/>
          <w:sz w:val="22"/>
          <w:szCs w:val="22"/>
          <w:lang w:val="vi-VN"/>
        </w:rPr>
        <w:t xml:space="preserve">assets </w:t>
      </w:r>
      <w:r w:rsidRPr="00ED4EAF">
        <w:rPr>
          <w:rFonts w:ascii="Arial" w:eastAsia="Arial" w:hAnsi="Arial" w:cs="Arial"/>
          <w:sz w:val="22"/>
          <w:szCs w:val="22"/>
        </w:rPr>
        <w:t xml:space="preserve">depreciation and intangible </w:t>
      </w:r>
      <w:r w:rsidR="006E13F0" w:rsidRPr="00ED4EAF">
        <w:rPr>
          <w:rFonts w:ascii="Arial" w:eastAsia="Arial" w:hAnsi="Arial" w:cs="Arial"/>
          <w:sz w:val="22"/>
          <w:szCs w:val="22"/>
          <w:lang w:val="vi-VN"/>
        </w:rPr>
        <w:t>assets amortization</w:t>
      </w:r>
      <w:r w:rsidRPr="00ED4EAF">
        <w:rPr>
          <w:rFonts w:ascii="Arial" w:eastAsia="Arial" w:hAnsi="Arial" w:cs="Arial"/>
          <w:sz w:val="22"/>
          <w:szCs w:val="22"/>
        </w:rPr>
        <w:t xml:space="preserve">/total assets to measure this factor. </w:t>
      </w:r>
    </w:p>
    <w:p w:rsidR="00FA7D00" w:rsidRPr="00ED4EAF" w:rsidRDefault="00FA7D00" w:rsidP="00536FA1">
      <w:pPr>
        <w:jc w:val="both"/>
        <w:rPr>
          <w:rFonts w:ascii="Arial" w:hAnsi="Arial" w:cs="Arial"/>
          <w:sz w:val="22"/>
          <w:szCs w:val="22"/>
        </w:rPr>
      </w:pPr>
      <w:bookmarkStart w:id="65" w:name="OLE_LINK76"/>
      <w:bookmarkStart w:id="66" w:name="OLE_LINK77"/>
      <w:bookmarkEnd w:id="65"/>
      <w:r w:rsidRPr="00ED4EAF">
        <w:rPr>
          <w:rFonts w:ascii="Arial" w:eastAsia="Arial" w:hAnsi="Arial" w:cs="Arial"/>
          <w:sz w:val="22"/>
          <w:szCs w:val="22"/>
        </w:rPr>
        <w:t>Based on previous studies,</w:t>
      </w:r>
      <w:bookmarkEnd w:id="66"/>
      <w:r w:rsidRPr="00ED4EAF">
        <w:rPr>
          <w:rFonts w:ascii="Arial" w:hAnsi="Arial" w:cs="Arial"/>
          <w:sz w:val="22"/>
          <w:szCs w:val="22"/>
        </w:rPr>
        <w:t xml:space="preserve"> </w:t>
      </w:r>
      <w:bookmarkStart w:id="67" w:name="OLE_LINK129"/>
      <w:bookmarkStart w:id="68" w:name="OLE_LINK130"/>
      <w:bookmarkEnd w:id="67"/>
      <w:r w:rsidRPr="00ED4EAF">
        <w:rPr>
          <w:rFonts w:ascii="Arial" w:eastAsia="Arial" w:hAnsi="Arial" w:cs="Arial"/>
          <w:sz w:val="22"/>
          <w:szCs w:val="22"/>
        </w:rPr>
        <w:t xml:space="preserve">the fixed asset depreciation </w:t>
      </w:r>
      <w:r w:rsidR="005624FF" w:rsidRPr="00ED4EAF">
        <w:rPr>
          <w:rFonts w:ascii="Arial" w:eastAsia="Arial" w:hAnsi="Arial" w:cs="Arial"/>
          <w:sz w:val="22"/>
          <w:szCs w:val="22"/>
          <w:lang w:val="vi-VN"/>
        </w:rPr>
        <w:t xml:space="preserve">to </w:t>
      </w:r>
      <w:r w:rsidRPr="00ED4EAF">
        <w:rPr>
          <w:rFonts w:ascii="Arial" w:eastAsia="Arial" w:hAnsi="Arial" w:cs="Arial"/>
          <w:sz w:val="22"/>
          <w:szCs w:val="22"/>
        </w:rPr>
        <w:t>the total assets ratio used to measure the non-tax debt shield factor in the study</w:t>
      </w:r>
      <w:bookmarkEnd w:id="68"/>
    </w:p>
    <w:p w:rsidR="00FA7D00" w:rsidRPr="00ED4EAF" w:rsidRDefault="00FA7D00" w:rsidP="00536FA1">
      <w:pPr>
        <w:jc w:val="both"/>
        <w:rPr>
          <w:rFonts w:ascii="Arial" w:hAnsi="Arial" w:cs="Arial"/>
          <w:sz w:val="22"/>
          <w:szCs w:val="22"/>
        </w:rPr>
      </w:pPr>
      <w:bookmarkStart w:id="69" w:name="_Toc485943581"/>
      <w:bookmarkStart w:id="70" w:name="_Toc495849455"/>
      <w:bookmarkStart w:id="71" w:name="_Toc496716944"/>
      <w:bookmarkEnd w:id="69"/>
      <w:bookmarkEnd w:id="70"/>
      <w:r w:rsidRPr="00ED4EAF">
        <w:rPr>
          <w:rFonts w:ascii="Arial" w:eastAsia="Arial" w:hAnsi="Arial" w:cs="Arial"/>
          <w:i/>
          <w:iCs/>
          <w:sz w:val="22"/>
          <w:szCs w:val="22"/>
        </w:rPr>
        <w:t>State Ownership (SO)</w:t>
      </w:r>
      <w:bookmarkEnd w:id="71"/>
    </w:p>
    <w:p w:rsidR="00FA7D00" w:rsidRPr="00ED4EAF" w:rsidRDefault="00FA7D00" w:rsidP="00536FA1">
      <w:pPr>
        <w:jc w:val="both"/>
        <w:rPr>
          <w:rFonts w:ascii="Arial" w:hAnsi="Arial" w:cs="Arial"/>
          <w:sz w:val="22"/>
          <w:szCs w:val="22"/>
        </w:rPr>
      </w:pPr>
      <w:r w:rsidRPr="00ED4EAF">
        <w:rPr>
          <w:rFonts w:ascii="Arial" w:eastAsia="Arial" w:hAnsi="Arial" w:cs="Arial"/>
          <w:sz w:val="22"/>
          <w:szCs w:val="22"/>
        </w:rPr>
        <w:t>The relationship between the state ownership and the capital structure is the most likely appear in the research</w:t>
      </w:r>
      <w:r w:rsidR="005624FF" w:rsidRPr="00ED4EAF">
        <w:rPr>
          <w:rFonts w:ascii="Arial" w:eastAsia="Arial" w:hAnsi="Arial" w:cs="Arial"/>
          <w:sz w:val="22"/>
          <w:szCs w:val="22"/>
          <w:lang w:val="vi-VN"/>
        </w:rPr>
        <w:t>es</w:t>
      </w:r>
      <w:r w:rsidRPr="00ED4EAF">
        <w:rPr>
          <w:rFonts w:ascii="Arial" w:eastAsia="Arial" w:hAnsi="Arial" w:cs="Arial"/>
          <w:sz w:val="22"/>
          <w:szCs w:val="22"/>
        </w:rPr>
        <w:t xml:space="preserve">. </w:t>
      </w:r>
      <w:proofErr w:type="spellStart"/>
      <w:r w:rsidRPr="00ED4EAF">
        <w:rPr>
          <w:rFonts w:ascii="Arial" w:eastAsia="Arial" w:hAnsi="Arial" w:cs="Arial"/>
          <w:sz w:val="22"/>
          <w:szCs w:val="22"/>
        </w:rPr>
        <w:t>Zou</w:t>
      </w:r>
      <w:proofErr w:type="spellEnd"/>
      <w:r w:rsidRPr="00ED4EAF">
        <w:rPr>
          <w:rFonts w:ascii="Arial" w:eastAsia="Arial" w:hAnsi="Arial" w:cs="Arial"/>
          <w:sz w:val="22"/>
          <w:szCs w:val="22"/>
        </w:rPr>
        <w:t xml:space="preserve"> </w:t>
      </w:r>
      <w:r w:rsidR="005624FF" w:rsidRPr="00ED4EAF">
        <w:rPr>
          <w:rFonts w:ascii="Arial" w:eastAsia="Arial" w:hAnsi="Arial" w:cs="Arial"/>
          <w:sz w:val="22"/>
          <w:szCs w:val="22"/>
          <w:lang w:val="vi-VN"/>
        </w:rPr>
        <w:t>and</w:t>
      </w:r>
      <w:r w:rsidRPr="00ED4EAF">
        <w:rPr>
          <w:rFonts w:ascii="Arial" w:eastAsia="Arial" w:hAnsi="Arial" w:cs="Arial"/>
          <w:sz w:val="22"/>
          <w:szCs w:val="22"/>
        </w:rPr>
        <w:t xml:space="preserve"> Xiao (2006),</w:t>
      </w:r>
      <w:r w:rsidRPr="00ED4EAF">
        <w:rPr>
          <w:rFonts w:ascii="Arial" w:hAnsi="Arial" w:cs="Arial"/>
          <w:sz w:val="22"/>
          <w:szCs w:val="22"/>
        </w:rPr>
        <w:t xml:space="preserve"> </w:t>
      </w:r>
      <w:bookmarkStart w:id="72" w:name="OLE_LINK201"/>
      <w:r w:rsidRPr="00ED4EAF">
        <w:rPr>
          <w:rFonts w:ascii="Arial" w:eastAsia="Arial" w:hAnsi="Arial" w:cs="Arial"/>
          <w:sz w:val="22"/>
          <w:szCs w:val="22"/>
        </w:rPr>
        <w:t xml:space="preserve">Li </w:t>
      </w:r>
      <w:r w:rsidR="00464BA2" w:rsidRPr="00ED4EAF">
        <w:rPr>
          <w:rFonts w:ascii="Arial" w:eastAsia="Arial" w:hAnsi="Arial" w:cs="Arial"/>
          <w:sz w:val="22"/>
          <w:szCs w:val="22"/>
          <w:lang w:val="vi-VN"/>
        </w:rPr>
        <w:t xml:space="preserve">et al. </w:t>
      </w:r>
      <w:r w:rsidRPr="00ED4EAF">
        <w:rPr>
          <w:rFonts w:ascii="Arial" w:eastAsia="Arial" w:hAnsi="Arial" w:cs="Arial"/>
          <w:sz w:val="22"/>
          <w:szCs w:val="22"/>
        </w:rPr>
        <w:t>(2009</w:t>
      </w:r>
      <w:r w:rsidRPr="00ED4EAF">
        <w:rPr>
          <w:rFonts w:ascii="Arial" w:eastAsia="Arial" w:hAnsi="Arial" w:cs="Arial"/>
          <w:noProof/>
          <w:sz w:val="22"/>
          <w:szCs w:val="22"/>
        </w:rPr>
        <w:t>)</w:t>
      </w:r>
      <w:bookmarkEnd w:id="72"/>
      <w:r w:rsidRPr="00ED4EAF">
        <w:rPr>
          <w:rFonts w:ascii="Arial" w:eastAsia="Arial" w:hAnsi="Arial" w:cs="Arial"/>
          <w:sz w:val="22"/>
          <w:szCs w:val="22"/>
        </w:rPr>
        <w:t xml:space="preserve"> used </w:t>
      </w:r>
      <w:r w:rsidR="005624FF" w:rsidRPr="00ED4EAF">
        <w:rPr>
          <w:rFonts w:ascii="Arial" w:eastAsia="Arial" w:hAnsi="Arial" w:cs="Arial"/>
          <w:sz w:val="22"/>
          <w:szCs w:val="22"/>
          <w:lang w:val="vi-VN"/>
        </w:rPr>
        <w:t xml:space="preserve">the ratio of </w:t>
      </w:r>
      <w:r w:rsidRPr="00ED4EAF">
        <w:rPr>
          <w:rFonts w:ascii="Arial" w:eastAsia="Arial" w:hAnsi="Arial" w:cs="Arial"/>
          <w:sz w:val="22"/>
          <w:szCs w:val="22"/>
        </w:rPr>
        <w:t>number of state-owned shares</w:t>
      </w:r>
      <w:r w:rsidR="005624FF" w:rsidRPr="00ED4EAF">
        <w:rPr>
          <w:rFonts w:ascii="Arial" w:eastAsia="Arial" w:hAnsi="Arial" w:cs="Arial"/>
          <w:sz w:val="22"/>
          <w:szCs w:val="22"/>
          <w:lang w:val="vi-VN"/>
        </w:rPr>
        <w:t xml:space="preserve"> to </w:t>
      </w:r>
      <w:r w:rsidRPr="00ED4EAF">
        <w:rPr>
          <w:rFonts w:ascii="Arial" w:eastAsia="Arial" w:hAnsi="Arial" w:cs="Arial"/>
          <w:sz w:val="22"/>
          <w:szCs w:val="22"/>
        </w:rPr>
        <w:t xml:space="preserve">number of </w:t>
      </w:r>
      <w:r w:rsidR="005624FF" w:rsidRPr="00ED4EAF">
        <w:rPr>
          <w:rFonts w:ascii="Arial" w:eastAsia="Arial" w:hAnsi="Arial" w:cs="Arial"/>
          <w:sz w:val="22"/>
          <w:szCs w:val="22"/>
          <w:lang w:val="vi-VN"/>
        </w:rPr>
        <w:t xml:space="preserve">outstanding </w:t>
      </w:r>
      <w:r w:rsidRPr="00ED4EAF">
        <w:rPr>
          <w:rFonts w:ascii="Arial" w:eastAsia="Arial" w:hAnsi="Arial" w:cs="Arial"/>
          <w:sz w:val="22"/>
          <w:szCs w:val="22"/>
        </w:rPr>
        <w:t>shares to measure state ownership.</w:t>
      </w:r>
    </w:p>
    <w:p w:rsidR="00FA7D00" w:rsidRPr="00ED4EAF" w:rsidRDefault="005624FF" w:rsidP="00536FA1">
      <w:pPr>
        <w:jc w:val="both"/>
        <w:rPr>
          <w:rFonts w:ascii="Arial" w:hAnsi="Arial" w:cs="Arial"/>
          <w:sz w:val="22"/>
          <w:szCs w:val="22"/>
        </w:rPr>
      </w:pPr>
      <w:r w:rsidRPr="00ED4EAF">
        <w:rPr>
          <w:rFonts w:ascii="Arial" w:eastAsia="Arial" w:hAnsi="Arial" w:cs="Arial"/>
          <w:sz w:val="22"/>
          <w:szCs w:val="22"/>
          <w:lang w:val="vi-VN"/>
        </w:rPr>
        <w:t>I</w:t>
      </w:r>
      <w:r w:rsidR="00FA7D00" w:rsidRPr="00ED4EAF">
        <w:rPr>
          <w:rFonts w:ascii="Arial" w:eastAsia="Arial" w:hAnsi="Arial" w:cs="Arial"/>
          <w:sz w:val="22"/>
          <w:szCs w:val="22"/>
        </w:rPr>
        <w:t>n this study, SO</w:t>
      </w:r>
      <w:r w:rsidR="00FA7D00" w:rsidRPr="00ED4EAF">
        <w:rPr>
          <w:rFonts w:ascii="Arial" w:hAnsi="Arial" w:cs="Arial"/>
          <w:sz w:val="22"/>
          <w:szCs w:val="22"/>
        </w:rPr>
        <w:t xml:space="preserve"> </w:t>
      </w:r>
      <w:r w:rsidRPr="00ED4EAF">
        <w:rPr>
          <w:rFonts w:ascii="Arial" w:hAnsi="Arial" w:cs="Arial"/>
          <w:sz w:val="22"/>
          <w:szCs w:val="22"/>
          <w:lang w:val="vi-VN"/>
        </w:rPr>
        <w:t xml:space="preserve">is defined </w:t>
      </w:r>
      <w:r w:rsidR="00FA7D00" w:rsidRPr="00ED4EAF">
        <w:rPr>
          <w:rFonts w:ascii="Arial" w:eastAsia="Arial" w:hAnsi="Arial" w:cs="Arial"/>
          <w:sz w:val="22"/>
          <w:szCs w:val="22"/>
        </w:rPr>
        <w:t>as a dummy variable, in which:</w:t>
      </w:r>
    </w:p>
    <w:p w:rsidR="00FA7D00" w:rsidRDefault="00FA7D00" w:rsidP="00536FA1">
      <w:pPr>
        <w:jc w:val="both"/>
        <w:rPr>
          <w:rFonts w:ascii="Arial" w:eastAsia="Arial" w:hAnsi="Arial" w:cs="Arial"/>
          <w:sz w:val="22"/>
          <w:szCs w:val="22"/>
          <w:lang w:val="vi-VN"/>
        </w:rPr>
      </w:pPr>
      <w:bookmarkStart w:id="73" w:name="OLE_LINK193"/>
      <w:bookmarkStart w:id="74" w:name="OLE_LINK194"/>
      <w:bookmarkEnd w:id="73"/>
      <w:r w:rsidRPr="00ED4EAF">
        <w:rPr>
          <w:rFonts w:ascii="Arial" w:eastAsia="Arial" w:hAnsi="Arial" w:cs="Arial"/>
          <w:sz w:val="22"/>
          <w:szCs w:val="22"/>
        </w:rPr>
        <w:t>SO = 1,</w:t>
      </w:r>
      <w:bookmarkEnd w:id="74"/>
      <w:r w:rsidRPr="00ED4EAF">
        <w:rPr>
          <w:rFonts w:ascii="Arial" w:hAnsi="Arial" w:cs="Arial"/>
          <w:sz w:val="22"/>
          <w:szCs w:val="22"/>
        </w:rPr>
        <w:t xml:space="preserve"> </w:t>
      </w:r>
      <w:bookmarkStart w:id="75" w:name="OLE_LINK189"/>
      <w:bookmarkStart w:id="76" w:name="OLE_LINK190"/>
      <w:bookmarkEnd w:id="75"/>
      <w:r w:rsidRPr="00ED4EAF">
        <w:rPr>
          <w:rFonts w:ascii="Arial" w:eastAsia="Arial" w:hAnsi="Arial" w:cs="Arial"/>
          <w:sz w:val="22"/>
          <w:szCs w:val="22"/>
        </w:rPr>
        <w:t>if the proportion of shares held by the State is more than 50</w:t>
      </w:r>
      <w:r w:rsidRPr="00ED4EAF">
        <w:rPr>
          <w:rFonts w:ascii="Arial" w:eastAsia="Arial" w:hAnsi="Arial" w:cs="Arial"/>
          <w:noProof/>
          <w:sz w:val="22"/>
          <w:szCs w:val="22"/>
        </w:rPr>
        <w:t>%</w:t>
      </w:r>
      <w:bookmarkEnd w:id="76"/>
      <w:r w:rsidRPr="00ED4EAF">
        <w:rPr>
          <w:rFonts w:ascii="Arial" w:eastAsia="Arial" w:hAnsi="Arial" w:cs="Arial"/>
          <w:noProof/>
          <w:sz w:val="22"/>
          <w:szCs w:val="22"/>
        </w:rPr>
        <w:t>,</w:t>
      </w:r>
      <w:r w:rsidRPr="00ED4EAF">
        <w:rPr>
          <w:rFonts w:ascii="Arial" w:eastAsia="Arial" w:hAnsi="Arial" w:cs="Arial"/>
          <w:sz w:val="22"/>
          <w:szCs w:val="22"/>
        </w:rPr>
        <w:t xml:space="preserve"> the company is state-owned;</w:t>
      </w:r>
      <w:r w:rsidR="005624FF" w:rsidRPr="00ED4EAF">
        <w:rPr>
          <w:rFonts w:ascii="Arial" w:eastAsia="Arial" w:hAnsi="Arial" w:cs="Arial"/>
          <w:sz w:val="22"/>
          <w:szCs w:val="22"/>
          <w:lang w:val="vi-VN"/>
        </w:rPr>
        <w:t xml:space="preserve"> and 0 otherwise.</w:t>
      </w:r>
    </w:p>
    <w:p w:rsidR="00411C6E" w:rsidRPr="00ED4EAF" w:rsidRDefault="00411C6E" w:rsidP="00536FA1">
      <w:pPr>
        <w:jc w:val="both"/>
        <w:rPr>
          <w:rFonts w:ascii="Arial" w:hAnsi="Arial" w:cs="Arial"/>
          <w:sz w:val="22"/>
          <w:szCs w:val="22"/>
          <w:lang w:val="vi-VN"/>
        </w:rPr>
      </w:pPr>
    </w:p>
    <w:p w:rsidR="00FA7D00" w:rsidRPr="00ED4EAF" w:rsidRDefault="00FA7D00" w:rsidP="00536FA1">
      <w:pPr>
        <w:jc w:val="both"/>
        <w:rPr>
          <w:rFonts w:ascii="Arial" w:hAnsi="Arial" w:cs="Arial"/>
          <w:sz w:val="22"/>
          <w:szCs w:val="22"/>
        </w:rPr>
      </w:pPr>
      <w:bookmarkStart w:id="77" w:name="_Toc496645246"/>
      <w:r w:rsidRPr="00ED4EAF">
        <w:rPr>
          <w:rFonts w:ascii="Arial" w:eastAsia="Arial" w:hAnsi="Arial" w:cs="Arial"/>
          <w:sz w:val="22"/>
          <w:szCs w:val="22"/>
        </w:rPr>
        <w:t>Table 1: Variables description in the research model</w:t>
      </w:r>
      <w:bookmarkEnd w:id="77"/>
    </w:p>
    <w:tbl>
      <w:tblPr>
        <w:tblW w:w="9718" w:type="dxa"/>
        <w:jc w:val="center"/>
        <w:tblCellMar>
          <w:left w:w="0" w:type="dxa"/>
          <w:right w:w="0" w:type="dxa"/>
        </w:tblCellMar>
        <w:tblLook w:val="0000" w:firstRow="0" w:lastRow="0" w:firstColumn="0" w:lastColumn="0" w:noHBand="0" w:noVBand="0"/>
      </w:tblPr>
      <w:tblGrid>
        <w:gridCol w:w="1902"/>
        <w:gridCol w:w="1459"/>
        <w:gridCol w:w="2876"/>
        <w:gridCol w:w="3481"/>
      </w:tblGrid>
      <w:tr w:rsidR="0062587F" w:rsidRPr="00ED4EAF" w:rsidTr="0062587F">
        <w:trPr>
          <w:jc w:val="center"/>
        </w:trPr>
        <w:tc>
          <w:tcPr>
            <w:tcW w:w="190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jc w:val="center"/>
              <w:rPr>
                <w:rFonts w:ascii="Arial" w:hAnsi="Arial" w:cs="Arial"/>
                <w:sz w:val="22"/>
                <w:szCs w:val="22"/>
              </w:rPr>
            </w:pPr>
            <w:r w:rsidRPr="00ED4EAF">
              <w:rPr>
                <w:rFonts w:ascii="Arial" w:eastAsia="Arial" w:hAnsi="Arial" w:cs="Arial"/>
                <w:b/>
                <w:bCs/>
                <w:sz w:val="22"/>
                <w:szCs w:val="22"/>
              </w:rPr>
              <w:t>Variable name</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jc w:val="center"/>
              <w:rPr>
                <w:rFonts w:ascii="Arial" w:hAnsi="Arial" w:cs="Arial"/>
                <w:sz w:val="22"/>
                <w:szCs w:val="22"/>
              </w:rPr>
            </w:pPr>
            <w:r w:rsidRPr="00ED4EAF">
              <w:rPr>
                <w:rFonts w:ascii="Arial" w:eastAsia="Arial" w:hAnsi="Arial" w:cs="Arial"/>
                <w:b/>
                <w:bCs/>
                <w:sz w:val="22"/>
                <w:szCs w:val="22"/>
              </w:rPr>
              <w:t>Variable</w:t>
            </w:r>
          </w:p>
        </w:tc>
        <w:tc>
          <w:tcPr>
            <w:tcW w:w="2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jc w:val="center"/>
              <w:rPr>
                <w:rFonts w:ascii="Arial" w:hAnsi="Arial" w:cs="Arial"/>
                <w:sz w:val="22"/>
                <w:szCs w:val="22"/>
              </w:rPr>
            </w:pPr>
            <w:r w:rsidRPr="00ED4EAF">
              <w:rPr>
                <w:rFonts w:ascii="Arial" w:eastAsia="Arial" w:hAnsi="Arial" w:cs="Arial"/>
                <w:b/>
                <w:bCs/>
                <w:sz w:val="22"/>
                <w:szCs w:val="22"/>
              </w:rPr>
              <w:t>Description</w:t>
            </w:r>
          </w:p>
        </w:tc>
        <w:tc>
          <w:tcPr>
            <w:tcW w:w="3481" w:type="dxa"/>
            <w:tcBorders>
              <w:top w:val="single" w:sz="6" w:space="0" w:color="000000"/>
              <w:left w:val="single" w:sz="6" w:space="0" w:color="000000"/>
              <w:bottom w:val="single" w:sz="6" w:space="0" w:color="000000"/>
            </w:tcBorders>
          </w:tcPr>
          <w:p w:rsidR="0062587F" w:rsidRPr="00ED4EAF" w:rsidRDefault="0062587F" w:rsidP="00536FA1">
            <w:pPr>
              <w:jc w:val="center"/>
              <w:rPr>
                <w:rFonts w:ascii="Arial" w:eastAsia="Arial" w:hAnsi="Arial" w:cs="Arial"/>
                <w:b/>
                <w:bCs/>
                <w:sz w:val="22"/>
                <w:szCs w:val="22"/>
                <w:lang w:val="vi-VN"/>
              </w:rPr>
            </w:pPr>
            <w:r w:rsidRPr="00ED4EAF">
              <w:rPr>
                <w:rFonts w:ascii="Arial" w:eastAsia="Arial" w:hAnsi="Arial" w:cs="Arial"/>
                <w:b/>
                <w:bCs/>
                <w:sz w:val="22"/>
                <w:szCs w:val="22"/>
                <w:lang w:val="vi-VN"/>
              </w:rPr>
              <w:t>Previous authors</w:t>
            </w:r>
          </w:p>
        </w:tc>
      </w:tr>
      <w:tr w:rsidR="0062587F" w:rsidRPr="00ED4EAF" w:rsidTr="0062587F">
        <w:trPr>
          <w:jc w:val="center"/>
        </w:trPr>
        <w:tc>
          <w:tcPr>
            <w:tcW w:w="190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rPr>
              <w:t>Total debt/Total Assets ratio</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jc w:val="center"/>
              <w:rPr>
                <w:rFonts w:ascii="Arial" w:hAnsi="Arial" w:cs="Arial"/>
                <w:sz w:val="22"/>
                <w:szCs w:val="22"/>
              </w:rPr>
            </w:pPr>
            <w:r w:rsidRPr="00ED4EAF">
              <w:rPr>
                <w:rFonts w:ascii="Arial" w:eastAsia="Arial" w:hAnsi="Arial" w:cs="Arial"/>
                <w:sz w:val="22"/>
                <w:szCs w:val="22"/>
              </w:rPr>
              <w:t>TLEV</w:t>
            </w:r>
          </w:p>
        </w:tc>
        <w:tc>
          <w:tcPr>
            <w:tcW w:w="2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rPr>
              <w:t>Total Debt to Total Assets ratio</w:t>
            </w:r>
          </w:p>
        </w:tc>
        <w:tc>
          <w:tcPr>
            <w:tcW w:w="3481" w:type="dxa"/>
            <w:tcBorders>
              <w:top w:val="single" w:sz="6" w:space="0" w:color="000000"/>
              <w:left w:val="single" w:sz="6" w:space="0" w:color="000000"/>
              <w:bottom w:val="single" w:sz="6" w:space="0" w:color="000000"/>
            </w:tcBorders>
          </w:tcPr>
          <w:p w:rsidR="0062587F" w:rsidRPr="00ED4EAF" w:rsidRDefault="0062587F" w:rsidP="00536FA1">
            <w:pPr>
              <w:jc w:val="center"/>
              <w:rPr>
                <w:rFonts w:ascii="Arial" w:eastAsia="Arial" w:hAnsi="Arial" w:cs="Arial"/>
                <w:sz w:val="22"/>
                <w:szCs w:val="22"/>
                <w:lang w:val="vi-VN"/>
              </w:rPr>
            </w:pPr>
            <w:r w:rsidRPr="00ED4EAF">
              <w:rPr>
                <w:rFonts w:ascii="Arial" w:eastAsia="Arial" w:hAnsi="Arial" w:cs="Arial"/>
                <w:sz w:val="22"/>
                <w:szCs w:val="22"/>
              </w:rPr>
              <w:t xml:space="preserve">Frank </w:t>
            </w:r>
            <w:r w:rsidRPr="00ED4EAF">
              <w:rPr>
                <w:rFonts w:ascii="Arial" w:eastAsia="Arial" w:hAnsi="Arial" w:cs="Arial"/>
                <w:sz w:val="22"/>
                <w:szCs w:val="22"/>
                <w:lang w:val="vi-VN"/>
              </w:rPr>
              <w:t>and</w:t>
            </w:r>
            <w:r w:rsidRPr="00ED4EAF">
              <w:rPr>
                <w:rFonts w:ascii="Arial" w:eastAsia="Arial" w:hAnsi="Arial" w:cs="Arial"/>
                <w:sz w:val="22"/>
                <w:szCs w:val="22"/>
              </w:rPr>
              <w:t xml:space="preserve"> </w:t>
            </w:r>
            <w:proofErr w:type="spellStart"/>
            <w:r w:rsidRPr="00ED4EAF">
              <w:rPr>
                <w:rFonts w:ascii="Arial" w:eastAsia="Arial" w:hAnsi="Arial" w:cs="Arial"/>
                <w:sz w:val="22"/>
                <w:szCs w:val="22"/>
              </w:rPr>
              <w:t>Goyal</w:t>
            </w:r>
            <w:proofErr w:type="spellEnd"/>
            <w:r w:rsidRPr="00ED4EAF">
              <w:rPr>
                <w:rFonts w:ascii="Arial" w:eastAsia="Arial" w:hAnsi="Arial" w:cs="Arial"/>
                <w:sz w:val="22"/>
                <w:szCs w:val="22"/>
              </w:rPr>
              <w:t xml:space="preserve"> (2007, 2009)</w:t>
            </w:r>
            <w:r w:rsidRPr="00ED4EAF">
              <w:rPr>
                <w:rFonts w:ascii="Arial" w:eastAsia="Arial" w:hAnsi="Arial" w:cs="Arial"/>
                <w:sz w:val="22"/>
                <w:szCs w:val="22"/>
                <w:lang w:val="vi-VN"/>
              </w:rPr>
              <w:t>,</w:t>
            </w:r>
          </w:p>
          <w:p w:rsidR="0062587F" w:rsidRPr="00ED4EAF" w:rsidRDefault="0062587F" w:rsidP="00536FA1">
            <w:pPr>
              <w:jc w:val="center"/>
              <w:rPr>
                <w:rFonts w:ascii="Arial" w:eastAsia="Arial" w:hAnsi="Arial" w:cs="Arial"/>
                <w:sz w:val="22"/>
                <w:szCs w:val="22"/>
              </w:rPr>
            </w:pPr>
            <w:r w:rsidRPr="00ED4EAF">
              <w:rPr>
                <w:rFonts w:ascii="Arial" w:eastAsia="Arial" w:hAnsi="Arial" w:cs="Arial"/>
                <w:sz w:val="22"/>
                <w:szCs w:val="22"/>
                <w:lang w:val="vi-VN"/>
              </w:rPr>
              <w:t xml:space="preserve"> </w:t>
            </w:r>
            <w:r w:rsidRPr="00ED4EAF">
              <w:rPr>
                <w:rFonts w:ascii="Arial" w:eastAsia="Arial" w:hAnsi="Arial" w:cs="Arial"/>
                <w:sz w:val="22"/>
                <w:szCs w:val="22"/>
              </w:rPr>
              <w:t xml:space="preserve">Barros </w:t>
            </w:r>
            <w:r w:rsidRPr="00ED4EAF">
              <w:rPr>
                <w:rFonts w:ascii="Arial" w:eastAsia="Arial" w:hAnsi="Arial" w:cs="Arial"/>
                <w:sz w:val="22"/>
                <w:szCs w:val="22"/>
                <w:lang w:val="vi-VN"/>
              </w:rPr>
              <w:t>and</w:t>
            </w:r>
            <w:r w:rsidRPr="00ED4EAF">
              <w:rPr>
                <w:rFonts w:ascii="Arial" w:eastAsia="Arial" w:hAnsi="Arial" w:cs="Arial"/>
                <w:sz w:val="22"/>
                <w:szCs w:val="22"/>
              </w:rPr>
              <w:t xml:space="preserve"> </w:t>
            </w:r>
            <w:proofErr w:type="spellStart"/>
            <w:r w:rsidRPr="00ED4EAF">
              <w:rPr>
                <w:rFonts w:ascii="Arial" w:eastAsia="Arial" w:hAnsi="Arial" w:cs="Arial"/>
                <w:sz w:val="22"/>
                <w:szCs w:val="22"/>
              </w:rPr>
              <w:t>Silveira</w:t>
            </w:r>
            <w:proofErr w:type="spellEnd"/>
            <w:r w:rsidRPr="00ED4EAF">
              <w:rPr>
                <w:rFonts w:ascii="Arial" w:eastAsia="Arial" w:hAnsi="Arial" w:cs="Arial"/>
                <w:sz w:val="22"/>
                <w:szCs w:val="22"/>
              </w:rPr>
              <w:t xml:space="preserve"> (2007), </w:t>
            </w:r>
          </w:p>
          <w:p w:rsidR="0062587F" w:rsidRPr="00ED4EAF" w:rsidRDefault="0062587F" w:rsidP="00536FA1">
            <w:pPr>
              <w:jc w:val="center"/>
              <w:rPr>
                <w:rFonts w:ascii="Arial" w:eastAsia="Arial" w:hAnsi="Arial" w:cs="Arial"/>
                <w:sz w:val="22"/>
                <w:szCs w:val="22"/>
              </w:rPr>
            </w:pPr>
            <w:proofErr w:type="spellStart"/>
            <w:r w:rsidRPr="00ED4EAF">
              <w:rPr>
                <w:rFonts w:ascii="Arial" w:eastAsia="Arial" w:hAnsi="Arial" w:cs="Arial"/>
                <w:sz w:val="22"/>
                <w:szCs w:val="22"/>
              </w:rPr>
              <w:t>Reimoo</w:t>
            </w:r>
            <w:proofErr w:type="spellEnd"/>
            <w:r w:rsidRPr="00ED4EAF">
              <w:rPr>
                <w:rFonts w:ascii="Arial" w:eastAsia="Arial" w:hAnsi="Arial" w:cs="Arial"/>
                <w:sz w:val="22"/>
                <w:szCs w:val="22"/>
              </w:rPr>
              <w:t xml:space="preserve"> (2008)</w:t>
            </w:r>
          </w:p>
        </w:tc>
      </w:tr>
      <w:tr w:rsidR="0062587F" w:rsidRPr="00ED4EAF" w:rsidTr="0062587F">
        <w:trPr>
          <w:jc w:val="center"/>
        </w:trPr>
        <w:tc>
          <w:tcPr>
            <w:tcW w:w="190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rPr>
              <w:t>Long-term debt/Total assets ratio</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jc w:val="center"/>
              <w:rPr>
                <w:rFonts w:ascii="Arial" w:hAnsi="Arial" w:cs="Arial"/>
                <w:sz w:val="22"/>
                <w:szCs w:val="22"/>
              </w:rPr>
            </w:pPr>
            <w:r w:rsidRPr="00ED4EAF">
              <w:rPr>
                <w:rFonts w:ascii="Arial" w:eastAsia="Arial" w:hAnsi="Arial" w:cs="Arial"/>
                <w:sz w:val="22"/>
                <w:szCs w:val="22"/>
              </w:rPr>
              <w:t>LTLEV</w:t>
            </w:r>
          </w:p>
        </w:tc>
        <w:tc>
          <w:tcPr>
            <w:tcW w:w="2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rPr>
              <w:t>Long-term Debt to Total Assets ratio</w:t>
            </w:r>
          </w:p>
        </w:tc>
        <w:tc>
          <w:tcPr>
            <w:tcW w:w="3481" w:type="dxa"/>
            <w:tcBorders>
              <w:top w:val="single" w:sz="6" w:space="0" w:color="000000"/>
              <w:left w:val="single" w:sz="6" w:space="0" w:color="000000"/>
              <w:bottom w:val="single" w:sz="6" w:space="0" w:color="000000"/>
            </w:tcBorders>
          </w:tcPr>
          <w:p w:rsidR="0062587F" w:rsidRPr="00ED4EAF" w:rsidRDefault="0062587F" w:rsidP="00536FA1">
            <w:pPr>
              <w:jc w:val="center"/>
              <w:rPr>
                <w:rFonts w:ascii="Arial" w:eastAsia="Arial" w:hAnsi="Arial" w:cs="Arial"/>
                <w:sz w:val="22"/>
                <w:szCs w:val="22"/>
                <w:lang w:val="vi-VN"/>
              </w:rPr>
            </w:pPr>
            <w:r w:rsidRPr="00ED4EAF">
              <w:rPr>
                <w:rFonts w:ascii="Arial" w:eastAsia="Arial" w:hAnsi="Arial" w:cs="Arial"/>
                <w:sz w:val="22"/>
                <w:szCs w:val="22"/>
              </w:rPr>
              <w:t xml:space="preserve">Frank </w:t>
            </w:r>
            <w:r w:rsidRPr="00ED4EAF">
              <w:rPr>
                <w:rFonts w:ascii="Arial" w:eastAsia="Arial" w:hAnsi="Arial" w:cs="Arial"/>
                <w:sz w:val="22"/>
                <w:szCs w:val="22"/>
                <w:lang w:val="vi-VN"/>
              </w:rPr>
              <w:t>and</w:t>
            </w:r>
            <w:r w:rsidRPr="00ED4EAF">
              <w:rPr>
                <w:rFonts w:ascii="Arial" w:eastAsia="Arial" w:hAnsi="Arial" w:cs="Arial"/>
                <w:sz w:val="22"/>
                <w:szCs w:val="22"/>
              </w:rPr>
              <w:t xml:space="preserve"> </w:t>
            </w:r>
            <w:proofErr w:type="spellStart"/>
            <w:r w:rsidRPr="00ED4EAF">
              <w:rPr>
                <w:rFonts w:ascii="Arial" w:eastAsia="Arial" w:hAnsi="Arial" w:cs="Arial"/>
                <w:sz w:val="22"/>
                <w:szCs w:val="22"/>
              </w:rPr>
              <w:t>Goyal</w:t>
            </w:r>
            <w:proofErr w:type="spellEnd"/>
            <w:r w:rsidRPr="00ED4EAF">
              <w:rPr>
                <w:rFonts w:ascii="Arial" w:eastAsia="Arial" w:hAnsi="Arial" w:cs="Arial"/>
                <w:sz w:val="22"/>
                <w:szCs w:val="22"/>
              </w:rPr>
              <w:t xml:space="preserve"> (2007, 2009)</w:t>
            </w:r>
            <w:r w:rsidRPr="00ED4EAF">
              <w:rPr>
                <w:rFonts w:ascii="Arial" w:eastAsia="Arial" w:hAnsi="Arial" w:cs="Arial"/>
                <w:sz w:val="22"/>
                <w:szCs w:val="22"/>
                <w:lang w:val="vi-VN"/>
              </w:rPr>
              <w:t>,</w:t>
            </w:r>
          </w:p>
          <w:p w:rsidR="0062587F" w:rsidRPr="00ED4EAF" w:rsidRDefault="0062587F" w:rsidP="00536FA1">
            <w:pPr>
              <w:jc w:val="center"/>
              <w:rPr>
                <w:rFonts w:ascii="Arial" w:eastAsia="Arial" w:hAnsi="Arial" w:cs="Arial"/>
                <w:sz w:val="22"/>
                <w:szCs w:val="22"/>
              </w:rPr>
            </w:pPr>
            <w:r w:rsidRPr="00ED4EAF">
              <w:rPr>
                <w:rFonts w:ascii="Arial" w:eastAsia="Arial" w:hAnsi="Arial" w:cs="Arial"/>
                <w:sz w:val="22"/>
                <w:szCs w:val="22"/>
                <w:lang w:val="vi-VN"/>
              </w:rPr>
              <w:t xml:space="preserve"> </w:t>
            </w:r>
            <w:r w:rsidRPr="00ED4EAF">
              <w:rPr>
                <w:rFonts w:ascii="Arial" w:eastAsia="Arial" w:hAnsi="Arial" w:cs="Arial"/>
                <w:sz w:val="22"/>
                <w:szCs w:val="22"/>
              </w:rPr>
              <w:t xml:space="preserve">Barros </w:t>
            </w:r>
            <w:r w:rsidRPr="00ED4EAF">
              <w:rPr>
                <w:rFonts w:ascii="Arial" w:eastAsia="Arial" w:hAnsi="Arial" w:cs="Arial"/>
                <w:sz w:val="22"/>
                <w:szCs w:val="22"/>
                <w:lang w:val="vi-VN"/>
              </w:rPr>
              <w:t>and</w:t>
            </w:r>
            <w:r w:rsidRPr="00ED4EAF">
              <w:rPr>
                <w:rFonts w:ascii="Arial" w:eastAsia="Arial" w:hAnsi="Arial" w:cs="Arial"/>
                <w:sz w:val="22"/>
                <w:szCs w:val="22"/>
              </w:rPr>
              <w:t xml:space="preserve"> </w:t>
            </w:r>
            <w:proofErr w:type="spellStart"/>
            <w:r w:rsidRPr="00ED4EAF">
              <w:rPr>
                <w:rFonts w:ascii="Arial" w:eastAsia="Arial" w:hAnsi="Arial" w:cs="Arial"/>
                <w:sz w:val="22"/>
                <w:szCs w:val="22"/>
              </w:rPr>
              <w:t>Silveira</w:t>
            </w:r>
            <w:proofErr w:type="spellEnd"/>
            <w:r w:rsidRPr="00ED4EAF">
              <w:rPr>
                <w:rFonts w:ascii="Arial" w:eastAsia="Arial" w:hAnsi="Arial" w:cs="Arial"/>
                <w:sz w:val="22"/>
                <w:szCs w:val="22"/>
              </w:rPr>
              <w:t xml:space="preserve"> (2007), </w:t>
            </w:r>
          </w:p>
          <w:p w:rsidR="0062587F" w:rsidRPr="00ED4EAF" w:rsidRDefault="0062587F" w:rsidP="00536FA1">
            <w:pPr>
              <w:jc w:val="center"/>
              <w:rPr>
                <w:rFonts w:ascii="Arial" w:eastAsia="Arial" w:hAnsi="Arial" w:cs="Arial"/>
                <w:sz w:val="22"/>
                <w:szCs w:val="22"/>
              </w:rPr>
            </w:pPr>
            <w:proofErr w:type="spellStart"/>
            <w:r w:rsidRPr="00ED4EAF">
              <w:rPr>
                <w:rFonts w:ascii="Arial" w:eastAsia="Arial" w:hAnsi="Arial" w:cs="Arial"/>
                <w:sz w:val="22"/>
                <w:szCs w:val="22"/>
              </w:rPr>
              <w:t>Reimoo</w:t>
            </w:r>
            <w:proofErr w:type="spellEnd"/>
            <w:r w:rsidRPr="00ED4EAF">
              <w:rPr>
                <w:rFonts w:ascii="Arial" w:eastAsia="Arial" w:hAnsi="Arial" w:cs="Arial"/>
                <w:sz w:val="22"/>
                <w:szCs w:val="22"/>
              </w:rPr>
              <w:t xml:space="preserve"> (2008)</w:t>
            </w:r>
          </w:p>
        </w:tc>
      </w:tr>
      <w:tr w:rsidR="0062587F" w:rsidRPr="00ED4EAF" w:rsidTr="0062587F">
        <w:trPr>
          <w:jc w:val="center"/>
        </w:trPr>
        <w:tc>
          <w:tcPr>
            <w:tcW w:w="190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rPr>
              <w:t>Short-term debt/Total assets ratio</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jc w:val="center"/>
              <w:rPr>
                <w:rFonts w:ascii="Arial" w:hAnsi="Arial" w:cs="Arial"/>
                <w:sz w:val="22"/>
                <w:szCs w:val="22"/>
              </w:rPr>
            </w:pPr>
            <w:r w:rsidRPr="00ED4EAF">
              <w:rPr>
                <w:rFonts w:ascii="Arial" w:eastAsia="Arial" w:hAnsi="Arial" w:cs="Arial"/>
                <w:sz w:val="22"/>
                <w:szCs w:val="22"/>
              </w:rPr>
              <w:t>STLEV</w:t>
            </w:r>
          </w:p>
        </w:tc>
        <w:tc>
          <w:tcPr>
            <w:tcW w:w="2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rPr>
              <w:t>Short-term Debt to Total Assets ratio</w:t>
            </w:r>
          </w:p>
        </w:tc>
        <w:tc>
          <w:tcPr>
            <w:tcW w:w="3481" w:type="dxa"/>
            <w:tcBorders>
              <w:top w:val="single" w:sz="6" w:space="0" w:color="000000"/>
              <w:left w:val="single" w:sz="6" w:space="0" w:color="000000"/>
              <w:bottom w:val="single" w:sz="6" w:space="0" w:color="000000"/>
            </w:tcBorders>
          </w:tcPr>
          <w:p w:rsidR="0062587F" w:rsidRPr="00ED4EAF" w:rsidRDefault="0062587F" w:rsidP="00536FA1">
            <w:pPr>
              <w:jc w:val="center"/>
              <w:rPr>
                <w:rFonts w:ascii="Arial" w:eastAsia="Arial" w:hAnsi="Arial" w:cs="Arial"/>
                <w:sz w:val="22"/>
                <w:szCs w:val="22"/>
                <w:lang w:val="vi-VN"/>
              </w:rPr>
            </w:pPr>
            <w:bookmarkStart w:id="78" w:name="OLE_LINK133"/>
            <w:bookmarkEnd w:id="78"/>
            <w:r w:rsidRPr="00ED4EAF">
              <w:rPr>
                <w:rFonts w:ascii="Arial" w:eastAsia="Arial" w:hAnsi="Arial" w:cs="Arial"/>
                <w:sz w:val="22"/>
                <w:szCs w:val="22"/>
              </w:rPr>
              <w:t xml:space="preserve">Frank </w:t>
            </w:r>
            <w:r w:rsidRPr="00ED4EAF">
              <w:rPr>
                <w:rFonts w:ascii="Arial" w:eastAsia="Arial" w:hAnsi="Arial" w:cs="Arial"/>
                <w:sz w:val="22"/>
                <w:szCs w:val="22"/>
                <w:lang w:val="vi-VN"/>
              </w:rPr>
              <w:t>and</w:t>
            </w:r>
            <w:r w:rsidRPr="00ED4EAF">
              <w:rPr>
                <w:rFonts w:ascii="Arial" w:eastAsia="Arial" w:hAnsi="Arial" w:cs="Arial"/>
                <w:sz w:val="22"/>
                <w:szCs w:val="22"/>
              </w:rPr>
              <w:t xml:space="preserve"> </w:t>
            </w:r>
            <w:proofErr w:type="spellStart"/>
            <w:r w:rsidRPr="00ED4EAF">
              <w:rPr>
                <w:rFonts w:ascii="Arial" w:eastAsia="Arial" w:hAnsi="Arial" w:cs="Arial"/>
                <w:sz w:val="22"/>
                <w:szCs w:val="22"/>
              </w:rPr>
              <w:t>Goyal</w:t>
            </w:r>
            <w:proofErr w:type="spellEnd"/>
            <w:r w:rsidRPr="00ED4EAF">
              <w:rPr>
                <w:rFonts w:ascii="Arial" w:eastAsia="Arial" w:hAnsi="Arial" w:cs="Arial"/>
                <w:sz w:val="22"/>
                <w:szCs w:val="22"/>
              </w:rPr>
              <w:t xml:space="preserve"> (2007, 2009)</w:t>
            </w:r>
            <w:r w:rsidRPr="00ED4EAF">
              <w:rPr>
                <w:rFonts w:ascii="Arial" w:eastAsia="Arial" w:hAnsi="Arial" w:cs="Arial"/>
                <w:sz w:val="22"/>
                <w:szCs w:val="22"/>
                <w:lang w:val="vi-VN"/>
              </w:rPr>
              <w:t>,</w:t>
            </w:r>
          </w:p>
          <w:p w:rsidR="0062587F" w:rsidRPr="00ED4EAF" w:rsidRDefault="0062587F" w:rsidP="00536FA1">
            <w:pPr>
              <w:jc w:val="center"/>
              <w:rPr>
                <w:rFonts w:ascii="Arial" w:eastAsia="Arial" w:hAnsi="Arial" w:cs="Arial"/>
                <w:sz w:val="22"/>
                <w:szCs w:val="22"/>
              </w:rPr>
            </w:pPr>
            <w:r w:rsidRPr="00ED4EAF">
              <w:rPr>
                <w:rFonts w:ascii="Arial" w:eastAsia="Arial" w:hAnsi="Arial" w:cs="Arial"/>
                <w:sz w:val="22"/>
                <w:szCs w:val="22"/>
                <w:lang w:val="vi-VN"/>
              </w:rPr>
              <w:t xml:space="preserve"> </w:t>
            </w:r>
            <w:r w:rsidRPr="00ED4EAF">
              <w:rPr>
                <w:rFonts w:ascii="Arial" w:eastAsia="Arial" w:hAnsi="Arial" w:cs="Arial"/>
                <w:sz w:val="22"/>
                <w:szCs w:val="22"/>
              </w:rPr>
              <w:t xml:space="preserve">Barros </w:t>
            </w:r>
            <w:r w:rsidRPr="00ED4EAF">
              <w:rPr>
                <w:rFonts w:ascii="Arial" w:eastAsia="Arial" w:hAnsi="Arial" w:cs="Arial"/>
                <w:sz w:val="22"/>
                <w:szCs w:val="22"/>
                <w:lang w:val="vi-VN"/>
              </w:rPr>
              <w:t>and</w:t>
            </w:r>
            <w:r w:rsidRPr="00ED4EAF">
              <w:rPr>
                <w:rFonts w:ascii="Arial" w:eastAsia="Arial" w:hAnsi="Arial" w:cs="Arial"/>
                <w:sz w:val="22"/>
                <w:szCs w:val="22"/>
              </w:rPr>
              <w:t xml:space="preserve"> </w:t>
            </w:r>
            <w:proofErr w:type="spellStart"/>
            <w:r w:rsidRPr="00ED4EAF">
              <w:rPr>
                <w:rFonts w:ascii="Arial" w:eastAsia="Arial" w:hAnsi="Arial" w:cs="Arial"/>
                <w:sz w:val="22"/>
                <w:szCs w:val="22"/>
              </w:rPr>
              <w:t>Silveira</w:t>
            </w:r>
            <w:proofErr w:type="spellEnd"/>
            <w:r w:rsidRPr="00ED4EAF">
              <w:rPr>
                <w:rFonts w:ascii="Arial" w:eastAsia="Arial" w:hAnsi="Arial" w:cs="Arial"/>
                <w:sz w:val="22"/>
                <w:szCs w:val="22"/>
              </w:rPr>
              <w:t xml:space="preserve"> (2007), </w:t>
            </w:r>
          </w:p>
          <w:p w:rsidR="0062587F" w:rsidRPr="00ED4EAF" w:rsidRDefault="0062587F" w:rsidP="00536FA1">
            <w:pPr>
              <w:jc w:val="center"/>
              <w:rPr>
                <w:rFonts w:ascii="Arial" w:eastAsia="Arial" w:hAnsi="Arial" w:cs="Arial"/>
                <w:sz w:val="22"/>
                <w:szCs w:val="22"/>
              </w:rPr>
            </w:pPr>
            <w:proofErr w:type="spellStart"/>
            <w:r w:rsidRPr="00ED4EAF">
              <w:rPr>
                <w:rFonts w:ascii="Arial" w:eastAsia="Arial" w:hAnsi="Arial" w:cs="Arial"/>
                <w:sz w:val="22"/>
                <w:szCs w:val="22"/>
              </w:rPr>
              <w:t>Reimoo</w:t>
            </w:r>
            <w:proofErr w:type="spellEnd"/>
            <w:r w:rsidRPr="00ED4EAF">
              <w:rPr>
                <w:rFonts w:ascii="Arial" w:eastAsia="Arial" w:hAnsi="Arial" w:cs="Arial"/>
                <w:sz w:val="22"/>
                <w:szCs w:val="22"/>
              </w:rPr>
              <w:t xml:space="preserve"> (2008)</w:t>
            </w:r>
          </w:p>
        </w:tc>
      </w:tr>
      <w:tr w:rsidR="0062587F" w:rsidRPr="00ED4EAF" w:rsidTr="0062587F">
        <w:trPr>
          <w:jc w:val="center"/>
        </w:trPr>
        <w:tc>
          <w:tcPr>
            <w:tcW w:w="190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rPr>
              <w:t>Managerial overconfidence</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jc w:val="center"/>
              <w:rPr>
                <w:rFonts w:ascii="Arial" w:hAnsi="Arial" w:cs="Arial"/>
                <w:sz w:val="22"/>
                <w:szCs w:val="22"/>
              </w:rPr>
            </w:pPr>
            <w:r w:rsidRPr="00ED4EAF">
              <w:rPr>
                <w:rFonts w:ascii="Arial" w:eastAsia="Arial" w:hAnsi="Arial" w:cs="Arial"/>
                <w:sz w:val="22"/>
                <w:szCs w:val="22"/>
              </w:rPr>
              <w:t>OVER</w:t>
            </w:r>
          </w:p>
        </w:tc>
        <w:tc>
          <w:tcPr>
            <w:tcW w:w="2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eastAsia="Arial" w:hAnsi="Arial" w:cs="Arial"/>
                <w:sz w:val="22"/>
                <w:szCs w:val="22"/>
                <w:lang w:val="vi-VN"/>
              </w:rPr>
            </w:pPr>
            <w:r w:rsidRPr="00ED4EAF">
              <w:rPr>
                <w:rFonts w:ascii="Arial" w:eastAsia="Arial" w:hAnsi="Arial" w:cs="Arial"/>
                <w:sz w:val="22"/>
                <w:szCs w:val="22"/>
                <w:lang w:val="vi-VN"/>
              </w:rPr>
              <w:t>T</w:t>
            </w:r>
            <w:r w:rsidRPr="00ED4EAF">
              <w:rPr>
                <w:rFonts w:ascii="Arial" w:eastAsia="Arial" w:hAnsi="Arial" w:cs="Arial"/>
                <w:sz w:val="22"/>
                <w:szCs w:val="22"/>
              </w:rPr>
              <w:t>he</w:t>
            </w:r>
            <w:r w:rsidRPr="00ED4EAF">
              <w:rPr>
                <w:rFonts w:ascii="Arial" w:hAnsi="Arial" w:cs="Arial"/>
                <w:sz w:val="22"/>
                <w:szCs w:val="22"/>
              </w:rPr>
              <w:t xml:space="preserve"> </w:t>
            </w:r>
            <w:r w:rsidRPr="00ED4EAF">
              <w:rPr>
                <w:rFonts w:ascii="Arial" w:eastAsia="Arial" w:hAnsi="Arial" w:cs="Arial"/>
                <w:b/>
                <w:bCs/>
                <w:sz w:val="22"/>
                <w:szCs w:val="22"/>
              </w:rPr>
              <w:t>"net buyer"</w:t>
            </w:r>
            <w:r w:rsidRPr="00ED4EAF">
              <w:rPr>
                <w:rFonts w:ascii="Arial" w:hAnsi="Arial" w:cs="Arial"/>
                <w:sz w:val="22"/>
                <w:szCs w:val="22"/>
              </w:rPr>
              <w:t xml:space="preserve"> </w:t>
            </w:r>
            <w:r w:rsidRPr="00ED4EAF">
              <w:rPr>
                <w:rFonts w:ascii="Arial" w:eastAsia="Arial" w:hAnsi="Arial" w:cs="Arial"/>
                <w:sz w:val="22"/>
                <w:szCs w:val="22"/>
              </w:rPr>
              <w:t>metric</w:t>
            </w:r>
            <w:r w:rsidRPr="00ED4EAF">
              <w:rPr>
                <w:rFonts w:ascii="Arial" w:eastAsia="Arial" w:hAnsi="Arial" w:cs="Arial"/>
                <w:sz w:val="22"/>
                <w:szCs w:val="22"/>
                <w:lang w:val="vi-VN"/>
              </w:rPr>
              <w:t>.</w:t>
            </w:r>
          </w:p>
          <w:p w:rsidR="0062587F" w:rsidRPr="00ED4EAF" w:rsidRDefault="0062587F" w:rsidP="00536FA1">
            <w:pPr>
              <w:rPr>
                <w:rFonts w:ascii="Arial" w:hAnsi="Arial" w:cs="Arial"/>
                <w:sz w:val="22"/>
                <w:szCs w:val="22"/>
              </w:rPr>
            </w:pPr>
            <w:r w:rsidRPr="00ED4EAF">
              <w:rPr>
                <w:rFonts w:ascii="Arial" w:eastAsia="Arial" w:hAnsi="Arial" w:cs="Arial"/>
                <w:sz w:val="22"/>
                <w:szCs w:val="22"/>
              </w:rPr>
              <w:t>OVER = 1 indicates manager is overconfident</w:t>
            </w:r>
            <w:r w:rsidRPr="00ED4EAF">
              <w:rPr>
                <w:rFonts w:ascii="Arial" w:eastAsia="Arial" w:hAnsi="Arial" w:cs="Arial"/>
                <w:sz w:val="22"/>
                <w:szCs w:val="22"/>
                <w:lang w:val="vi-VN"/>
              </w:rPr>
              <w:t xml:space="preserve"> (net buyer &gt; 0)</w:t>
            </w:r>
            <w:r w:rsidRPr="00ED4EAF">
              <w:rPr>
                <w:rFonts w:ascii="Arial" w:eastAsia="Arial" w:hAnsi="Arial" w:cs="Arial"/>
                <w:sz w:val="22"/>
                <w:szCs w:val="22"/>
              </w:rPr>
              <w:t>;</w:t>
            </w:r>
          </w:p>
          <w:p w:rsidR="0062587F" w:rsidRPr="00ED4EAF" w:rsidRDefault="0062587F" w:rsidP="00536FA1">
            <w:pPr>
              <w:rPr>
                <w:rFonts w:ascii="Arial" w:hAnsi="Arial" w:cs="Arial"/>
                <w:sz w:val="22"/>
                <w:szCs w:val="22"/>
                <w:lang w:val="vi-VN"/>
              </w:rPr>
            </w:pPr>
            <w:r w:rsidRPr="00ED4EAF">
              <w:rPr>
                <w:rFonts w:ascii="Arial" w:eastAsia="Arial" w:hAnsi="Arial" w:cs="Arial"/>
                <w:sz w:val="22"/>
                <w:szCs w:val="22"/>
              </w:rPr>
              <w:t>OVER = 0 indicates manager is not overconfident.</w:t>
            </w:r>
          </w:p>
        </w:tc>
        <w:tc>
          <w:tcPr>
            <w:tcW w:w="3481" w:type="dxa"/>
            <w:tcBorders>
              <w:top w:val="single" w:sz="6" w:space="0" w:color="000000"/>
              <w:left w:val="single" w:sz="6" w:space="0" w:color="000000"/>
              <w:bottom w:val="single" w:sz="6" w:space="0" w:color="000000"/>
            </w:tcBorders>
          </w:tcPr>
          <w:p w:rsidR="0062587F" w:rsidRPr="00ED4EAF" w:rsidRDefault="0062587F" w:rsidP="00536FA1">
            <w:pPr>
              <w:jc w:val="center"/>
              <w:rPr>
                <w:rFonts w:ascii="Arial" w:eastAsia="Arial" w:hAnsi="Arial" w:cs="Arial"/>
                <w:sz w:val="22"/>
                <w:szCs w:val="22"/>
              </w:rPr>
            </w:pPr>
            <w:proofErr w:type="spellStart"/>
            <w:r w:rsidRPr="00ED4EAF">
              <w:rPr>
                <w:rFonts w:ascii="Arial" w:eastAsia="Arial" w:hAnsi="Arial" w:cs="Arial"/>
                <w:sz w:val="22"/>
                <w:szCs w:val="22"/>
              </w:rPr>
              <w:t>Malmendier</w:t>
            </w:r>
            <w:proofErr w:type="spellEnd"/>
            <w:r w:rsidRPr="00ED4EAF">
              <w:rPr>
                <w:rFonts w:ascii="Arial" w:eastAsia="Arial" w:hAnsi="Arial" w:cs="Arial"/>
                <w:sz w:val="22"/>
                <w:szCs w:val="22"/>
              </w:rPr>
              <w:t xml:space="preserve"> </w:t>
            </w:r>
            <w:r w:rsidRPr="00ED4EAF">
              <w:rPr>
                <w:rFonts w:ascii="Arial" w:eastAsia="Arial" w:hAnsi="Arial" w:cs="Arial"/>
                <w:sz w:val="22"/>
                <w:szCs w:val="22"/>
                <w:lang w:val="vi-VN"/>
              </w:rPr>
              <w:t>and</w:t>
            </w:r>
            <w:r w:rsidRPr="00ED4EAF">
              <w:rPr>
                <w:rFonts w:ascii="Arial" w:eastAsia="Arial" w:hAnsi="Arial" w:cs="Arial"/>
                <w:sz w:val="22"/>
                <w:szCs w:val="22"/>
              </w:rPr>
              <w:t xml:space="preserve"> Tate (2005) </w:t>
            </w:r>
          </w:p>
          <w:p w:rsidR="0062587F" w:rsidRPr="00ED4EAF" w:rsidRDefault="0062587F" w:rsidP="00536FA1">
            <w:pPr>
              <w:jc w:val="center"/>
              <w:rPr>
                <w:rFonts w:ascii="Arial" w:eastAsia="Arial" w:hAnsi="Arial" w:cs="Arial"/>
                <w:sz w:val="22"/>
                <w:szCs w:val="22"/>
              </w:rPr>
            </w:pPr>
            <w:r w:rsidRPr="00ED4EAF">
              <w:rPr>
                <w:rFonts w:ascii="Arial" w:eastAsia="Arial" w:hAnsi="Arial" w:cs="Arial"/>
                <w:sz w:val="22"/>
                <w:szCs w:val="22"/>
              </w:rPr>
              <w:t>Glaser et al. (2008)</w:t>
            </w:r>
          </w:p>
        </w:tc>
      </w:tr>
      <w:tr w:rsidR="0062587F" w:rsidRPr="00ED4EAF" w:rsidTr="0062587F">
        <w:trPr>
          <w:jc w:val="center"/>
        </w:trPr>
        <w:tc>
          <w:tcPr>
            <w:tcW w:w="190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rPr>
              <w:lastRenderedPageBreak/>
              <w:t>Company size</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jc w:val="center"/>
              <w:rPr>
                <w:rFonts w:ascii="Arial" w:hAnsi="Arial" w:cs="Arial"/>
                <w:sz w:val="22"/>
                <w:szCs w:val="22"/>
              </w:rPr>
            </w:pPr>
            <w:r w:rsidRPr="00ED4EAF">
              <w:rPr>
                <w:rFonts w:ascii="Arial" w:eastAsia="Arial" w:hAnsi="Arial" w:cs="Arial"/>
                <w:sz w:val="22"/>
                <w:szCs w:val="22"/>
              </w:rPr>
              <w:t>SIZE</w:t>
            </w:r>
          </w:p>
        </w:tc>
        <w:tc>
          <w:tcPr>
            <w:tcW w:w="2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lang w:val="vi-VN"/>
              </w:rPr>
              <w:t>T</w:t>
            </w:r>
            <w:r w:rsidRPr="00ED4EAF">
              <w:rPr>
                <w:rFonts w:ascii="Arial" w:eastAsia="Arial" w:hAnsi="Arial" w:cs="Arial"/>
                <w:sz w:val="22"/>
                <w:szCs w:val="22"/>
              </w:rPr>
              <w:t>he natural log of total assets</w:t>
            </w:r>
          </w:p>
        </w:tc>
        <w:tc>
          <w:tcPr>
            <w:tcW w:w="3481" w:type="dxa"/>
            <w:tcBorders>
              <w:top w:val="single" w:sz="6" w:space="0" w:color="000000"/>
              <w:left w:val="single" w:sz="6" w:space="0" w:color="000000"/>
              <w:bottom w:val="single" w:sz="6" w:space="0" w:color="000000"/>
            </w:tcBorders>
          </w:tcPr>
          <w:p w:rsidR="0062587F" w:rsidRPr="00ED4EAF" w:rsidRDefault="0062587F" w:rsidP="00536FA1">
            <w:pPr>
              <w:jc w:val="center"/>
              <w:rPr>
                <w:rFonts w:ascii="Arial" w:eastAsia="Arial" w:hAnsi="Arial" w:cs="Arial"/>
                <w:sz w:val="22"/>
                <w:szCs w:val="22"/>
              </w:rPr>
            </w:pPr>
            <w:proofErr w:type="spellStart"/>
            <w:r w:rsidRPr="00ED4EAF">
              <w:rPr>
                <w:rFonts w:ascii="Arial" w:eastAsia="Arial" w:hAnsi="Arial" w:cs="Arial"/>
                <w:sz w:val="22"/>
                <w:szCs w:val="22"/>
              </w:rPr>
              <w:t>Deesomsak</w:t>
            </w:r>
            <w:proofErr w:type="spellEnd"/>
            <w:r w:rsidRPr="00ED4EAF">
              <w:rPr>
                <w:rFonts w:ascii="Arial" w:eastAsia="Arial" w:hAnsi="Arial" w:cs="Arial"/>
                <w:sz w:val="22"/>
                <w:szCs w:val="22"/>
              </w:rPr>
              <w:t xml:space="preserve"> </w:t>
            </w:r>
            <w:r w:rsidR="00C9143B" w:rsidRPr="00ED4EAF">
              <w:rPr>
                <w:rFonts w:ascii="Arial" w:eastAsia="Arial" w:hAnsi="Arial" w:cs="Arial"/>
                <w:sz w:val="22"/>
                <w:szCs w:val="22"/>
                <w:lang w:val="vi-VN"/>
              </w:rPr>
              <w:t xml:space="preserve">et al. </w:t>
            </w:r>
            <w:r w:rsidRPr="00ED4EAF">
              <w:rPr>
                <w:rFonts w:ascii="Arial" w:eastAsia="Arial" w:hAnsi="Arial" w:cs="Arial"/>
                <w:sz w:val="22"/>
                <w:szCs w:val="22"/>
              </w:rPr>
              <w:t>(2004),</w:t>
            </w:r>
          </w:p>
          <w:p w:rsidR="0062587F" w:rsidRPr="00ED4EAF" w:rsidRDefault="0062587F" w:rsidP="00536FA1">
            <w:pPr>
              <w:jc w:val="center"/>
              <w:rPr>
                <w:rFonts w:ascii="Arial" w:eastAsia="Arial" w:hAnsi="Arial" w:cs="Arial"/>
                <w:sz w:val="22"/>
                <w:szCs w:val="22"/>
              </w:rPr>
            </w:pPr>
            <w:r w:rsidRPr="00ED4EAF">
              <w:rPr>
                <w:rFonts w:ascii="Arial" w:eastAsia="Arial" w:hAnsi="Arial" w:cs="Arial"/>
                <w:sz w:val="22"/>
                <w:szCs w:val="22"/>
              </w:rPr>
              <w:t>Chen (2004)</w:t>
            </w:r>
          </w:p>
        </w:tc>
      </w:tr>
      <w:tr w:rsidR="0062587F" w:rsidRPr="00ED4EAF" w:rsidTr="0062587F">
        <w:trPr>
          <w:jc w:val="center"/>
        </w:trPr>
        <w:tc>
          <w:tcPr>
            <w:tcW w:w="190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rPr>
              <w:t>Profit</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jc w:val="center"/>
              <w:rPr>
                <w:rFonts w:ascii="Arial" w:hAnsi="Arial" w:cs="Arial"/>
                <w:sz w:val="22"/>
                <w:szCs w:val="22"/>
              </w:rPr>
            </w:pPr>
            <w:r w:rsidRPr="00ED4EAF">
              <w:rPr>
                <w:rFonts w:ascii="Arial" w:eastAsia="Arial" w:hAnsi="Arial" w:cs="Arial"/>
                <w:sz w:val="22"/>
                <w:szCs w:val="22"/>
              </w:rPr>
              <w:t>PROF</w:t>
            </w:r>
          </w:p>
        </w:tc>
        <w:tc>
          <w:tcPr>
            <w:tcW w:w="2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lang w:val="vi-VN"/>
              </w:rPr>
              <w:t>E</w:t>
            </w:r>
            <w:proofErr w:type="spellStart"/>
            <w:r w:rsidRPr="00ED4EAF">
              <w:rPr>
                <w:rFonts w:ascii="Arial" w:eastAsia="Arial" w:hAnsi="Arial" w:cs="Arial"/>
                <w:sz w:val="22"/>
                <w:szCs w:val="22"/>
              </w:rPr>
              <w:t>arnings</w:t>
            </w:r>
            <w:proofErr w:type="spellEnd"/>
            <w:r w:rsidRPr="00ED4EAF">
              <w:rPr>
                <w:rFonts w:ascii="Arial" w:eastAsia="Arial" w:hAnsi="Arial" w:cs="Arial"/>
                <w:sz w:val="22"/>
                <w:szCs w:val="22"/>
              </w:rPr>
              <w:t xml:space="preserve"> before tax, interest, </w:t>
            </w:r>
            <w:r w:rsidRPr="00ED4EAF">
              <w:rPr>
                <w:rFonts w:ascii="Arial" w:eastAsia="Arial" w:hAnsi="Arial" w:cs="Arial"/>
                <w:noProof/>
                <w:sz w:val="22"/>
                <w:szCs w:val="22"/>
              </w:rPr>
              <w:t>and</w:t>
            </w:r>
            <w:r w:rsidRPr="00ED4EAF">
              <w:rPr>
                <w:rFonts w:ascii="Arial" w:eastAsia="Arial" w:hAnsi="Arial" w:cs="Arial"/>
                <w:sz w:val="22"/>
                <w:szCs w:val="22"/>
              </w:rPr>
              <w:t xml:space="preserve"> depreciation to total assets ratio</w:t>
            </w:r>
          </w:p>
        </w:tc>
        <w:tc>
          <w:tcPr>
            <w:tcW w:w="3481" w:type="dxa"/>
            <w:tcBorders>
              <w:top w:val="single" w:sz="6" w:space="0" w:color="000000"/>
              <w:left w:val="single" w:sz="6" w:space="0" w:color="000000"/>
              <w:bottom w:val="single" w:sz="6" w:space="0" w:color="000000"/>
            </w:tcBorders>
          </w:tcPr>
          <w:p w:rsidR="0062587F" w:rsidRPr="00ED4EAF" w:rsidRDefault="0062587F" w:rsidP="00536FA1">
            <w:pPr>
              <w:jc w:val="center"/>
              <w:rPr>
                <w:rFonts w:ascii="Arial" w:eastAsia="Arial" w:hAnsi="Arial" w:cs="Arial"/>
                <w:sz w:val="22"/>
                <w:szCs w:val="22"/>
              </w:rPr>
            </w:pPr>
            <w:bookmarkStart w:id="79" w:name="OLE_LINK103"/>
            <w:bookmarkEnd w:id="79"/>
            <w:proofErr w:type="spellStart"/>
            <w:r w:rsidRPr="00ED4EAF">
              <w:rPr>
                <w:rFonts w:ascii="Arial" w:eastAsia="Arial" w:hAnsi="Arial" w:cs="Arial"/>
                <w:sz w:val="22"/>
                <w:szCs w:val="22"/>
              </w:rPr>
              <w:t>Deesomsak</w:t>
            </w:r>
            <w:proofErr w:type="spellEnd"/>
            <w:r w:rsidRPr="00ED4EAF">
              <w:rPr>
                <w:rFonts w:ascii="Arial" w:eastAsia="Arial" w:hAnsi="Arial" w:cs="Arial"/>
                <w:sz w:val="22"/>
                <w:szCs w:val="22"/>
              </w:rPr>
              <w:t xml:space="preserve"> </w:t>
            </w:r>
            <w:r w:rsidR="00C9143B" w:rsidRPr="00ED4EAF">
              <w:rPr>
                <w:rFonts w:ascii="Arial" w:eastAsia="Arial" w:hAnsi="Arial" w:cs="Arial"/>
                <w:sz w:val="22"/>
                <w:szCs w:val="22"/>
                <w:lang w:val="vi-VN"/>
              </w:rPr>
              <w:t xml:space="preserve">et al. </w:t>
            </w:r>
            <w:r w:rsidRPr="00ED4EAF">
              <w:rPr>
                <w:rFonts w:ascii="Arial" w:eastAsia="Arial" w:hAnsi="Arial" w:cs="Arial"/>
                <w:sz w:val="22"/>
                <w:szCs w:val="22"/>
              </w:rPr>
              <w:t>(2004),</w:t>
            </w:r>
          </w:p>
          <w:p w:rsidR="0062587F" w:rsidRPr="00ED4EAF" w:rsidRDefault="0062587F" w:rsidP="00536FA1">
            <w:pPr>
              <w:jc w:val="center"/>
              <w:rPr>
                <w:rFonts w:ascii="Arial" w:eastAsia="Arial" w:hAnsi="Arial" w:cs="Arial"/>
                <w:sz w:val="22"/>
                <w:szCs w:val="22"/>
              </w:rPr>
            </w:pPr>
            <w:r w:rsidRPr="00ED4EAF">
              <w:rPr>
                <w:rFonts w:ascii="Arial" w:eastAsia="Arial" w:hAnsi="Arial" w:cs="Arial"/>
                <w:sz w:val="22"/>
                <w:szCs w:val="22"/>
              </w:rPr>
              <w:t xml:space="preserve"> Chen (2004), Oliver (2005)</w:t>
            </w:r>
            <w:r w:rsidRPr="00ED4EAF">
              <w:rPr>
                <w:rFonts w:ascii="Arial" w:eastAsia="Arial" w:hAnsi="Arial" w:cs="Arial"/>
                <w:sz w:val="22"/>
                <w:szCs w:val="22"/>
                <w:lang w:val="vi-VN"/>
              </w:rPr>
              <w:t>,</w:t>
            </w:r>
            <w:r w:rsidRPr="00ED4EAF">
              <w:rPr>
                <w:rFonts w:ascii="Arial" w:eastAsia="Arial" w:hAnsi="Arial" w:cs="Arial"/>
                <w:sz w:val="22"/>
                <w:szCs w:val="22"/>
              </w:rPr>
              <w:t xml:space="preserve"> </w:t>
            </w:r>
          </w:p>
          <w:p w:rsidR="0062587F" w:rsidRPr="00ED4EAF" w:rsidRDefault="0062587F" w:rsidP="00536FA1">
            <w:pPr>
              <w:jc w:val="center"/>
              <w:rPr>
                <w:rFonts w:ascii="Arial" w:eastAsia="Arial" w:hAnsi="Arial" w:cs="Arial"/>
                <w:sz w:val="22"/>
                <w:szCs w:val="22"/>
              </w:rPr>
            </w:pPr>
            <w:proofErr w:type="spellStart"/>
            <w:r w:rsidRPr="00ED4EAF">
              <w:rPr>
                <w:rFonts w:ascii="Arial" w:eastAsia="Arial" w:hAnsi="Arial" w:cs="Arial"/>
                <w:sz w:val="22"/>
                <w:szCs w:val="22"/>
              </w:rPr>
              <w:t>Tomak</w:t>
            </w:r>
            <w:proofErr w:type="spellEnd"/>
            <w:r w:rsidRPr="00ED4EAF">
              <w:rPr>
                <w:rFonts w:ascii="Arial" w:eastAsia="Arial" w:hAnsi="Arial" w:cs="Arial"/>
                <w:sz w:val="22"/>
                <w:szCs w:val="22"/>
              </w:rPr>
              <w:t xml:space="preserve"> (2013)</w:t>
            </w:r>
          </w:p>
        </w:tc>
      </w:tr>
      <w:tr w:rsidR="0062587F" w:rsidRPr="00ED4EAF" w:rsidTr="0062587F">
        <w:trPr>
          <w:jc w:val="center"/>
        </w:trPr>
        <w:tc>
          <w:tcPr>
            <w:tcW w:w="190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rPr>
              <w:t>Growth opportunities</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jc w:val="center"/>
              <w:rPr>
                <w:rFonts w:ascii="Arial" w:hAnsi="Arial" w:cs="Arial"/>
                <w:sz w:val="22"/>
                <w:szCs w:val="22"/>
              </w:rPr>
            </w:pPr>
            <w:r w:rsidRPr="00ED4EAF">
              <w:rPr>
                <w:rFonts w:ascii="Arial" w:eastAsia="Arial" w:hAnsi="Arial" w:cs="Arial"/>
                <w:sz w:val="22"/>
                <w:szCs w:val="22"/>
              </w:rPr>
              <w:t>GROWTH</w:t>
            </w:r>
          </w:p>
        </w:tc>
        <w:tc>
          <w:tcPr>
            <w:tcW w:w="2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lang w:val="vi-VN"/>
              </w:rPr>
              <w:t>T</w:t>
            </w:r>
            <w:r w:rsidRPr="00ED4EAF">
              <w:rPr>
                <w:rFonts w:ascii="Arial" w:eastAsia="Arial" w:hAnsi="Arial" w:cs="Arial"/>
                <w:sz w:val="22"/>
                <w:szCs w:val="22"/>
              </w:rPr>
              <w:t xml:space="preserve">he percentage change in annual </w:t>
            </w:r>
            <w:r w:rsidR="008D767E" w:rsidRPr="00ED4EAF">
              <w:rPr>
                <w:rFonts w:ascii="Arial" w:eastAsia="Arial" w:hAnsi="Arial" w:cs="Arial"/>
                <w:sz w:val="22"/>
                <w:szCs w:val="22"/>
                <w:lang w:val="vi-VN"/>
              </w:rPr>
              <w:t>g</w:t>
            </w:r>
            <w:r w:rsidRPr="00ED4EAF">
              <w:rPr>
                <w:rFonts w:ascii="Arial" w:eastAsia="Arial" w:hAnsi="Arial" w:cs="Arial"/>
                <w:sz w:val="22"/>
                <w:szCs w:val="22"/>
              </w:rPr>
              <w:t xml:space="preserve">ross </w:t>
            </w:r>
            <w:r w:rsidR="008D767E" w:rsidRPr="00ED4EAF">
              <w:rPr>
                <w:rFonts w:ascii="Arial" w:eastAsia="Arial" w:hAnsi="Arial" w:cs="Arial"/>
                <w:sz w:val="22"/>
                <w:szCs w:val="22"/>
                <w:lang w:val="vi-VN"/>
              </w:rPr>
              <w:t>r</w:t>
            </w:r>
            <w:proofErr w:type="spellStart"/>
            <w:r w:rsidRPr="00ED4EAF">
              <w:rPr>
                <w:rFonts w:ascii="Arial" w:eastAsia="Arial" w:hAnsi="Arial" w:cs="Arial"/>
                <w:sz w:val="22"/>
                <w:szCs w:val="22"/>
              </w:rPr>
              <w:t>evenue</w:t>
            </w:r>
            <w:proofErr w:type="spellEnd"/>
          </w:p>
        </w:tc>
        <w:tc>
          <w:tcPr>
            <w:tcW w:w="3481" w:type="dxa"/>
            <w:tcBorders>
              <w:top w:val="single" w:sz="6" w:space="0" w:color="000000"/>
              <w:left w:val="single" w:sz="6" w:space="0" w:color="000000"/>
              <w:bottom w:val="single" w:sz="6" w:space="0" w:color="000000"/>
            </w:tcBorders>
          </w:tcPr>
          <w:p w:rsidR="0062587F" w:rsidRPr="00ED4EAF" w:rsidRDefault="0062587F" w:rsidP="00536FA1">
            <w:pPr>
              <w:jc w:val="center"/>
              <w:rPr>
                <w:rFonts w:ascii="Arial" w:eastAsia="Arial" w:hAnsi="Arial" w:cs="Arial"/>
                <w:sz w:val="22"/>
                <w:szCs w:val="22"/>
              </w:rPr>
            </w:pPr>
            <w:r w:rsidRPr="00ED4EAF">
              <w:rPr>
                <w:rFonts w:ascii="Arial" w:eastAsia="Arial" w:hAnsi="Arial" w:cs="Arial"/>
                <w:sz w:val="22"/>
                <w:szCs w:val="22"/>
              </w:rPr>
              <w:t xml:space="preserve">Titman and </w:t>
            </w:r>
            <w:proofErr w:type="spellStart"/>
            <w:r w:rsidRPr="00ED4EAF">
              <w:rPr>
                <w:rFonts w:ascii="Arial" w:eastAsia="Arial" w:hAnsi="Arial" w:cs="Arial"/>
                <w:sz w:val="22"/>
                <w:szCs w:val="22"/>
              </w:rPr>
              <w:t>Wessels</w:t>
            </w:r>
            <w:proofErr w:type="spellEnd"/>
            <w:r w:rsidRPr="00ED4EAF">
              <w:rPr>
                <w:rFonts w:ascii="Arial" w:eastAsia="Arial" w:hAnsi="Arial" w:cs="Arial"/>
                <w:sz w:val="22"/>
                <w:szCs w:val="22"/>
              </w:rPr>
              <w:t xml:space="preserve"> (1988),</w:t>
            </w:r>
          </w:p>
          <w:p w:rsidR="0062587F" w:rsidRPr="00ED4EAF" w:rsidRDefault="0062587F" w:rsidP="00536FA1">
            <w:pPr>
              <w:jc w:val="center"/>
              <w:rPr>
                <w:rFonts w:ascii="Arial" w:eastAsia="Arial" w:hAnsi="Arial" w:cs="Arial"/>
                <w:sz w:val="22"/>
                <w:szCs w:val="22"/>
              </w:rPr>
            </w:pPr>
            <w:proofErr w:type="spellStart"/>
            <w:r w:rsidRPr="00ED4EAF">
              <w:rPr>
                <w:rFonts w:ascii="Arial" w:eastAsia="Arial" w:hAnsi="Arial" w:cs="Arial"/>
                <w:sz w:val="22"/>
                <w:szCs w:val="22"/>
              </w:rPr>
              <w:t>Reimoo</w:t>
            </w:r>
            <w:proofErr w:type="spellEnd"/>
            <w:r w:rsidRPr="00ED4EAF">
              <w:rPr>
                <w:rFonts w:ascii="Arial" w:eastAsia="Arial" w:hAnsi="Arial" w:cs="Arial"/>
                <w:sz w:val="22"/>
                <w:szCs w:val="22"/>
              </w:rPr>
              <w:t xml:space="preserve"> (2008)</w:t>
            </w:r>
          </w:p>
        </w:tc>
      </w:tr>
      <w:tr w:rsidR="0062587F" w:rsidRPr="00ED4EAF" w:rsidTr="0062587F">
        <w:trPr>
          <w:jc w:val="center"/>
        </w:trPr>
        <w:tc>
          <w:tcPr>
            <w:tcW w:w="190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rPr>
              <w:t>Tangible assets</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jc w:val="center"/>
              <w:rPr>
                <w:rFonts w:ascii="Arial" w:hAnsi="Arial" w:cs="Arial"/>
                <w:sz w:val="22"/>
                <w:szCs w:val="22"/>
              </w:rPr>
            </w:pPr>
            <w:r w:rsidRPr="00ED4EAF">
              <w:rPr>
                <w:rFonts w:ascii="Arial" w:eastAsia="Arial" w:hAnsi="Arial" w:cs="Arial"/>
                <w:sz w:val="22"/>
                <w:szCs w:val="22"/>
              </w:rPr>
              <w:t>TANG</w:t>
            </w:r>
          </w:p>
        </w:tc>
        <w:tc>
          <w:tcPr>
            <w:tcW w:w="2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bookmarkStart w:id="80" w:name="OLE_LINK105"/>
            <w:bookmarkStart w:id="81" w:name="OLE_LINK106"/>
            <w:bookmarkEnd w:id="80"/>
            <w:bookmarkEnd w:id="81"/>
            <w:r w:rsidRPr="00ED4EAF">
              <w:rPr>
                <w:rFonts w:ascii="Arial" w:eastAsia="Arial" w:hAnsi="Arial" w:cs="Arial"/>
                <w:sz w:val="22"/>
                <w:szCs w:val="22"/>
                <w:lang w:val="vi-VN"/>
              </w:rPr>
              <w:t>T</w:t>
            </w:r>
            <w:proofErr w:type="spellStart"/>
            <w:r w:rsidRPr="00ED4EAF">
              <w:rPr>
                <w:rFonts w:ascii="Arial" w:eastAsia="Arial" w:hAnsi="Arial" w:cs="Arial"/>
                <w:sz w:val="22"/>
                <w:szCs w:val="22"/>
              </w:rPr>
              <w:t>angible</w:t>
            </w:r>
            <w:proofErr w:type="spellEnd"/>
            <w:r w:rsidRPr="00ED4EAF">
              <w:rPr>
                <w:rFonts w:ascii="Arial" w:eastAsia="Arial" w:hAnsi="Arial" w:cs="Arial"/>
                <w:sz w:val="22"/>
                <w:szCs w:val="22"/>
              </w:rPr>
              <w:t xml:space="preserve"> fixed assets to total assets ratio</w:t>
            </w:r>
          </w:p>
        </w:tc>
        <w:tc>
          <w:tcPr>
            <w:tcW w:w="3481" w:type="dxa"/>
            <w:tcBorders>
              <w:top w:val="single" w:sz="6" w:space="0" w:color="000000"/>
              <w:left w:val="single" w:sz="6" w:space="0" w:color="000000"/>
              <w:bottom w:val="single" w:sz="6" w:space="0" w:color="000000"/>
            </w:tcBorders>
          </w:tcPr>
          <w:p w:rsidR="006E13F0" w:rsidRPr="00ED4EAF" w:rsidRDefault="006E13F0" w:rsidP="00536FA1">
            <w:pPr>
              <w:jc w:val="center"/>
              <w:rPr>
                <w:rFonts w:ascii="Arial" w:eastAsia="Arial" w:hAnsi="Arial" w:cs="Arial"/>
                <w:sz w:val="22"/>
                <w:szCs w:val="22"/>
              </w:rPr>
            </w:pPr>
            <w:bookmarkStart w:id="82" w:name="OLE_LINK107"/>
            <w:bookmarkEnd w:id="82"/>
            <w:r w:rsidRPr="00ED4EAF">
              <w:rPr>
                <w:rFonts w:ascii="Arial" w:eastAsia="Arial" w:hAnsi="Arial" w:cs="Arial"/>
                <w:sz w:val="22"/>
                <w:szCs w:val="22"/>
              </w:rPr>
              <w:t>Oliver (2005), Huang (2006),</w:t>
            </w:r>
          </w:p>
          <w:p w:rsidR="0062587F" w:rsidRPr="00ED4EAF" w:rsidRDefault="006E13F0" w:rsidP="00536FA1">
            <w:pPr>
              <w:jc w:val="center"/>
              <w:rPr>
                <w:rFonts w:ascii="Arial" w:eastAsia="Arial" w:hAnsi="Arial" w:cs="Arial"/>
                <w:sz w:val="22"/>
                <w:szCs w:val="22"/>
              </w:rPr>
            </w:pPr>
            <w:r w:rsidRPr="00ED4EAF">
              <w:rPr>
                <w:rFonts w:ascii="Arial" w:eastAsia="Arial" w:hAnsi="Arial" w:cs="Arial"/>
                <w:sz w:val="22"/>
                <w:szCs w:val="22"/>
              </w:rPr>
              <w:t xml:space="preserve"> </w:t>
            </w:r>
            <w:proofErr w:type="spellStart"/>
            <w:r w:rsidRPr="00ED4EAF">
              <w:rPr>
                <w:rFonts w:ascii="Arial" w:eastAsia="Arial" w:hAnsi="Arial" w:cs="Arial"/>
                <w:sz w:val="22"/>
                <w:szCs w:val="22"/>
              </w:rPr>
              <w:t>Reimoo</w:t>
            </w:r>
            <w:proofErr w:type="spellEnd"/>
            <w:r w:rsidRPr="00ED4EAF">
              <w:rPr>
                <w:rFonts w:ascii="Arial" w:eastAsia="Arial" w:hAnsi="Arial" w:cs="Arial"/>
                <w:sz w:val="22"/>
                <w:szCs w:val="22"/>
              </w:rPr>
              <w:t xml:space="preserve"> (2008)</w:t>
            </w:r>
            <w:r w:rsidRPr="00ED4EAF">
              <w:rPr>
                <w:rFonts w:ascii="Arial" w:eastAsia="Arial" w:hAnsi="Arial" w:cs="Arial"/>
                <w:sz w:val="22"/>
                <w:szCs w:val="22"/>
                <w:lang w:val="vi-VN"/>
              </w:rPr>
              <w:t>,</w:t>
            </w:r>
            <w:r w:rsidRPr="00ED4EAF">
              <w:rPr>
                <w:rFonts w:ascii="Arial" w:eastAsia="Arial" w:hAnsi="Arial" w:cs="Arial"/>
                <w:sz w:val="22"/>
                <w:szCs w:val="22"/>
              </w:rPr>
              <w:t xml:space="preserve"> </w:t>
            </w:r>
            <w:proofErr w:type="spellStart"/>
            <w:r w:rsidRPr="00ED4EAF">
              <w:rPr>
                <w:rFonts w:ascii="Arial" w:eastAsia="Arial" w:hAnsi="Arial" w:cs="Arial"/>
                <w:sz w:val="22"/>
                <w:szCs w:val="22"/>
              </w:rPr>
              <w:t>Tomak</w:t>
            </w:r>
            <w:proofErr w:type="spellEnd"/>
            <w:r w:rsidRPr="00ED4EAF">
              <w:rPr>
                <w:rFonts w:ascii="Arial" w:eastAsia="Arial" w:hAnsi="Arial" w:cs="Arial"/>
                <w:sz w:val="22"/>
                <w:szCs w:val="22"/>
              </w:rPr>
              <w:t xml:space="preserve"> (2013)</w:t>
            </w:r>
          </w:p>
        </w:tc>
      </w:tr>
      <w:tr w:rsidR="006E13F0" w:rsidRPr="00ED4EAF" w:rsidTr="0062587F">
        <w:trPr>
          <w:jc w:val="center"/>
        </w:trPr>
        <w:tc>
          <w:tcPr>
            <w:tcW w:w="190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tcPr>
          <w:p w:rsidR="006E13F0" w:rsidRPr="00ED4EAF" w:rsidRDefault="006E13F0" w:rsidP="00536FA1">
            <w:pPr>
              <w:rPr>
                <w:rFonts w:ascii="Arial" w:hAnsi="Arial" w:cs="Arial"/>
                <w:sz w:val="22"/>
                <w:szCs w:val="22"/>
              </w:rPr>
            </w:pPr>
            <w:r w:rsidRPr="00ED4EAF">
              <w:rPr>
                <w:rFonts w:ascii="Arial" w:eastAsia="Arial" w:hAnsi="Arial" w:cs="Arial"/>
                <w:sz w:val="22"/>
                <w:szCs w:val="22"/>
              </w:rPr>
              <w:t>Product uniqueness</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13F0" w:rsidRPr="00ED4EAF" w:rsidRDefault="006E13F0" w:rsidP="00536FA1">
            <w:pPr>
              <w:jc w:val="center"/>
              <w:rPr>
                <w:rFonts w:ascii="Arial" w:hAnsi="Arial" w:cs="Arial"/>
                <w:sz w:val="22"/>
                <w:szCs w:val="22"/>
              </w:rPr>
            </w:pPr>
            <w:r w:rsidRPr="00ED4EAF">
              <w:rPr>
                <w:rFonts w:ascii="Arial" w:eastAsia="Arial" w:hAnsi="Arial" w:cs="Arial"/>
                <w:sz w:val="22"/>
                <w:szCs w:val="22"/>
              </w:rPr>
              <w:t>UNIQ</w:t>
            </w:r>
          </w:p>
        </w:tc>
        <w:tc>
          <w:tcPr>
            <w:tcW w:w="2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13F0" w:rsidRPr="00ED4EAF" w:rsidRDefault="006E13F0" w:rsidP="00536FA1">
            <w:pPr>
              <w:rPr>
                <w:rFonts w:ascii="Arial" w:hAnsi="Arial" w:cs="Arial"/>
                <w:sz w:val="22"/>
                <w:szCs w:val="22"/>
              </w:rPr>
            </w:pPr>
            <w:r w:rsidRPr="00ED4EAF">
              <w:rPr>
                <w:rFonts w:ascii="Arial" w:eastAsia="Arial" w:hAnsi="Arial" w:cs="Arial"/>
                <w:sz w:val="22"/>
                <w:szCs w:val="22"/>
              </w:rPr>
              <w:t xml:space="preserve">COGS </w:t>
            </w:r>
            <w:r w:rsidRPr="00ED4EAF">
              <w:rPr>
                <w:rFonts w:ascii="Arial" w:eastAsia="Arial" w:hAnsi="Arial" w:cs="Arial"/>
                <w:noProof/>
                <w:sz w:val="22"/>
                <w:szCs w:val="22"/>
              </w:rPr>
              <w:t>to</w:t>
            </w:r>
            <w:r w:rsidRPr="00ED4EAF">
              <w:rPr>
                <w:rFonts w:ascii="Arial" w:eastAsia="Arial" w:hAnsi="Arial" w:cs="Arial"/>
                <w:sz w:val="22"/>
                <w:szCs w:val="22"/>
              </w:rPr>
              <w:t xml:space="preserve"> net sales ratio</w:t>
            </w:r>
          </w:p>
        </w:tc>
        <w:tc>
          <w:tcPr>
            <w:tcW w:w="3481" w:type="dxa"/>
            <w:tcBorders>
              <w:top w:val="single" w:sz="6" w:space="0" w:color="000000"/>
              <w:left w:val="single" w:sz="6" w:space="0" w:color="000000"/>
              <w:bottom w:val="single" w:sz="6" w:space="0" w:color="000000"/>
            </w:tcBorders>
          </w:tcPr>
          <w:p w:rsidR="006E13F0" w:rsidRPr="00ED4EAF" w:rsidRDefault="006E13F0" w:rsidP="00536FA1">
            <w:pPr>
              <w:jc w:val="center"/>
              <w:rPr>
                <w:rFonts w:ascii="Arial" w:eastAsia="Arial" w:hAnsi="Arial" w:cs="Arial"/>
                <w:sz w:val="22"/>
                <w:szCs w:val="22"/>
              </w:rPr>
            </w:pPr>
            <w:r w:rsidRPr="00ED4EAF">
              <w:rPr>
                <w:rFonts w:ascii="Arial" w:eastAsia="Arial" w:hAnsi="Arial" w:cs="Arial"/>
                <w:sz w:val="22"/>
                <w:szCs w:val="22"/>
              </w:rPr>
              <w:t xml:space="preserve">Titman and </w:t>
            </w:r>
            <w:proofErr w:type="spellStart"/>
            <w:r w:rsidRPr="00ED4EAF">
              <w:rPr>
                <w:rFonts w:ascii="Arial" w:eastAsia="Arial" w:hAnsi="Arial" w:cs="Arial"/>
                <w:sz w:val="22"/>
                <w:szCs w:val="22"/>
              </w:rPr>
              <w:t>Wessels</w:t>
            </w:r>
            <w:proofErr w:type="spellEnd"/>
            <w:r w:rsidRPr="00ED4EAF">
              <w:rPr>
                <w:rFonts w:ascii="Arial" w:eastAsia="Arial" w:hAnsi="Arial" w:cs="Arial"/>
                <w:sz w:val="22"/>
                <w:szCs w:val="22"/>
              </w:rPr>
              <w:t xml:space="preserve"> (1988),</w:t>
            </w:r>
          </w:p>
          <w:p w:rsidR="006E13F0" w:rsidRPr="00ED4EAF" w:rsidRDefault="006E13F0" w:rsidP="00536FA1">
            <w:pPr>
              <w:jc w:val="center"/>
              <w:rPr>
                <w:rFonts w:ascii="Arial" w:eastAsia="Arial" w:hAnsi="Arial" w:cs="Arial"/>
                <w:sz w:val="22"/>
                <w:szCs w:val="22"/>
              </w:rPr>
            </w:pPr>
            <w:proofErr w:type="spellStart"/>
            <w:r w:rsidRPr="00ED4EAF">
              <w:rPr>
                <w:rFonts w:ascii="Arial" w:eastAsia="Arial" w:hAnsi="Arial" w:cs="Arial"/>
                <w:sz w:val="22"/>
                <w:szCs w:val="22"/>
              </w:rPr>
              <w:t>Reimoo</w:t>
            </w:r>
            <w:proofErr w:type="spellEnd"/>
            <w:r w:rsidRPr="00ED4EAF">
              <w:rPr>
                <w:rFonts w:ascii="Arial" w:eastAsia="Arial" w:hAnsi="Arial" w:cs="Arial"/>
                <w:sz w:val="22"/>
                <w:szCs w:val="22"/>
              </w:rPr>
              <w:t xml:space="preserve"> (2008)</w:t>
            </w:r>
          </w:p>
        </w:tc>
      </w:tr>
      <w:tr w:rsidR="0062587F" w:rsidRPr="00ED4EAF" w:rsidTr="0062587F">
        <w:trPr>
          <w:jc w:val="center"/>
        </w:trPr>
        <w:tc>
          <w:tcPr>
            <w:tcW w:w="190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hAnsi="Arial" w:cs="Arial"/>
                <w:sz w:val="22"/>
                <w:szCs w:val="22"/>
              </w:rPr>
              <w:t>Liquidity</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jc w:val="center"/>
              <w:rPr>
                <w:rFonts w:ascii="Arial" w:hAnsi="Arial" w:cs="Arial"/>
                <w:sz w:val="22"/>
                <w:szCs w:val="22"/>
              </w:rPr>
            </w:pPr>
            <w:r w:rsidRPr="00ED4EAF">
              <w:rPr>
                <w:rFonts w:ascii="Arial" w:eastAsia="Arial" w:hAnsi="Arial" w:cs="Arial"/>
                <w:sz w:val="22"/>
                <w:szCs w:val="22"/>
              </w:rPr>
              <w:t>LIQ</w:t>
            </w:r>
          </w:p>
        </w:tc>
        <w:tc>
          <w:tcPr>
            <w:tcW w:w="2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lang w:val="vi-VN"/>
              </w:rPr>
              <w:t>C</w:t>
            </w:r>
            <w:proofErr w:type="spellStart"/>
            <w:r w:rsidRPr="00ED4EAF">
              <w:rPr>
                <w:rFonts w:ascii="Arial" w:eastAsia="Arial" w:hAnsi="Arial" w:cs="Arial"/>
                <w:sz w:val="22"/>
                <w:szCs w:val="22"/>
              </w:rPr>
              <w:t>urrent</w:t>
            </w:r>
            <w:proofErr w:type="spellEnd"/>
            <w:r w:rsidRPr="00ED4EAF">
              <w:rPr>
                <w:rFonts w:ascii="Arial" w:eastAsia="Arial" w:hAnsi="Arial" w:cs="Arial"/>
                <w:sz w:val="22"/>
                <w:szCs w:val="22"/>
              </w:rPr>
              <w:t xml:space="preserve"> assets to current liabilities ratio</w:t>
            </w:r>
          </w:p>
        </w:tc>
        <w:tc>
          <w:tcPr>
            <w:tcW w:w="3481" w:type="dxa"/>
            <w:tcBorders>
              <w:top w:val="single" w:sz="6" w:space="0" w:color="000000"/>
              <w:left w:val="single" w:sz="6" w:space="0" w:color="000000"/>
              <w:bottom w:val="single" w:sz="6" w:space="0" w:color="000000"/>
            </w:tcBorders>
          </w:tcPr>
          <w:p w:rsidR="006E13F0" w:rsidRPr="00ED4EAF" w:rsidRDefault="006E13F0" w:rsidP="00536FA1">
            <w:pPr>
              <w:jc w:val="center"/>
              <w:rPr>
                <w:rFonts w:ascii="Arial" w:eastAsia="Arial" w:hAnsi="Arial" w:cs="Arial"/>
                <w:sz w:val="22"/>
                <w:szCs w:val="22"/>
              </w:rPr>
            </w:pPr>
            <w:proofErr w:type="spellStart"/>
            <w:r w:rsidRPr="00ED4EAF">
              <w:rPr>
                <w:rFonts w:ascii="Arial" w:eastAsia="Arial" w:hAnsi="Arial" w:cs="Arial"/>
                <w:sz w:val="22"/>
                <w:szCs w:val="22"/>
              </w:rPr>
              <w:t>Deesomsak</w:t>
            </w:r>
            <w:proofErr w:type="spellEnd"/>
            <w:r w:rsidRPr="00ED4EAF">
              <w:rPr>
                <w:rFonts w:ascii="Arial" w:eastAsia="Arial" w:hAnsi="Arial" w:cs="Arial"/>
                <w:sz w:val="22"/>
                <w:szCs w:val="22"/>
              </w:rPr>
              <w:t xml:space="preserve"> </w:t>
            </w:r>
            <w:r w:rsidR="00C9143B" w:rsidRPr="00ED4EAF">
              <w:rPr>
                <w:rFonts w:ascii="Arial" w:eastAsia="Arial" w:hAnsi="Arial" w:cs="Arial"/>
                <w:sz w:val="22"/>
                <w:szCs w:val="22"/>
                <w:lang w:val="vi-VN"/>
              </w:rPr>
              <w:t xml:space="preserve">et al. </w:t>
            </w:r>
            <w:r w:rsidRPr="00ED4EAF">
              <w:rPr>
                <w:rFonts w:ascii="Arial" w:eastAsia="Arial" w:hAnsi="Arial" w:cs="Arial"/>
                <w:sz w:val="22"/>
                <w:szCs w:val="22"/>
              </w:rPr>
              <w:t>(2004),</w:t>
            </w:r>
          </w:p>
          <w:p w:rsidR="0062587F" w:rsidRPr="00ED4EAF" w:rsidRDefault="006E13F0" w:rsidP="00536FA1">
            <w:pPr>
              <w:jc w:val="center"/>
              <w:rPr>
                <w:rFonts w:ascii="Arial" w:eastAsia="Arial" w:hAnsi="Arial" w:cs="Arial"/>
                <w:sz w:val="22"/>
                <w:szCs w:val="22"/>
              </w:rPr>
            </w:pPr>
            <w:proofErr w:type="spellStart"/>
            <w:r w:rsidRPr="00ED4EAF">
              <w:rPr>
                <w:rFonts w:ascii="Arial" w:eastAsia="Arial" w:hAnsi="Arial" w:cs="Arial"/>
                <w:sz w:val="22"/>
                <w:szCs w:val="22"/>
              </w:rPr>
              <w:t>Reimoo</w:t>
            </w:r>
            <w:proofErr w:type="spellEnd"/>
            <w:r w:rsidRPr="00ED4EAF">
              <w:rPr>
                <w:rFonts w:ascii="Arial" w:eastAsia="Arial" w:hAnsi="Arial" w:cs="Arial"/>
                <w:sz w:val="22"/>
                <w:szCs w:val="22"/>
              </w:rPr>
              <w:t xml:space="preserve"> (2008)</w:t>
            </w:r>
          </w:p>
        </w:tc>
      </w:tr>
      <w:tr w:rsidR="0062587F" w:rsidRPr="00ED4EAF" w:rsidTr="0062587F">
        <w:trPr>
          <w:jc w:val="center"/>
        </w:trPr>
        <w:tc>
          <w:tcPr>
            <w:tcW w:w="190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rPr>
              <w:t>Non-debt tax shield</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jc w:val="center"/>
              <w:rPr>
                <w:rFonts w:ascii="Arial" w:hAnsi="Arial" w:cs="Arial"/>
                <w:sz w:val="22"/>
                <w:szCs w:val="22"/>
              </w:rPr>
            </w:pPr>
            <w:r w:rsidRPr="00ED4EAF">
              <w:rPr>
                <w:rFonts w:ascii="Arial" w:eastAsia="Arial" w:hAnsi="Arial" w:cs="Arial"/>
                <w:sz w:val="22"/>
                <w:szCs w:val="22"/>
              </w:rPr>
              <w:t>NDTS</w:t>
            </w:r>
          </w:p>
        </w:tc>
        <w:tc>
          <w:tcPr>
            <w:tcW w:w="2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lang w:val="vi-VN"/>
              </w:rPr>
              <w:t>D</w:t>
            </w:r>
            <w:proofErr w:type="spellStart"/>
            <w:r w:rsidRPr="00ED4EAF">
              <w:rPr>
                <w:rFonts w:ascii="Arial" w:eastAsia="Arial" w:hAnsi="Arial" w:cs="Arial"/>
                <w:sz w:val="22"/>
                <w:szCs w:val="22"/>
              </w:rPr>
              <w:t>epreciation</w:t>
            </w:r>
            <w:proofErr w:type="spellEnd"/>
            <w:r w:rsidRPr="00ED4EAF">
              <w:rPr>
                <w:rFonts w:ascii="Arial" w:eastAsia="Arial" w:hAnsi="Arial" w:cs="Arial"/>
                <w:sz w:val="22"/>
                <w:szCs w:val="22"/>
              </w:rPr>
              <w:t xml:space="preserve"> of fixed assets to total assets ratio</w:t>
            </w:r>
          </w:p>
        </w:tc>
        <w:tc>
          <w:tcPr>
            <w:tcW w:w="3481" w:type="dxa"/>
            <w:tcBorders>
              <w:top w:val="single" w:sz="6" w:space="0" w:color="000000"/>
              <w:left w:val="single" w:sz="6" w:space="0" w:color="000000"/>
              <w:bottom w:val="single" w:sz="6" w:space="0" w:color="000000"/>
            </w:tcBorders>
          </w:tcPr>
          <w:p w:rsidR="006E13F0" w:rsidRPr="00ED4EAF" w:rsidRDefault="006E13F0" w:rsidP="00536FA1">
            <w:pPr>
              <w:jc w:val="center"/>
              <w:rPr>
                <w:rFonts w:ascii="Arial" w:eastAsia="Arial" w:hAnsi="Arial" w:cs="Arial"/>
                <w:sz w:val="22"/>
                <w:szCs w:val="22"/>
              </w:rPr>
            </w:pPr>
            <w:proofErr w:type="spellStart"/>
            <w:r w:rsidRPr="00ED4EAF">
              <w:rPr>
                <w:rFonts w:ascii="Arial" w:eastAsia="Arial" w:hAnsi="Arial" w:cs="Arial"/>
                <w:sz w:val="22"/>
                <w:szCs w:val="22"/>
              </w:rPr>
              <w:t>Chaplinsky</w:t>
            </w:r>
            <w:proofErr w:type="spellEnd"/>
            <w:r w:rsidRPr="00ED4EAF">
              <w:rPr>
                <w:rFonts w:ascii="Arial" w:eastAsia="Arial" w:hAnsi="Arial" w:cs="Arial"/>
                <w:sz w:val="22"/>
                <w:szCs w:val="22"/>
              </w:rPr>
              <w:t xml:space="preserve"> </w:t>
            </w:r>
            <w:r w:rsidRPr="00ED4EAF">
              <w:rPr>
                <w:rFonts w:ascii="Arial" w:eastAsia="Arial" w:hAnsi="Arial" w:cs="Arial"/>
                <w:sz w:val="22"/>
                <w:szCs w:val="22"/>
                <w:lang w:val="vi-VN"/>
              </w:rPr>
              <w:t>and</w:t>
            </w:r>
            <w:r w:rsidRPr="00ED4EAF">
              <w:rPr>
                <w:rFonts w:ascii="Arial" w:eastAsia="Arial" w:hAnsi="Arial" w:cs="Arial"/>
                <w:sz w:val="22"/>
                <w:szCs w:val="22"/>
              </w:rPr>
              <w:t xml:space="preserve"> </w:t>
            </w:r>
            <w:proofErr w:type="spellStart"/>
            <w:r w:rsidRPr="00ED4EAF">
              <w:rPr>
                <w:rFonts w:ascii="Arial" w:eastAsia="Arial" w:hAnsi="Arial" w:cs="Arial"/>
                <w:sz w:val="22"/>
                <w:szCs w:val="22"/>
              </w:rPr>
              <w:t>Niehaus</w:t>
            </w:r>
            <w:proofErr w:type="spellEnd"/>
            <w:r w:rsidRPr="00ED4EAF">
              <w:rPr>
                <w:rFonts w:ascii="Arial" w:eastAsia="Arial" w:hAnsi="Arial" w:cs="Arial"/>
                <w:sz w:val="22"/>
                <w:szCs w:val="22"/>
              </w:rPr>
              <w:t xml:space="preserve"> (1993),</w:t>
            </w:r>
          </w:p>
          <w:p w:rsidR="00C9143B" w:rsidRPr="00ED4EAF" w:rsidRDefault="006E13F0" w:rsidP="00536FA1">
            <w:pPr>
              <w:jc w:val="center"/>
              <w:rPr>
                <w:rFonts w:ascii="Arial" w:eastAsia="Arial" w:hAnsi="Arial" w:cs="Arial"/>
                <w:sz w:val="22"/>
                <w:szCs w:val="22"/>
                <w:lang w:val="vi-VN"/>
              </w:rPr>
            </w:pPr>
            <w:proofErr w:type="spellStart"/>
            <w:r w:rsidRPr="00ED4EAF">
              <w:rPr>
                <w:rFonts w:ascii="Arial" w:eastAsia="Arial" w:hAnsi="Arial" w:cs="Arial"/>
                <w:sz w:val="22"/>
                <w:szCs w:val="22"/>
              </w:rPr>
              <w:t>Deesomsak</w:t>
            </w:r>
            <w:proofErr w:type="spellEnd"/>
            <w:r w:rsidRPr="00ED4EAF">
              <w:rPr>
                <w:rFonts w:ascii="Arial" w:eastAsia="Arial" w:hAnsi="Arial" w:cs="Arial"/>
                <w:sz w:val="22"/>
                <w:szCs w:val="22"/>
              </w:rPr>
              <w:t xml:space="preserve"> </w:t>
            </w:r>
            <w:r w:rsidR="00C9143B" w:rsidRPr="00ED4EAF">
              <w:rPr>
                <w:rFonts w:ascii="Arial" w:eastAsia="Arial" w:hAnsi="Arial" w:cs="Arial"/>
                <w:sz w:val="22"/>
                <w:szCs w:val="22"/>
                <w:lang w:val="vi-VN"/>
              </w:rPr>
              <w:t xml:space="preserve">et al. </w:t>
            </w:r>
            <w:r w:rsidRPr="00ED4EAF">
              <w:rPr>
                <w:rFonts w:ascii="Arial" w:eastAsia="Arial" w:hAnsi="Arial" w:cs="Arial"/>
                <w:sz w:val="22"/>
                <w:szCs w:val="22"/>
              </w:rPr>
              <w:t>(2004)</w:t>
            </w:r>
            <w:r w:rsidRPr="00ED4EAF">
              <w:rPr>
                <w:rFonts w:ascii="Arial" w:eastAsia="Arial" w:hAnsi="Arial" w:cs="Arial"/>
                <w:sz w:val="22"/>
                <w:szCs w:val="22"/>
                <w:lang w:val="vi-VN"/>
              </w:rPr>
              <w:t xml:space="preserve">, </w:t>
            </w:r>
          </w:p>
          <w:p w:rsidR="0062587F" w:rsidRPr="00ED4EAF" w:rsidRDefault="006E13F0" w:rsidP="00536FA1">
            <w:pPr>
              <w:jc w:val="center"/>
              <w:rPr>
                <w:rFonts w:ascii="Arial" w:eastAsia="Arial" w:hAnsi="Arial" w:cs="Arial"/>
                <w:sz w:val="22"/>
                <w:szCs w:val="22"/>
              </w:rPr>
            </w:pPr>
            <w:r w:rsidRPr="00ED4EAF">
              <w:rPr>
                <w:rFonts w:ascii="Arial" w:eastAsia="Arial" w:hAnsi="Arial" w:cs="Arial"/>
                <w:sz w:val="22"/>
                <w:szCs w:val="22"/>
              </w:rPr>
              <w:t>Chen (2004)</w:t>
            </w:r>
          </w:p>
        </w:tc>
      </w:tr>
      <w:tr w:rsidR="0062587F" w:rsidRPr="00ED4EAF" w:rsidTr="0062587F">
        <w:trPr>
          <w:jc w:val="center"/>
        </w:trPr>
        <w:tc>
          <w:tcPr>
            <w:tcW w:w="190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rPr>
              <w:t>State ownership</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jc w:val="center"/>
              <w:rPr>
                <w:rFonts w:ascii="Arial" w:hAnsi="Arial" w:cs="Arial"/>
                <w:sz w:val="22"/>
                <w:szCs w:val="22"/>
              </w:rPr>
            </w:pPr>
            <w:r w:rsidRPr="00ED4EAF">
              <w:rPr>
                <w:rFonts w:ascii="Arial" w:eastAsia="Arial" w:hAnsi="Arial" w:cs="Arial"/>
                <w:sz w:val="22"/>
                <w:szCs w:val="22"/>
              </w:rPr>
              <w:t>SO</w:t>
            </w:r>
          </w:p>
        </w:tc>
        <w:tc>
          <w:tcPr>
            <w:tcW w:w="2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587F" w:rsidRPr="00ED4EAF" w:rsidRDefault="0062587F" w:rsidP="00536FA1">
            <w:pPr>
              <w:rPr>
                <w:rFonts w:ascii="Arial" w:hAnsi="Arial" w:cs="Arial"/>
                <w:sz w:val="22"/>
                <w:szCs w:val="22"/>
              </w:rPr>
            </w:pPr>
            <w:r w:rsidRPr="00ED4EAF">
              <w:rPr>
                <w:rFonts w:ascii="Arial" w:eastAsia="Arial" w:hAnsi="Arial" w:cs="Arial"/>
                <w:sz w:val="22"/>
                <w:szCs w:val="22"/>
              </w:rPr>
              <w:t>SO = 1</w:t>
            </w:r>
            <w:r w:rsidRPr="00ED4EAF">
              <w:rPr>
                <w:rFonts w:ascii="Arial" w:eastAsia="Arial" w:hAnsi="Arial" w:cs="Arial"/>
                <w:sz w:val="22"/>
                <w:szCs w:val="22"/>
                <w:lang w:val="vi-VN"/>
              </w:rPr>
              <w:t xml:space="preserve"> (state ownership &gt; 50%)</w:t>
            </w:r>
            <w:r w:rsidRPr="00ED4EAF">
              <w:rPr>
                <w:rFonts w:ascii="Arial" w:eastAsia="Arial" w:hAnsi="Arial" w:cs="Arial"/>
                <w:sz w:val="22"/>
                <w:szCs w:val="22"/>
              </w:rPr>
              <w:t>, representing state-owned company;</w:t>
            </w:r>
          </w:p>
          <w:p w:rsidR="0062587F" w:rsidRPr="00ED4EAF" w:rsidRDefault="0062587F" w:rsidP="00536FA1">
            <w:pPr>
              <w:rPr>
                <w:rFonts w:ascii="Arial" w:hAnsi="Arial" w:cs="Arial"/>
                <w:sz w:val="22"/>
                <w:szCs w:val="22"/>
                <w:lang w:val="vi-VN"/>
              </w:rPr>
            </w:pPr>
            <w:r w:rsidRPr="00ED4EAF">
              <w:rPr>
                <w:rFonts w:ascii="Arial" w:eastAsia="Arial" w:hAnsi="Arial" w:cs="Arial"/>
                <w:sz w:val="22"/>
                <w:szCs w:val="22"/>
              </w:rPr>
              <w:t xml:space="preserve">SO = 0, representing </w:t>
            </w:r>
            <w:r w:rsidRPr="00ED4EAF">
              <w:rPr>
                <w:rFonts w:ascii="Arial" w:eastAsia="Arial" w:hAnsi="Arial" w:cs="Arial"/>
                <w:noProof/>
                <w:sz w:val="22"/>
                <w:szCs w:val="22"/>
              </w:rPr>
              <w:t>non</w:t>
            </w:r>
            <w:r w:rsidRPr="00ED4EAF">
              <w:rPr>
                <w:rFonts w:ascii="Arial" w:eastAsia="Arial" w:hAnsi="Arial" w:cs="Arial"/>
                <w:sz w:val="22"/>
                <w:szCs w:val="22"/>
              </w:rPr>
              <w:t xml:space="preserve"> state-owned company.</w:t>
            </w:r>
          </w:p>
        </w:tc>
        <w:tc>
          <w:tcPr>
            <w:tcW w:w="3481" w:type="dxa"/>
            <w:tcBorders>
              <w:top w:val="single" w:sz="6" w:space="0" w:color="000000"/>
              <w:left w:val="single" w:sz="6" w:space="0" w:color="000000"/>
              <w:bottom w:val="single" w:sz="6" w:space="0" w:color="000000"/>
            </w:tcBorders>
          </w:tcPr>
          <w:p w:rsidR="00464BA2" w:rsidRPr="00ED4EAF" w:rsidRDefault="006E13F0" w:rsidP="00536FA1">
            <w:pPr>
              <w:jc w:val="center"/>
              <w:rPr>
                <w:rFonts w:ascii="Arial" w:hAnsi="Arial" w:cs="Arial"/>
                <w:sz w:val="22"/>
                <w:szCs w:val="22"/>
              </w:rPr>
            </w:pPr>
            <w:r w:rsidRPr="00ED4EAF">
              <w:rPr>
                <w:rFonts w:ascii="Arial" w:eastAsia="Arial" w:hAnsi="Arial" w:cs="Arial"/>
                <w:sz w:val="22"/>
                <w:szCs w:val="22"/>
                <w:lang w:val="vi-VN"/>
              </w:rPr>
              <w:t xml:space="preserve">Follow </w:t>
            </w:r>
            <w:proofErr w:type="spellStart"/>
            <w:r w:rsidRPr="00ED4EAF">
              <w:rPr>
                <w:rFonts w:ascii="Arial" w:eastAsia="Arial" w:hAnsi="Arial" w:cs="Arial"/>
                <w:sz w:val="22"/>
                <w:szCs w:val="22"/>
              </w:rPr>
              <w:t>Zou</w:t>
            </w:r>
            <w:proofErr w:type="spellEnd"/>
            <w:r w:rsidRPr="00ED4EAF">
              <w:rPr>
                <w:rFonts w:ascii="Arial" w:eastAsia="Arial" w:hAnsi="Arial" w:cs="Arial"/>
                <w:sz w:val="22"/>
                <w:szCs w:val="22"/>
              </w:rPr>
              <w:t xml:space="preserve"> </w:t>
            </w:r>
            <w:r w:rsidRPr="00ED4EAF">
              <w:rPr>
                <w:rFonts w:ascii="Arial" w:eastAsia="Arial" w:hAnsi="Arial" w:cs="Arial"/>
                <w:sz w:val="22"/>
                <w:szCs w:val="22"/>
                <w:lang w:val="vi-VN"/>
              </w:rPr>
              <w:t>and</w:t>
            </w:r>
            <w:r w:rsidRPr="00ED4EAF">
              <w:rPr>
                <w:rFonts w:ascii="Arial" w:eastAsia="Arial" w:hAnsi="Arial" w:cs="Arial"/>
                <w:sz w:val="22"/>
                <w:szCs w:val="22"/>
              </w:rPr>
              <w:t xml:space="preserve"> Xiao (2006),</w:t>
            </w:r>
            <w:r w:rsidRPr="00ED4EAF">
              <w:rPr>
                <w:rFonts w:ascii="Arial" w:hAnsi="Arial" w:cs="Arial"/>
                <w:sz w:val="22"/>
                <w:szCs w:val="22"/>
              </w:rPr>
              <w:t xml:space="preserve"> </w:t>
            </w:r>
          </w:p>
          <w:p w:rsidR="0062587F" w:rsidRPr="00ED4EAF" w:rsidRDefault="006E13F0" w:rsidP="00536FA1">
            <w:pPr>
              <w:jc w:val="center"/>
              <w:rPr>
                <w:rFonts w:ascii="Arial" w:eastAsia="Arial" w:hAnsi="Arial" w:cs="Arial"/>
                <w:sz w:val="22"/>
                <w:szCs w:val="22"/>
              </w:rPr>
            </w:pPr>
            <w:r w:rsidRPr="00ED4EAF">
              <w:rPr>
                <w:rFonts w:ascii="Arial" w:eastAsia="Arial" w:hAnsi="Arial" w:cs="Arial"/>
                <w:sz w:val="22"/>
                <w:szCs w:val="22"/>
              </w:rPr>
              <w:t>Li et al</w:t>
            </w:r>
            <w:r w:rsidRPr="00ED4EAF">
              <w:rPr>
                <w:rFonts w:ascii="Arial" w:eastAsia="Arial" w:hAnsi="Arial" w:cs="Arial"/>
                <w:sz w:val="22"/>
                <w:szCs w:val="22"/>
                <w:lang w:val="vi-VN"/>
              </w:rPr>
              <w:t>.</w:t>
            </w:r>
            <w:r w:rsidRPr="00ED4EAF">
              <w:rPr>
                <w:rFonts w:ascii="Arial" w:eastAsia="Arial" w:hAnsi="Arial" w:cs="Arial"/>
                <w:sz w:val="22"/>
                <w:szCs w:val="22"/>
              </w:rPr>
              <w:t xml:space="preserve"> (20</w:t>
            </w:r>
            <w:r w:rsidR="00464BA2" w:rsidRPr="00ED4EAF">
              <w:rPr>
                <w:rFonts w:ascii="Arial" w:eastAsia="Arial" w:hAnsi="Arial" w:cs="Arial"/>
                <w:sz w:val="22"/>
                <w:szCs w:val="22"/>
                <w:lang w:val="vi-VN"/>
              </w:rPr>
              <w:t>09</w:t>
            </w:r>
            <w:r w:rsidRPr="00ED4EAF">
              <w:rPr>
                <w:rFonts w:ascii="Arial" w:eastAsia="Arial" w:hAnsi="Arial" w:cs="Arial"/>
                <w:sz w:val="22"/>
                <w:szCs w:val="22"/>
              </w:rPr>
              <w:t>)</w:t>
            </w:r>
          </w:p>
        </w:tc>
      </w:tr>
    </w:tbl>
    <w:p w:rsidR="00040DF9" w:rsidRPr="00ED4EAF" w:rsidRDefault="00040DF9" w:rsidP="00536FA1">
      <w:pPr>
        <w:rPr>
          <w:sz w:val="22"/>
          <w:szCs w:val="22"/>
        </w:rPr>
      </w:pPr>
    </w:p>
    <w:p w:rsidR="00040DF9" w:rsidRPr="00ED4EAF" w:rsidRDefault="00040DF9" w:rsidP="00536FA1">
      <w:pPr>
        <w:rPr>
          <w:sz w:val="22"/>
          <w:szCs w:val="22"/>
        </w:rPr>
      </w:pPr>
      <w:r w:rsidRPr="00ED4EAF">
        <w:rPr>
          <w:sz w:val="22"/>
          <w:szCs w:val="22"/>
        </w:rPr>
        <w:br w:type="page"/>
      </w:r>
    </w:p>
    <w:p w:rsidR="00A67E92" w:rsidRPr="00ED4EAF" w:rsidRDefault="00A67E92" w:rsidP="00536FA1">
      <w:pPr>
        <w:jc w:val="both"/>
        <w:rPr>
          <w:rFonts w:ascii="Arial" w:hAnsi="Arial" w:cs="Arial"/>
          <w:i/>
          <w:iCs/>
          <w:sz w:val="22"/>
          <w:szCs w:val="22"/>
        </w:rPr>
      </w:pPr>
      <w:bookmarkStart w:id="83" w:name="_Toc496645251"/>
      <w:r w:rsidRPr="00ED4EAF">
        <w:rPr>
          <w:rFonts w:ascii="Arial" w:eastAsia="Arial" w:hAnsi="Arial" w:cs="Arial"/>
          <w:i/>
          <w:iCs/>
          <w:sz w:val="22"/>
          <w:szCs w:val="22"/>
          <w:lang w:val="vi-VN"/>
        </w:rPr>
        <w:lastRenderedPageBreak/>
        <w:t xml:space="preserve">APPENDIX 2: </w:t>
      </w:r>
      <w:r w:rsidRPr="00ED4EAF">
        <w:rPr>
          <w:rFonts w:ascii="Arial" w:eastAsia="Arial" w:hAnsi="Arial" w:cs="Arial"/>
          <w:i/>
          <w:iCs/>
          <w:sz w:val="22"/>
          <w:szCs w:val="22"/>
        </w:rPr>
        <w:t>t-test results</w:t>
      </w:r>
      <w:bookmarkEnd w:id="83"/>
    </w:p>
    <w:tbl>
      <w:tblPr>
        <w:tblW w:w="9445" w:type="dxa"/>
        <w:jc w:val="center"/>
        <w:tblCellMar>
          <w:left w:w="0" w:type="dxa"/>
          <w:right w:w="0" w:type="dxa"/>
        </w:tblCellMar>
        <w:tblLook w:val="0000" w:firstRow="0" w:lastRow="0" w:firstColumn="0" w:lastColumn="0" w:noHBand="0" w:noVBand="0"/>
      </w:tblPr>
      <w:tblGrid>
        <w:gridCol w:w="1320"/>
        <w:gridCol w:w="278"/>
        <w:gridCol w:w="1129"/>
        <w:gridCol w:w="1129"/>
        <w:gridCol w:w="278"/>
        <w:gridCol w:w="1605"/>
        <w:gridCol w:w="1683"/>
        <w:gridCol w:w="1740"/>
        <w:gridCol w:w="283"/>
      </w:tblGrid>
      <w:tr w:rsidR="00A67E92" w:rsidRPr="00ED4EAF" w:rsidTr="00A67E92">
        <w:trPr>
          <w:trHeight w:val="525"/>
          <w:jc w:val="center"/>
        </w:trPr>
        <w:tc>
          <w:tcPr>
            <w:tcW w:w="1320" w:type="dxa"/>
            <w:vMerge w:val="restart"/>
            <w:tcBorders>
              <w:right w:val="single" w:sz="12"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Variable</w:t>
            </w:r>
          </w:p>
        </w:tc>
        <w:tc>
          <w:tcPr>
            <w:tcW w:w="278" w:type="dxa"/>
            <w:tcBorders>
              <w:left w:val="single" w:sz="12"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 </w:t>
            </w:r>
          </w:p>
        </w:tc>
        <w:tc>
          <w:tcPr>
            <w:tcW w:w="2258" w:type="dxa"/>
            <w:gridSpan w:val="2"/>
            <w:tcBorders>
              <w:bottom w:val="single" w:sz="8"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Mean value in the sample</w:t>
            </w:r>
          </w:p>
        </w:tc>
        <w:tc>
          <w:tcPr>
            <w:tcW w:w="278"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 </w:t>
            </w:r>
          </w:p>
        </w:tc>
        <w:tc>
          <w:tcPr>
            <w:tcW w:w="5028" w:type="dxa"/>
            <w:gridSpan w:val="3"/>
            <w:tcBorders>
              <w:bottom w:val="single" w:sz="8"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Hypothesis testing results</w:t>
            </w:r>
          </w:p>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Diff = mean (0) - mean (1)</w:t>
            </w:r>
          </w:p>
        </w:tc>
        <w:tc>
          <w:tcPr>
            <w:tcW w:w="283" w:type="dxa"/>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r>
      <w:tr w:rsidR="00A67E92" w:rsidRPr="00ED4EAF" w:rsidTr="00A67E92">
        <w:trPr>
          <w:trHeight w:val="525"/>
          <w:jc w:val="center"/>
        </w:trPr>
        <w:tc>
          <w:tcPr>
            <w:tcW w:w="0" w:type="auto"/>
            <w:vMerge/>
            <w:tcBorders>
              <w:right w:val="single" w:sz="12" w:space="0" w:color="000000"/>
            </w:tcBorders>
            <w:vAlign w:val="center"/>
          </w:tcPr>
          <w:p w:rsidR="00A67E92" w:rsidRPr="00ED4EAF" w:rsidRDefault="00A67E92" w:rsidP="00536FA1">
            <w:pPr>
              <w:jc w:val="both"/>
              <w:rPr>
                <w:rFonts w:ascii="Arial" w:hAnsi="Arial" w:cs="Arial"/>
                <w:sz w:val="22"/>
                <w:szCs w:val="22"/>
              </w:rPr>
            </w:pPr>
          </w:p>
        </w:tc>
        <w:tc>
          <w:tcPr>
            <w:tcW w:w="278" w:type="dxa"/>
            <w:tcBorders>
              <w:left w:val="single" w:sz="12"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 </w:t>
            </w:r>
          </w:p>
        </w:tc>
        <w:tc>
          <w:tcPr>
            <w:tcW w:w="1129" w:type="dxa"/>
            <w:tcBorders>
              <w:top w:val="single" w:sz="8"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SO = 0</w:t>
            </w:r>
          </w:p>
        </w:tc>
        <w:tc>
          <w:tcPr>
            <w:tcW w:w="1129" w:type="dxa"/>
            <w:tcBorders>
              <w:top w:val="single" w:sz="8"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SO = 1</w:t>
            </w:r>
          </w:p>
        </w:tc>
        <w:tc>
          <w:tcPr>
            <w:tcW w:w="278"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 </w:t>
            </w:r>
          </w:p>
        </w:tc>
        <w:tc>
          <w:tcPr>
            <w:tcW w:w="1605" w:type="dxa"/>
            <w:tcBorders>
              <w:top w:val="single" w:sz="8"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Ha: diff &lt;0</w:t>
            </w:r>
          </w:p>
        </w:tc>
        <w:tc>
          <w:tcPr>
            <w:tcW w:w="1683" w:type="dxa"/>
            <w:tcBorders>
              <w:top w:val="single" w:sz="8"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Ha: diff!= 0</w:t>
            </w:r>
          </w:p>
        </w:tc>
        <w:tc>
          <w:tcPr>
            <w:tcW w:w="1740" w:type="dxa"/>
            <w:tcBorders>
              <w:top w:val="single" w:sz="8"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Ha: diff&gt; 0</w:t>
            </w:r>
          </w:p>
        </w:tc>
        <w:tc>
          <w:tcPr>
            <w:tcW w:w="283" w:type="dxa"/>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r>
      <w:tr w:rsidR="00A67E92" w:rsidRPr="00ED4EAF" w:rsidTr="00A67E92">
        <w:trPr>
          <w:trHeight w:val="525"/>
          <w:jc w:val="center"/>
        </w:trPr>
        <w:tc>
          <w:tcPr>
            <w:tcW w:w="1320" w:type="dxa"/>
            <w:tcBorders>
              <w:bottom w:val="single" w:sz="12" w:space="0" w:color="000000"/>
              <w:right w:val="single" w:sz="12"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 </w:t>
            </w:r>
          </w:p>
        </w:tc>
        <w:tc>
          <w:tcPr>
            <w:tcW w:w="278" w:type="dxa"/>
            <w:tcBorders>
              <w:left w:val="single" w:sz="12" w:space="0" w:color="000000"/>
              <w:bottom w:val="single" w:sz="12"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 </w:t>
            </w:r>
          </w:p>
        </w:tc>
        <w:tc>
          <w:tcPr>
            <w:tcW w:w="1129" w:type="dxa"/>
            <w:tcBorders>
              <w:bottom w:val="single" w:sz="12"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 </w:t>
            </w:r>
          </w:p>
        </w:tc>
        <w:tc>
          <w:tcPr>
            <w:tcW w:w="1129" w:type="dxa"/>
            <w:tcBorders>
              <w:bottom w:val="single" w:sz="12"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 </w:t>
            </w:r>
          </w:p>
        </w:tc>
        <w:tc>
          <w:tcPr>
            <w:tcW w:w="278" w:type="dxa"/>
            <w:tcBorders>
              <w:bottom w:val="single" w:sz="12"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 </w:t>
            </w:r>
          </w:p>
        </w:tc>
        <w:tc>
          <w:tcPr>
            <w:tcW w:w="1605" w:type="dxa"/>
            <w:tcBorders>
              <w:bottom w:val="single" w:sz="12"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proofErr w:type="spellStart"/>
            <w:r w:rsidRPr="00ED4EAF">
              <w:rPr>
                <w:rFonts w:ascii="Arial" w:eastAsia="Arial" w:hAnsi="Arial" w:cs="Arial"/>
                <w:sz w:val="22"/>
                <w:szCs w:val="22"/>
              </w:rPr>
              <w:t>Pr</w:t>
            </w:r>
            <w:proofErr w:type="spellEnd"/>
            <w:r w:rsidRPr="00ED4EAF">
              <w:rPr>
                <w:rFonts w:ascii="Arial" w:eastAsia="Arial" w:hAnsi="Arial" w:cs="Arial"/>
                <w:sz w:val="22"/>
                <w:szCs w:val="22"/>
              </w:rPr>
              <w:t xml:space="preserve"> (T &lt;t)</w:t>
            </w:r>
          </w:p>
        </w:tc>
        <w:tc>
          <w:tcPr>
            <w:tcW w:w="1683" w:type="dxa"/>
            <w:tcBorders>
              <w:bottom w:val="single" w:sz="12"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proofErr w:type="spellStart"/>
            <w:r w:rsidRPr="00ED4EAF">
              <w:rPr>
                <w:rFonts w:ascii="Arial" w:eastAsia="Arial" w:hAnsi="Arial" w:cs="Arial"/>
                <w:sz w:val="22"/>
                <w:szCs w:val="22"/>
              </w:rPr>
              <w:t>Pr</w:t>
            </w:r>
            <w:proofErr w:type="spellEnd"/>
            <w:r w:rsidRPr="00ED4EAF">
              <w:rPr>
                <w:rFonts w:ascii="Arial" w:eastAsia="Arial" w:hAnsi="Arial" w:cs="Arial"/>
                <w:sz w:val="22"/>
                <w:szCs w:val="22"/>
              </w:rPr>
              <w:t xml:space="preserve"> (| T |&gt; | t |)</w:t>
            </w:r>
          </w:p>
        </w:tc>
        <w:tc>
          <w:tcPr>
            <w:tcW w:w="1740" w:type="dxa"/>
            <w:tcBorders>
              <w:bottom w:val="single" w:sz="12"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proofErr w:type="spellStart"/>
            <w:r w:rsidRPr="00ED4EAF">
              <w:rPr>
                <w:rFonts w:ascii="Arial" w:eastAsia="Arial" w:hAnsi="Arial" w:cs="Arial"/>
                <w:sz w:val="22"/>
                <w:szCs w:val="22"/>
              </w:rPr>
              <w:t>Pr</w:t>
            </w:r>
            <w:proofErr w:type="spellEnd"/>
            <w:r w:rsidRPr="00ED4EAF">
              <w:rPr>
                <w:rFonts w:ascii="Arial" w:eastAsia="Arial" w:hAnsi="Arial" w:cs="Arial"/>
                <w:sz w:val="22"/>
                <w:szCs w:val="22"/>
              </w:rPr>
              <w:t xml:space="preserve"> (T&gt; t)</w:t>
            </w:r>
          </w:p>
        </w:tc>
        <w:tc>
          <w:tcPr>
            <w:tcW w:w="283" w:type="dxa"/>
            <w:tcBorders>
              <w:bottom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r>
      <w:tr w:rsidR="00A67E92" w:rsidRPr="00ED4EAF" w:rsidTr="00A67E92">
        <w:trPr>
          <w:trHeight w:val="375"/>
          <w:jc w:val="center"/>
        </w:trPr>
        <w:tc>
          <w:tcPr>
            <w:tcW w:w="1320" w:type="dxa"/>
            <w:tcBorders>
              <w:right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TLEV</w:t>
            </w:r>
          </w:p>
        </w:tc>
        <w:tc>
          <w:tcPr>
            <w:tcW w:w="278" w:type="dxa"/>
            <w:tcBorders>
              <w:left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c>
          <w:tcPr>
            <w:tcW w:w="1129"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0.5007</w:t>
            </w:r>
          </w:p>
        </w:tc>
        <w:tc>
          <w:tcPr>
            <w:tcW w:w="1129"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0.5580</w:t>
            </w:r>
          </w:p>
        </w:tc>
        <w:tc>
          <w:tcPr>
            <w:tcW w:w="278"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 </w:t>
            </w:r>
          </w:p>
        </w:tc>
        <w:tc>
          <w:tcPr>
            <w:tcW w:w="1605"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0.0000</w:t>
            </w:r>
          </w:p>
        </w:tc>
        <w:tc>
          <w:tcPr>
            <w:tcW w:w="1683"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0.0000</w:t>
            </w:r>
          </w:p>
        </w:tc>
        <w:tc>
          <w:tcPr>
            <w:tcW w:w="1740"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1.0000</w:t>
            </w:r>
          </w:p>
        </w:tc>
        <w:tc>
          <w:tcPr>
            <w:tcW w:w="283" w:type="dxa"/>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r>
      <w:tr w:rsidR="00A67E92" w:rsidRPr="00ED4EAF" w:rsidTr="00A67E92">
        <w:trPr>
          <w:trHeight w:val="375"/>
          <w:jc w:val="center"/>
        </w:trPr>
        <w:tc>
          <w:tcPr>
            <w:tcW w:w="1320" w:type="dxa"/>
            <w:tcBorders>
              <w:right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LTLEV</w:t>
            </w:r>
          </w:p>
        </w:tc>
        <w:tc>
          <w:tcPr>
            <w:tcW w:w="278" w:type="dxa"/>
            <w:tcBorders>
              <w:left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c>
          <w:tcPr>
            <w:tcW w:w="1129"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0.067</w:t>
            </w:r>
          </w:p>
        </w:tc>
        <w:tc>
          <w:tcPr>
            <w:tcW w:w="1129"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0.1411</w:t>
            </w:r>
          </w:p>
        </w:tc>
        <w:tc>
          <w:tcPr>
            <w:tcW w:w="278"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 </w:t>
            </w:r>
          </w:p>
        </w:tc>
        <w:tc>
          <w:tcPr>
            <w:tcW w:w="1605"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0.0000</w:t>
            </w:r>
          </w:p>
        </w:tc>
        <w:tc>
          <w:tcPr>
            <w:tcW w:w="1683"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0.0000</w:t>
            </w:r>
          </w:p>
        </w:tc>
        <w:tc>
          <w:tcPr>
            <w:tcW w:w="1740"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1.0000</w:t>
            </w:r>
          </w:p>
        </w:tc>
        <w:tc>
          <w:tcPr>
            <w:tcW w:w="283" w:type="dxa"/>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r>
      <w:tr w:rsidR="00A67E92" w:rsidRPr="00ED4EAF" w:rsidTr="00A67E92">
        <w:trPr>
          <w:trHeight w:val="375"/>
          <w:jc w:val="center"/>
        </w:trPr>
        <w:tc>
          <w:tcPr>
            <w:tcW w:w="1320" w:type="dxa"/>
            <w:tcBorders>
              <w:right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noProof/>
                <w:sz w:val="22"/>
                <w:szCs w:val="22"/>
              </w:rPr>
              <w:t>STLEV</w:t>
            </w:r>
          </w:p>
        </w:tc>
        <w:tc>
          <w:tcPr>
            <w:tcW w:w="278" w:type="dxa"/>
            <w:tcBorders>
              <w:left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c>
          <w:tcPr>
            <w:tcW w:w="1129"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0.4040</w:t>
            </w:r>
          </w:p>
        </w:tc>
        <w:tc>
          <w:tcPr>
            <w:tcW w:w="1129"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0.4169</w:t>
            </w:r>
          </w:p>
        </w:tc>
        <w:tc>
          <w:tcPr>
            <w:tcW w:w="278"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 </w:t>
            </w:r>
          </w:p>
        </w:tc>
        <w:tc>
          <w:tcPr>
            <w:tcW w:w="1605"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0.0767</w:t>
            </w:r>
          </w:p>
        </w:tc>
        <w:tc>
          <w:tcPr>
            <w:tcW w:w="1683"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0.1534</w:t>
            </w:r>
          </w:p>
        </w:tc>
        <w:tc>
          <w:tcPr>
            <w:tcW w:w="1740"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0.9233</w:t>
            </w:r>
          </w:p>
        </w:tc>
        <w:tc>
          <w:tcPr>
            <w:tcW w:w="283" w:type="dxa"/>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r>
      <w:tr w:rsidR="00A67E92" w:rsidRPr="00ED4EAF" w:rsidTr="00A67E92">
        <w:trPr>
          <w:trHeight w:val="375"/>
          <w:jc w:val="center"/>
        </w:trPr>
        <w:tc>
          <w:tcPr>
            <w:tcW w:w="1320" w:type="dxa"/>
            <w:tcBorders>
              <w:right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OVER</w:t>
            </w:r>
          </w:p>
        </w:tc>
        <w:tc>
          <w:tcPr>
            <w:tcW w:w="278" w:type="dxa"/>
            <w:tcBorders>
              <w:left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c>
          <w:tcPr>
            <w:tcW w:w="1129"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0.3374</w:t>
            </w:r>
          </w:p>
        </w:tc>
        <w:tc>
          <w:tcPr>
            <w:tcW w:w="1129"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0.2627</w:t>
            </w:r>
          </w:p>
        </w:tc>
        <w:tc>
          <w:tcPr>
            <w:tcW w:w="278"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 </w:t>
            </w:r>
          </w:p>
        </w:tc>
        <w:tc>
          <w:tcPr>
            <w:tcW w:w="1605"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0.9999</w:t>
            </w:r>
          </w:p>
        </w:tc>
        <w:tc>
          <w:tcPr>
            <w:tcW w:w="1683"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0.0003</w:t>
            </w:r>
          </w:p>
        </w:tc>
        <w:tc>
          <w:tcPr>
            <w:tcW w:w="1740"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0.0001</w:t>
            </w:r>
          </w:p>
        </w:tc>
        <w:tc>
          <w:tcPr>
            <w:tcW w:w="283" w:type="dxa"/>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r>
      <w:tr w:rsidR="00A67E92" w:rsidRPr="00ED4EAF" w:rsidTr="007F4160">
        <w:trPr>
          <w:trHeight w:val="113"/>
          <w:jc w:val="center"/>
        </w:trPr>
        <w:tc>
          <w:tcPr>
            <w:tcW w:w="9445" w:type="dxa"/>
            <w:gridSpan w:val="9"/>
            <w:tcMar>
              <w:top w:w="0" w:type="dxa"/>
              <w:left w:w="108" w:type="dxa"/>
              <w:bottom w:w="0" w:type="dxa"/>
              <w:right w:w="108" w:type="dxa"/>
            </w:tcMar>
            <w:vAlign w:val="center"/>
          </w:tcPr>
          <w:p w:rsidR="00A67E92" w:rsidRPr="00ED4EAF" w:rsidRDefault="00A67E92" w:rsidP="00536FA1">
            <w:pPr>
              <w:jc w:val="right"/>
              <w:rPr>
                <w:rFonts w:ascii="Arial" w:hAnsi="Arial" w:cs="Arial"/>
                <w:sz w:val="22"/>
                <w:szCs w:val="22"/>
              </w:rPr>
            </w:pPr>
            <w:r w:rsidRPr="00ED4EAF">
              <w:rPr>
                <w:rFonts w:ascii="Arial" w:eastAsia="Arial" w:hAnsi="Arial" w:cs="Arial"/>
                <w:i/>
                <w:iCs/>
                <w:sz w:val="22"/>
                <w:szCs w:val="22"/>
              </w:rPr>
              <w:t xml:space="preserve">Source: Author’s calculation on STATA 14 </w:t>
            </w:r>
          </w:p>
        </w:tc>
      </w:tr>
    </w:tbl>
    <w:p w:rsidR="00A67E92" w:rsidRPr="00ED4EAF" w:rsidRDefault="00A67E92" w:rsidP="00536FA1">
      <w:pPr>
        <w:jc w:val="both"/>
        <w:rPr>
          <w:rFonts w:ascii="Arial" w:eastAsia="Arial" w:hAnsi="Arial" w:cs="Arial"/>
          <w:i/>
          <w:iCs/>
          <w:sz w:val="22"/>
          <w:szCs w:val="22"/>
          <w:lang w:val="vi-VN"/>
        </w:rPr>
      </w:pPr>
      <w:bookmarkStart w:id="84" w:name="_Toc496645253"/>
    </w:p>
    <w:p w:rsidR="00DA4F59" w:rsidRPr="00ED4EAF" w:rsidRDefault="00DA4F59" w:rsidP="00536FA1">
      <w:pPr>
        <w:jc w:val="both"/>
        <w:rPr>
          <w:rFonts w:ascii="Arial" w:eastAsia="Arial" w:hAnsi="Arial" w:cs="Arial"/>
          <w:i/>
          <w:iCs/>
          <w:sz w:val="22"/>
          <w:szCs w:val="22"/>
          <w:lang w:val="vi-VN"/>
        </w:rPr>
      </w:pPr>
    </w:p>
    <w:p w:rsidR="00A67E92" w:rsidRPr="00ED4EAF" w:rsidRDefault="00A67E92" w:rsidP="00536FA1">
      <w:pPr>
        <w:jc w:val="both"/>
        <w:rPr>
          <w:rFonts w:ascii="Arial" w:eastAsia="Arial" w:hAnsi="Arial" w:cs="Arial"/>
          <w:i/>
          <w:iCs/>
          <w:sz w:val="22"/>
          <w:szCs w:val="22"/>
          <w:lang w:val="vi-VN"/>
        </w:rPr>
      </w:pPr>
    </w:p>
    <w:p w:rsidR="00A67E92" w:rsidRPr="00ED4EAF" w:rsidRDefault="00A67E92" w:rsidP="00536FA1">
      <w:pPr>
        <w:jc w:val="both"/>
        <w:rPr>
          <w:rFonts w:ascii="Arial" w:hAnsi="Arial" w:cs="Arial"/>
          <w:i/>
          <w:iCs/>
          <w:sz w:val="22"/>
          <w:szCs w:val="22"/>
        </w:rPr>
      </w:pPr>
      <w:r w:rsidRPr="00ED4EAF">
        <w:rPr>
          <w:rFonts w:ascii="Arial" w:eastAsia="Arial" w:hAnsi="Arial" w:cs="Arial"/>
          <w:i/>
          <w:iCs/>
          <w:sz w:val="22"/>
          <w:szCs w:val="22"/>
          <w:lang w:val="vi-VN"/>
        </w:rPr>
        <w:t>APPENDIX 3</w:t>
      </w:r>
      <w:r w:rsidRPr="00ED4EAF">
        <w:rPr>
          <w:rFonts w:ascii="Arial" w:eastAsia="Arial" w:hAnsi="Arial" w:cs="Arial"/>
          <w:i/>
          <w:iCs/>
          <w:sz w:val="22"/>
          <w:szCs w:val="22"/>
        </w:rPr>
        <w:t xml:space="preserve">: Test results to select </w:t>
      </w:r>
      <w:r w:rsidRPr="00ED4EAF">
        <w:rPr>
          <w:rFonts w:ascii="Arial" w:eastAsia="Arial" w:hAnsi="Arial" w:cs="Arial"/>
          <w:i/>
          <w:iCs/>
          <w:sz w:val="22"/>
          <w:szCs w:val="22"/>
          <w:lang w:val="vi-VN"/>
        </w:rPr>
        <w:t>appropriate</w:t>
      </w:r>
      <w:r w:rsidRPr="00ED4EAF">
        <w:rPr>
          <w:rFonts w:ascii="Arial" w:eastAsia="Arial" w:hAnsi="Arial" w:cs="Arial"/>
          <w:i/>
          <w:iCs/>
          <w:sz w:val="22"/>
          <w:szCs w:val="22"/>
        </w:rPr>
        <w:t xml:space="preserve"> models in three dependent variables</w:t>
      </w:r>
      <w:bookmarkEnd w:id="84"/>
    </w:p>
    <w:tbl>
      <w:tblPr>
        <w:tblW w:w="9185" w:type="dxa"/>
        <w:jc w:val="center"/>
        <w:tblCellMar>
          <w:left w:w="0" w:type="dxa"/>
          <w:right w:w="0" w:type="dxa"/>
        </w:tblCellMar>
        <w:tblLook w:val="0000" w:firstRow="0" w:lastRow="0" w:firstColumn="0" w:lastColumn="0" w:noHBand="0" w:noVBand="0"/>
      </w:tblPr>
      <w:tblGrid>
        <w:gridCol w:w="3420"/>
        <w:gridCol w:w="2047"/>
        <w:gridCol w:w="1209"/>
        <w:gridCol w:w="1098"/>
        <w:gridCol w:w="1411"/>
      </w:tblGrid>
      <w:tr w:rsidR="00A67E92" w:rsidRPr="00ED4EAF" w:rsidTr="007F4160">
        <w:trPr>
          <w:trHeight w:val="525"/>
          <w:jc w:val="center"/>
        </w:trPr>
        <w:tc>
          <w:tcPr>
            <w:tcW w:w="3420" w:type="dxa"/>
            <w:vMerge w:val="restart"/>
            <w:tcBorders>
              <w:bottom w:val="single" w:sz="12" w:space="0" w:color="000000"/>
              <w:right w:val="single" w:sz="12"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bookmarkStart w:id="85" w:name="OLE_LINK28"/>
            <w:bookmarkEnd w:id="85"/>
            <w:r w:rsidRPr="00ED4EAF">
              <w:rPr>
                <w:rFonts w:ascii="Arial" w:hAnsi="Arial" w:cs="Arial"/>
                <w:sz w:val="22"/>
                <w:szCs w:val="22"/>
              </w:rPr>
              <w:t>Test</w:t>
            </w:r>
          </w:p>
        </w:tc>
        <w:tc>
          <w:tcPr>
            <w:tcW w:w="2047" w:type="dxa"/>
            <w:tcBorders>
              <w:left w:val="single" w:sz="12"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 </w:t>
            </w:r>
          </w:p>
        </w:tc>
        <w:tc>
          <w:tcPr>
            <w:tcW w:w="3718" w:type="dxa"/>
            <w:gridSpan w:val="3"/>
            <w:tcBorders>
              <w:bottom w:val="single" w:sz="6"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Dependent variable</w:t>
            </w:r>
          </w:p>
        </w:tc>
      </w:tr>
      <w:tr w:rsidR="00A67E92" w:rsidRPr="00ED4EAF" w:rsidTr="007F4160">
        <w:trPr>
          <w:trHeight w:val="525"/>
          <w:jc w:val="center"/>
        </w:trPr>
        <w:tc>
          <w:tcPr>
            <w:tcW w:w="3420" w:type="dxa"/>
            <w:vMerge/>
            <w:tcBorders>
              <w:bottom w:val="single" w:sz="12" w:space="0" w:color="000000"/>
              <w:right w:val="single" w:sz="12" w:space="0" w:color="000000"/>
            </w:tcBorders>
            <w:vAlign w:val="center"/>
          </w:tcPr>
          <w:p w:rsidR="00A67E92" w:rsidRPr="00ED4EAF" w:rsidRDefault="00A67E92" w:rsidP="00536FA1">
            <w:pPr>
              <w:jc w:val="center"/>
              <w:rPr>
                <w:rFonts w:ascii="Arial" w:hAnsi="Arial" w:cs="Arial"/>
                <w:sz w:val="22"/>
                <w:szCs w:val="22"/>
              </w:rPr>
            </w:pPr>
          </w:p>
        </w:tc>
        <w:tc>
          <w:tcPr>
            <w:tcW w:w="2047" w:type="dxa"/>
            <w:tcBorders>
              <w:left w:val="single" w:sz="12" w:space="0" w:color="000000"/>
              <w:bottom w:val="single" w:sz="12"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 </w:t>
            </w:r>
          </w:p>
        </w:tc>
        <w:tc>
          <w:tcPr>
            <w:tcW w:w="1209" w:type="dxa"/>
            <w:tcBorders>
              <w:top w:val="single" w:sz="6" w:space="0" w:color="000000"/>
              <w:bottom w:val="single" w:sz="12"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TLEV</w:t>
            </w:r>
          </w:p>
        </w:tc>
        <w:tc>
          <w:tcPr>
            <w:tcW w:w="1098" w:type="dxa"/>
            <w:tcBorders>
              <w:top w:val="single" w:sz="6" w:space="0" w:color="000000"/>
              <w:bottom w:val="single" w:sz="12"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LTLEV</w:t>
            </w:r>
          </w:p>
        </w:tc>
        <w:tc>
          <w:tcPr>
            <w:tcW w:w="1411" w:type="dxa"/>
            <w:tcBorders>
              <w:top w:val="single" w:sz="6" w:space="0" w:color="000000"/>
              <w:bottom w:val="single" w:sz="12" w:space="0" w:color="000000"/>
            </w:tcBorders>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noProof/>
                <w:sz w:val="22"/>
                <w:szCs w:val="22"/>
              </w:rPr>
              <w:t>STLEV</w:t>
            </w:r>
          </w:p>
        </w:tc>
      </w:tr>
      <w:tr w:rsidR="00A67E92" w:rsidRPr="00ED4EAF" w:rsidTr="007F4160">
        <w:trPr>
          <w:trHeight w:val="210"/>
          <w:jc w:val="center"/>
        </w:trPr>
        <w:tc>
          <w:tcPr>
            <w:tcW w:w="3420" w:type="dxa"/>
            <w:tcBorders>
              <w:top w:val="single" w:sz="12" w:space="0" w:color="000000"/>
              <w:right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c>
          <w:tcPr>
            <w:tcW w:w="2047" w:type="dxa"/>
            <w:tcBorders>
              <w:top w:val="single" w:sz="12" w:space="0" w:color="000000"/>
              <w:left w:val="single" w:sz="12" w:space="0" w:color="000000"/>
            </w:tcBorders>
            <w:tcMar>
              <w:top w:w="0" w:type="dxa"/>
              <w:left w:w="108" w:type="dxa"/>
              <w:bottom w:w="0" w:type="dxa"/>
              <w:right w:w="108" w:type="dxa"/>
            </w:tcMa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c>
          <w:tcPr>
            <w:tcW w:w="1209" w:type="dxa"/>
            <w:tcBorders>
              <w:top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c>
          <w:tcPr>
            <w:tcW w:w="1098" w:type="dxa"/>
            <w:tcBorders>
              <w:top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c>
          <w:tcPr>
            <w:tcW w:w="1411" w:type="dxa"/>
            <w:tcBorders>
              <w:top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r>
      <w:tr w:rsidR="00A67E92" w:rsidRPr="00ED4EAF" w:rsidTr="007F4160">
        <w:trPr>
          <w:trHeight w:val="375"/>
          <w:jc w:val="center"/>
        </w:trPr>
        <w:tc>
          <w:tcPr>
            <w:tcW w:w="3420" w:type="dxa"/>
            <w:tcBorders>
              <w:right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F-test</w:t>
            </w:r>
          </w:p>
        </w:tc>
        <w:tc>
          <w:tcPr>
            <w:tcW w:w="2047" w:type="dxa"/>
            <w:tcBorders>
              <w:left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proofErr w:type="spellStart"/>
            <w:r w:rsidRPr="00ED4EAF">
              <w:rPr>
                <w:rFonts w:ascii="Arial" w:eastAsia="Arial" w:hAnsi="Arial" w:cs="Arial"/>
                <w:sz w:val="22"/>
                <w:szCs w:val="22"/>
              </w:rPr>
              <w:t>Prob</w:t>
            </w:r>
            <w:proofErr w:type="spellEnd"/>
            <w:r w:rsidRPr="00ED4EAF">
              <w:rPr>
                <w:rFonts w:ascii="Arial" w:eastAsia="Arial" w:hAnsi="Arial" w:cs="Arial"/>
                <w:sz w:val="22"/>
                <w:szCs w:val="22"/>
              </w:rPr>
              <w:t>&gt; F =</w:t>
            </w:r>
          </w:p>
        </w:tc>
        <w:tc>
          <w:tcPr>
            <w:tcW w:w="1209"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0.0000</w:t>
            </w:r>
          </w:p>
        </w:tc>
        <w:tc>
          <w:tcPr>
            <w:tcW w:w="1098"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0.0000</w:t>
            </w:r>
          </w:p>
        </w:tc>
        <w:tc>
          <w:tcPr>
            <w:tcW w:w="1411"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0.0000</w:t>
            </w:r>
          </w:p>
        </w:tc>
      </w:tr>
      <w:tr w:rsidR="00A67E92" w:rsidRPr="00ED4EAF" w:rsidTr="007F4160">
        <w:trPr>
          <w:trHeight w:val="375"/>
          <w:jc w:val="center"/>
        </w:trPr>
        <w:tc>
          <w:tcPr>
            <w:tcW w:w="3420" w:type="dxa"/>
            <w:tcBorders>
              <w:right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proofErr w:type="spellStart"/>
            <w:r w:rsidRPr="00ED4EAF">
              <w:rPr>
                <w:rFonts w:ascii="Arial" w:eastAsia="Arial" w:hAnsi="Arial" w:cs="Arial"/>
                <w:sz w:val="22"/>
                <w:szCs w:val="22"/>
              </w:rPr>
              <w:t>Breusch</w:t>
            </w:r>
            <w:proofErr w:type="spellEnd"/>
            <w:r w:rsidRPr="00ED4EAF">
              <w:rPr>
                <w:rFonts w:ascii="Arial" w:eastAsia="Arial" w:hAnsi="Arial" w:cs="Arial"/>
                <w:sz w:val="22"/>
                <w:szCs w:val="22"/>
              </w:rPr>
              <w:t xml:space="preserve">-Pagan </w:t>
            </w:r>
            <w:proofErr w:type="spellStart"/>
            <w:r w:rsidRPr="00ED4EAF">
              <w:rPr>
                <w:rFonts w:ascii="Arial" w:eastAsia="Arial" w:hAnsi="Arial" w:cs="Arial"/>
                <w:sz w:val="22"/>
                <w:szCs w:val="22"/>
              </w:rPr>
              <w:t>Lagrangian</w:t>
            </w:r>
            <w:proofErr w:type="spellEnd"/>
          </w:p>
        </w:tc>
        <w:tc>
          <w:tcPr>
            <w:tcW w:w="2047" w:type="dxa"/>
            <w:tcBorders>
              <w:left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proofErr w:type="spellStart"/>
            <w:r w:rsidRPr="00ED4EAF">
              <w:rPr>
                <w:rFonts w:ascii="Arial" w:eastAsia="Arial" w:hAnsi="Arial" w:cs="Arial"/>
                <w:sz w:val="22"/>
                <w:szCs w:val="22"/>
              </w:rPr>
              <w:t>Prob</w:t>
            </w:r>
            <w:proofErr w:type="spellEnd"/>
            <w:r w:rsidRPr="00ED4EAF">
              <w:rPr>
                <w:rFonts w:ascii="Arial" w:eastAsia="Arial" w:hAnsi="Arial" w:cs="Arial"/>
                <w:sz w:val="22"/>
                <w:szCs w:val="22"/>
              </w:rPr>
              <w:t>&gt; chibar2 =</w:t>
            </w:r>
          </w:p>
        </w:tc>
        <w:tc>
          <w:tcPr>
            <w:tcW w:w="1209"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0.0000</w:t>
            </w:r>
          </w:p>
        </w:tc>
        <w:tc>
          <w:tcPr>
            <w:tcW w:w="1098"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0.0000</w:t>
            </w:r>
          </w:p>
        </w:tc>
        <w:tc>
          <w:tcPr>
            <w:tcW w:w="1411"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0.0000</w:t>
            </w:r>
          </w:p>
        </w:tc>
      </w:tr>
      <w:tr w:rsidR="00A67E92" w:rsidRPr="00ED4EAF" w:rsidTr="007F4160">
        <w:trPr>
          <w:trHeight w:val="375"/>
          <w:jc w:val="center"/>
        </w:trPr>
        <w:tc>
          <w:tcPr>
            <w:tcW w:w="3420" w:type="dxa"/>
            <w:tcBorders>
              <w:right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proofErr w:type="spellStart"/>
            <w:r w:rsidRPr="00ED4EAF">
              <w:rPr>
                <w:rFonts w:ascii="Arial" w:eastAsia="Arial" w:hAnsi="Arial" w:cs="Arial"/>
                <w:sz w:val="22"/>
                <w:szCs w:val="22"/>
              </w:rPr>
              <w:t>Hausman</w:t>
            </w:r>
            <w:proofErr w:type="spellEnd"/>
          </w:p>
        </w:tc>
        <w:tc>
          <w:tcPr>
            <w:tcW w:w="2047" w:type="dxa"/>
            <w:tcBorders>
              <w:left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proofErr w:type="spellStart"/>
            <w:r w:rsidRPr="00ED4EAF">
              <w:rPr>
                <w:rFonts w:ascii="Arial" w:eastAsia="Arial" w:hAnsi="Arial" w:cs="Arial"/>
                <w:sz w:val="22"/>
                <w:szCs w:val="22"/>
              </w:rPr>
              <w:t>Prob</w:t>
            </w:r>
            <w:proofErr w:type="spellEnd"/>
            <w:r w:rsidRPr="00ED4EAF">
              <w:rPr>
                <w:rFonts w:ascii="Arial" w:eastAsia="Arial" w:hAnsi="Arial" w:cs="Arial"/>
                <w:sz w:val="22"/>
                <w:szCs w:val="22"/>
              </w:rPr>
              <w:t>&gt; chi2 =</w:t>
            </w:r>
          </w:p>
        </w:tc>
        <w:tc>
          <w:tcPr>
            <w:tcW w:w="1209"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0.0000</w:t>
            </w:r>
          </w:p>
        </w:tc>
        <w:tc>
          <w:tcPr>
            <w:tcW w:w="1098"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0.0000</w:t>
            </w:r>
          </w:p>
        </w:tc>
        <w:tc>
          <w:tcPr>
            <w:tcW w:w="1411" w:type="dxa"/>
            <w:tcMar>
              <w:top w:w="0" w:type="dxa"/>
              <w:left w:w="108" w:type="dxa"/>
              <w:bottom w:w="0" w:type="dxa"/>
              <w:right w:w="108" w:type="dxa"/>
            </w:tcMar>
            <w:vAlign w:val="center"/>
          </w:tcPr>
          <w:p w:rsidR="00A67E92" w:rsidRPr="00ED4EAF" w:rsidRDefault="00A67E92" w:rsidP="00536FA1">
            <w:pPr>
              <w:jc w:val="center"/>
              <w:rPr>
                <w:rFonts w:ascii="Arial" w:hAnsi="Arial" w:cs="Arial"/>
                <w:sz w:val="22"/>
                <w:szCs w:val="22"/>
              </w:rPr>
            </w:pPr>
            <w:r w:rsidRPr="00ED4EAF">
              <w:rPr>
                <w:rFonts w:ascii="Arial" w:eastAsia="Arial" w:hAnsi="Arial" w:cs="Arial"/>
                <w:sz w:val="22"/>
                <w:szCs w:val="22"/>
              </w:rPr>
              <w:t>0.0000</w:t>
            </w:r>
          </w:p>
        </w:tc>
      </w:tr>
      <w:tr w:rsidR="00A67E92" w:rsidRPr="00ED4EAF" w:rsidTr="007F4160">
        <w:trPr>
          <w:trHeight w:val="113"/>
          <w:jc w:val="center"/>
        </w:trPr>
        <w:tc>
          <w:tcPr>
            <w:tcW w:w="3420" w:type="dxa"/>
            <w:tcBorders>
              <w:right w:val="single" w:sz="12" w:space="0" w:color="000000"/>
            </w:tcBorders>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c>
          <w:tcPr>
            <w:tcW w:w="2047" w:type="dxa"/>
            <w:tcBorders>
              <w:left w:val="single" w:sz="12" w:space="0" w:color="000000"/>
            </w:tcBorders>
            <w:tcMar>
              <w:top w:w="0" w:type="dxa"/>
              <w:left w:w="108" w:type="dxa"/>
              <w:bottom w:w="0" w:type="dxa"/>
              <w:right w:w="108" w:type="dxa"/>
            </w:tcMa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c>
          <w:tcPr>
            <w:tcW w:w="1209" w:type="dxa"/>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c>
          <w:tcPr>
            <w:tcW w:w="1098" w:type="dxa"/>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c>
          <w:tcPr>
            <w:tcW w:w="1411" w:type="dxa"/>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sz w:val="22"/>
                <w:szCs w:val="22"/>
              </w:rPr>
              <w:t> </w:t>
            </w:r>
          </w:p>
        </w:tc>
      </w:tr>
      <w:tr w:rsidR="00A67E92" w:rsidRPr="00ED4EAF" w:rsidTr="007F4160">
        <w:trPr>
          <w:trHeight w:val="375"/>
          <w:jc w:val="center"/>
        </w:trPr>
        <w:tc>
          <w:tcPr>
            <w:tcW w:w="9185" w:type="dxa"/>
            <w:gridSpan w:val="5"/>
            <w:tcMar>
              <w:top w:w="0" w:type="dxa"/>
              <w:left w:w="108" w:type="dxa"/>
              <w:bottom w:w="0" w:type="dxa"/>
              <w:right w:w="108" w:type="dxa"/>
            </w:tcMar>
            <w:vAlign w:val="center"/>
          </w:tcPr>
          <w:p w:rsidR="00A67E92" w:rsidRPr="00ED4EAF" w:rsidRDefault="00A67E92" w:rsidP="00536FA1">
            <w:pPr>
              <w:jc w:val="both"/>
              <w:rPr>
                <w:rFonts w:ascii="Arial" w:hAnsi="Arial" w:cs="Arial"/>
                <w:sz w:val="22"/>
                <w:szCs w:val="22"/>
              </w:rPr>
            </w:pPr>
            <w:r w:rsidRPr="00ED4EAF">
              <w:rPr>
                <w:rFonts w:ascii="Arial" w:eastAsia="Arial" w:hAnsi="Arial" w:cs="Arial"/>
                <w:i/>
                <w:iCs/>
                <w:sz w:val="22"/>
                <w:szCs w:val="22"/>
              </w:rPr>
              <w:t>Note:</w:t>
            </w:r>
          </w:p>
          <w:p w:rsidR="00A67E92" w:rsidRPr="00ED4EAF" w:rsidRDefault="00A67E92" w:rsidP="00536FA1">
            <w:pPr>
              <w:jc w:val="both"/>
              <w:rPr>
                <w:rFonts w:ascii="Arial" w:hAnsi="Arial" w:cs="Arial"/>
                <w:sz w:val="22"/>
                <w:szCs w:val="22"/>
              </w:rPr>
            </w:pPr>
            <w:r w:rsidRPr="00ED4EAF">
              <w:rPr>
                <w:rFonts w:ascii="Arial" w:eastAsia="Arial" w:hAnsi="Arial" w:cs="Arial"/>
                <w:i/>
                <w:iCs/>
                <w:sz w:val="22"/>
                <w:szCs w:val="22"/>
              </w:rPr>
              <w:t>- F-test for selecting FEM or Pooled OLS model;</w:t>
            </w:r>
          </w:p>
          <w:p w:rsidR="00A67E92" w:rsidRPr="00ED4EAF" w:rsidRDefault="00A67E92" w:rsidP="00536FA1">
            <w:pPr>
              <w:jc w:val="both"/>
              <w:rPr>
                <w:rFonts w:ascii="Arial" w:hAnsi="Arial" w:cs="Arial"/>
                <w:sz w:val="22"/>
                <w:szCs w:val="22"/>
              </w:rPr>
            </w:pPr>
            <w:r w:rsidRPr="00ED4EAF">
              <w:rPr>
                <w:rFonts w:ascii="Arial" w:eastAsia="Arial" w:hAnsi="Arial" w:cs="Arial"/>
                <w:i/>
                <w:iCs/>
                <w:sz w:val="22"/>
                <w:szCs w:val="22"/>
              </w:rPr>
              <w:t xml:space="preserve">- </w:t>
            </w:r>
            <w:proofErr w:type="spellStart"/>
            <w:r w:rsidRPr="00ED4EAF">
              <w:rPr>
                <w:rFonts w:ascii="Arial" w:eastAsia="Arial" w:hAnsi="Arial" w:cs="Arial"/>
                <w:i/>
                <w:iCs/>
                <w:sz w:val="22"/>
                <w:szCs w:val="22"/>
              </w:rPr>
              <w:t>Breusch</w:t>
            </w:r>
            <w:proofErr w:type="spellEnd"/>
            <w:r w:rsidRPr="00ED4EAF">
              <w:rPr>
                <w:rFonts w:ascii="Arial" w:eastAsia="Arial" w:hAnsi="Arial" w:cs="Arial"/>
                <w:i/>
                <w:iCs/>
                <w:sz w:val="22"/>
                <w:szCs w:val="22"/>
              </w:rPr>
              <w:t xml:space="preserve">-Pagan </w:t>
            </w:r>
            <w:proofErr w:type="spellStart"/>
            <w:r w:rsidRPr="00ED4EAF">
              <w:rPr>
                <w:rFonts w:ascii="Arial" w:eastAsia="Arial" w:hAnsi="Arial" w:cs="Arial"/>
                <w:i/>
                <w:iCs/>
                <w:sz w:val="22"/>
                <w:szCs w:val="22"/>
              </w:rPr>
              <w:t>Lagrangian</w:t>
            </w:r>
            <w:proofErr w:type="spellEnd"/>
            <w:r w:rsidRPr="00ED4EAF">
              <w:rPr>
                <w:rFonts w:ascii="Arial" w:eastAsia="Arial" w:hAnsi="Arial" w:cs="Arial"/>
                <w:i/>
                <w:iCs/>
                <w:sz w:val="22"/>
                <w:szCs w:val="22"/>
              </w:rPr>
              <w:t xml:space="preserve"> Test for </w:t>
            </w:r>
            <w:proofErr w:type="spellStart"/>
            <w:r w:rsidRPr="00ED4EAF">
              <w:rPr>
                <w:rFonts w:ascii="Arial" w:eastAsia="Arial" w:hAnsi="Arial" w:cs="Arial"/>
                <w:i/>
                <w:iCs/>
                <w:sz w:val="22"/>
                <w:szCs w:val="22"/>
              </w:rPr>
              <w:t>selectng</w:t>
            </w:r>
            <w:proofErr w:type="spellEnd"/>
            <w:r w:rsidRPr="00ED4EAF">
              <w:rPr>
                <w:rFonts w:ascii="Arial" w:eastAsia="Arial" w:hAnsi="Arial" w:cs="Arial"/>
                <w:i/>
                <w:iCs/>
                <w:sz w:val="22"/>
                <w:szCs w:val="22"/>
              </w:rPr>
              <w:t xml:space="preserve"> REM or Pooled OLS models;</w:t>
            </w:r>
          </w:p>
          <w:p w:rsidR="00A67E92" w:rsidRPr="00ED4EAF" w:rsidRDefault="00A67E92" w:rsidP="00536FA1">
            <w:pPr>
              <w:jc w:val="both"/>
              <w:rPr>
                <w:rFonts w:ascii="Arial" w:hAnsi="Arial" w:cs="Arial"/>
                <w:sz w:val="22"/>
                <w:szCs w:val="22"/>
              </w:rPr>
            </w:pPr>
            <w:r w:rsidRPr="00ED4EAF">
              <w:rPr>
                <w:rFonts w:ascii="Arial" w:eastAsia="Arial" w:hAnsi="Arial" w:cs="Arial"/>
                <w:i/>
                <w:iCs/>
                <w:sz w:val="22"/>
                <w:szCs w:val="22"/>
              </w:rPr>
              <w:t xml:space="preserve">- </w:t>
            </w:r>
            <w:proofErr w:type="spellStart"/>
            <w:r w:rsidRPr="00ED4EAF">
              <w:rPr>
                <w:rFonts w:ascii="Arial" w:eastAsia="Arial" w:hAnsi="Arial" w:cs="Arial"/>
                <w:i/>
                <w:iCs/>
                <w:sz w:val="22"/>
                <w:szCs w:val="22"/>
              </w:rPr>
              <w:t>Hausman</w:t>
            </w:r>
            <w:proofErr w:type="spellEnd"/>
            <w:r w:rsidRPr="00ED4EAF">
              <w:rPr>
                <w:rFonts w:ascii="Arial" w:eastAsia="Arial" w:hAnsi="Arial" w:cs="Arial"/>
                <w:i/>
                <w:iCs/>
                <w:sz w:val="22"/>
                <w:szCs w:val="22"/>
              </w:rPr>
              <w:t xml:space="preserve"> test for selecting FEM or REM model.</w:t>
            </w:r>
          </w:p>
        </w:tc>
      </w:tr>
      <w:tr w:rsidR="00A67E92" w:rsidRPr="00ED4EAF" w:rsidTr="007F4160">
        <w:trPr>
          <w:trHeight w:val="375"/>
          <w:jc w:val="center"/>
        </w:trPr>
        <w:tc>
          <w:tcPr>
            <w:tcW w:w="9185" w:type="dxa"/>
            <w:gridSpan w:val="5"/>
            <w:tcMar>
              <w:top w:w="0" w:type="dxa"/>
              <w:left w:w="108" w:type="dxa"/>
              <w:bottom w:w="0" w:type="dxa"/>
              <w:right w:w="108" w:type="dxa"/>
            </w:tcMar>
            <w:vAlign w:val="center"/>
          </w:tcPr>
          <w:p w:rsidR="00A67E92" w:rsidRPr="00ED4EAF" w:rsidRDefault="00A67E92" w:rsidP="00536FA1">
            <w:pPr>
              <w:jc w:val="right"/>
              <w:rPr>
                <w:rFonts w:ascii="Arial" w:hAnsi="Arial" w:cs="Arial"/>
                <w:sz w:val="22"/>
                <w:szCs w:val="22"/>
              </w:rPr>
            </w:pPr>
            <w:r w:rsidRPr="00ED4EAF">
              <w:rPr>
                <w:rFonts w:ascii="Arial" w:eastAsia="Arial" w:hAnsi="Arial" w:cs="Arial"/>
                <w:i/>
                <w:iCs/>
                <w:sz w:val="22"/>
                <w:szCs w:val="22"/>
              </w:rPr>
              <w:t>Source: Author’s calculation on STATA 14</w:t>
            </w:r>
          </w:p>
        </w:tc>
      </w:tr>
    </w:tbl>
    <w:p w:rsidR="00FA7D00" w:rsidRPr="00ED4EAF" w:rsidRDefault="00FA7D00" w:rsidP="00536FA1">
      <w:pPr>
        <w:rPr>
          <w:sz w:val="22"/>
          <w:szCs w:val="22"/>
        </w:rPr>
      </w:pPr>
    </w:p>
    <w:p w:rsidR="00DA4F59" w:rsidRPr="00ED4EAF" w:rsidRDefault="00DA4F59" w:rsidP="00536FA1">
      <w:pPr>
        <w:jc w:val="both"/>
        <w:rPr>
          <w:rFonts w:ascii="Arial" w:hAnsi="Arial" w:cs="Arial"/>
          <w:i/>
          <w:iCs/>
          <w:sz w:val="22"/>
          <w:szCs w:val="22"/>
        </w:rPr>
      </w:pPr>
      <w:r w:rsidRPr="00ED4EAF">
        <w:rPr>
          <w:rFonts w:ascii="Arial" w:eastAsia="Arial" w:hAnsi="Arial" w:cs="Arial"/>
          <w:sz w:val="22"/>
          <w:szCs w:val="22"/>
        </w:rPr>
        <w:t> </w:t>
      </w:r>
      <w:bookmarkStart w:id="86" w:name="_Toc496645254"/>
      <w:r w:rsidRPr="00ED4EAF">
        <w:rPr>
          <w:rFonts w:ascii="Arial" w:eastAsia="Arial" w:hAnsi="Arial" w:cs="Arial"/>
          <w:i/>
          <w:iCs/>
          <w:sz w:val="22"/>
          <w:szCs w:val="22"/>
          <w:lang w:val="vi-VN"/>
        </w:rPr>
        <w:t>APPENDIX 4</w:t>
      </w:r>
      <w:r w:rsidRPr="00ED4EAF">
        <w:rPr>
          <w:rFonts w:ascii="Arial" w:eastAsia="Arial" w:hAnsi="Arial" w:cs="Arial"/>
          <w:i/>
          <w:iCs/>
          <w:sz w:val="22"/>
          <w:szCs w:val="22"/>
        </w:rPr>
        <w:t>:</w:t>
      </w:r>
      <w:r w:rsidRPr="00ED4EAF">
        <w:rPr>
          <w:rFonts w:ascii="Arial" w:eastAsia="Arial" w:hAnsi="Arial" w:cs="Arial"/>
          <w:sz w:val="22"/>
          <w:szCs w:val="22"/>
        </w:rPr>
        <w:t xml:space="preserve"> </w:t>
      </w:r>
      <w:r w:rsidRPr="00ED4EAF">
        <w:rPr>
          <w:rFonts w:ascii="Arial" w:eastAsia="Arial" w:hAnsi="Arial" w:cs="Arial"/>
          <w:i/>
          <w:iCs/>
          <w:sz w:val="22"/>
          <w:szCs w:val="22"/>
        </w:rPr>
        <w:t xml:space="preserve">Results of the </w:t>
      </w:r>
      <w:proofErr w:type="spellStart"/>
      <w:r w:rsidRPr="00ED4EAF">
        <w:rPr>
          <w:rFonts w:ascii="Arial" w:eastAsia="Arial" w:hAnsi="Arial" w:cs="Arial"/>
          <w:i/>
          <w:iCs/>
          <w:sz w:val="22"/>
          <w:szCs w:val="22"/>
        </w:rPr>
        <w:t>heteroscedasticity</w:t>
      </w:r>
      <w:proofErr w:type="spellEnd"/>
      <w:r w:rsidRPr="00ED4EAF">
        <w:rPr>
          <w:rFonts w:ascii="Arial" w:eastAsia="Arial" w:hAnsi="Arial" w:cs="Arial"/>
          <w:i/>
          <w:iCs/>
          <w:sz w:val="22"/>
          <w:szCs w:val="22"/>
        </w:rPr>
        <w:t xml:space="preserve"> and the autocorrelation </w:t>
      </w:r>
      <w:bookmarkEnd w:id="86"/>
      <w:r w:rsidRPr="00ED4EAF">
        <w:rPr>
          <w:rFonts w:ascii="Arial" w:eastAsia="Arial" w:hAnsi="Arial" w:cs="Arial"/>
          <w:i/>
          <w:iCs/>
          <w:sz w:val="22"/>
          <w:szCs w:val="22"/>
        </w:rPr>
        <w:t>test</w:t>
      </w:r>
    </w:p>
    <w:tbl>
      <w:tblPr>
        <w:tblW w:w="8684" w:type="dxa"/>
        <w:jc w:val="center"/>
        <w:tblCellMar>
          <w:left w:w="0" w:type="dxa"/>
          <w:right w:w="0" w:type="dxa"/>
        </w:tblCellMar>
        <w:tblLook w:val="0000" w:firstRow="0" w:lastRow="0" w:firstColumn="0" w:lastColumn="0" w:noHBand="0" w:noVBand="0"/>
      </w:tblPr>
      <w:tblGrid>
        <w:gridCol w:w="2497"/>
        <w:gridCol w:w="1627"/>
        <w:gridCol w:w="1520"/>
        <w:gridCol w:w="1520"/>
        <w:gridCol w:w="1520"/>
      </w:tblGrid>
      <w:tr w:rsidR="00DA4F59" w:rsidRPr="00ED4EAF" w:rsidTr="007F4160">
        <w:trPr>
          <w:trHeight w:val="525"/>
          <w:jc w:val="center"/>
        </w:trPr>
        <w:tc>
          <w:tcPr>
            <w:tcW w:w="2497" w:type="dxa"/>
            <w:vMerge w:val="restart"/>
            <w:tcBorders>
              <w:bottom w:val="single" w:sz="12" w:space="0" w:color="000000"/>
              <w:right w:val="single" w:sz="12" w:space="0" w:color="000000"/>
            </w:tcBorders>
            <w:tcMar>
              <w:top w:w="0" w:type="dxa"/>
              <w:left w:w="108" w:type="dxa"/>
              <w:bottom w:w="0" w:type="dxa"/>
              <w:right w:w="108" w:type="dxa"/>
            </w:tcMar>
            <w:vAlign w:val="center"/>
          </w:tcPr>
          <w:p w:rsidR="00DA4F59" w:rsidRPr="00ED4EAF" w:rsidRDefault="00DA4F59" w:rsidP="00536FA1">
            <w:pPr>
              <w:jc w:val="center"/>
              <w:rPr>
                <w:rFonts w:ascii="Arial" w:hAnsi="Arial" w:cs="Arial"/>
                <w:sz w:val="22"/>
                <w:szCs w:val="22"/>
              </w:rPr>
            </w:pPr>
            <w:r w:rsidRPr="00ED4EAF">
              <w:rPr>
                <w:rFonts w:ascii="Arial" w:hAnsi="Arial" w:cs="Arial"/>
                <w:sz w:val="22"/>
                <w:szCs w:val="22"/>
              </w:rPr>
              <w:t>Test</w:t>
            </w:r>
          </w:p>
        </w:tc>
        <w:tc>
          <w:tcPr>
            <w:tcW w:w="1627" w:type="dxa"/>
            <w:tcBorders>
              <w:left w:val="single" w:sz="12" w:space="0" w:color="000000"/>
            </w:tcBorders>
            <w:tcMar>
              <w:top w:w="0" w:type="dxa"/>
              <w:left w:w="108" w:type="dxa"/>
              <w:bottom w:w="0" w:type="dxa"/>
              <w:right w:w="108" w:type="dxa"/>
            </w:tcMar>
            <w:vAlign w:val="center"/>
          </w:tcPr>
          <w:p w:rsidR="00DA4F59" w:rsidRPr="00ED4EAF" w:rsidRDefault="00DA4F59" w:rsidP="00536FA1">
            <w:pPr>
              <w:jc w:val="center"/>
              <w:rPr>
                <w:rFonts w:ascii="Arial" w:hAnsi="Arial" w:cs="Arial"/>
                <w:sz w:val="22"/>
                <w:szCs w:val="22"/>
              </w:rPr>
            </w:pPr>
            <w:r w:rsidRPr="00ED4EAF">
              <w:rPr>
                <w:rFonts w:ascii="Arial" w:eastAsia="Arial" w:hAnsi="Arial" w:cs="Arial"/>
                <w:sz w:val="22"/>
                <w:szCs w:val="22"/>
              </w:rPr>
              <w:t> </w:t>
            </w:r>
          </w:p>
        </w:tc>
        <w:tc>
          <w:tcPr>
            <w:tcW w:w="4560" w:type="dxa"/>
            <w:gridSpan w:val="3"/>
            <w:tcBorders>
              <w:bottom w:val="single" w:sz="6" w:space="0" w:color="000000"/>
            </w:tcBorders>
            <w:tcMar>
              <w:top w:w="0" w:type="dxa"/>
              <w:left w:w="108" w:type="dxa"/>
              <w:bottom w:w="0" w:type="dxa"/>
              <w:right w:w="108" w:type="dxa"/>
            </w:tcMar>
            <w:vAlign w:val="center"/>
          </w:tcPr>
          <w:p w:rsidR="00DA4F59" w:rsidRPr="00ED4EAF" w:rsidRDefault="00DA4F59" w:rsidP="00536FA1">
            <w:pPr>
              <w:jc w:val="center"/>
              <w:rPr>
                <w:rFonts w:ascii="Arial" w:hAnsi="Arial" w:cs="Arial"/>
                <w:sz w:val="22"/>
                <w:szCs w:val="22"/>
              </w:rPr>
            </w:pPr>
            <w:r w:rsidRPr="00ED4EAF">
              <w:rPr>
                <w:rFonts w:ascii="Arial" w:eastAsia="Arial" w:hAnsi="Arial" w:cs="Arial"/>
                <w:sz w:val="22"/>
                <w:szCs w:val="22"/>
              </w:rPr>
              <w:t>Dependent variable</w:t>
            </w:r>
          </w:p>
        </w:tc>
      </w:tr>
      <w:tr w:rsidR="00DA4F59" w:rsidRPr="00ED4EAF" w:rsidTr="007F4160">
        <w:trPr>
          <w:trHeight w:val="525"/>
          <w:jc w:val="center"/>
        </w:trPr>
        <w:tc>
          <w:tcPr>
            <w:tcW w:w="2497" w:type="dxa"/>
            <w:vMerge/>
            <w:tcBorders>
              <w:bottom w:val="single" w:sz="12" w:space="0" w:color="000000"/>
              <w:right w:val="single" w:sz="12" w:space="0" w:color="000000"/>
            </w:tcBorders>
            <w:vAlign w:val="center"/>
          </w:tcPr>
          <w:p w:rsidR="00DA4F59" w:rsidRPr="00ED4EAF" w:rsidRDefault="00DA4F59" w:rsidP="00536FA1">
            <w:pPr>
              <w:jc w:val="center"/>
              <w:rPr>
                <w:rFonts w:ascii="Arial" w:hAnsi="Arial" w:cs="Arial"/>
                <w:sz w:val="22"/>
                <w:szCs w:val="22"/>
              </w:rPr>
            </w:pPr>
          </w:p>
        </w:tc>
        <w:tc>
          <w:tcPr>
            <w:tcW w:w="1627" w:type="dxa"/>
            <w:tcBorders>
              <w:left w:val="single" w:sz="12" w:space="0" w:color="000000"/>
              <w:bottom w:val="single" w:sz="12" w:space="0" w:color="000000"/>
            </w:tcBorders>
            <w:tcMar>
              <w:top w:w="0" w:type="dxa"/>
              <w:left w:w="108" w:type="dxa"/>
              <w:bottom w:w="0" w:type="dxa"/>
              <w:right w:w="108" w:type="dxa"/>
            </w:tcMar>
            <w:vAlign w:val="center"/>
          </w:tcPr>
          <w:p w:rsidR="00DA4F59" w:rsidRPr="00ED4EAF" w:rsidRDefault="00DA4F59" w:rsidP="00536FA1">
            <w:pPr>
              <w:jc w:val="center"/>
              <w:rPr>
                <w:rFonts w:ascii="Arial" w:hAnsi="Arial" w:cs="Arial"/>
                <w:sz w:val="22"/>
                <w:szCs w:val="22"/>
              </w:rPr>
            </w:pPr>
            <w:r w:rsidRPr="00ED4EAF">
              <w:rPr>
                <w:rFonts w:ascii="Arial" w:eastAsia="Arial" w:hAnsi="Arial" w:cs="Arial"/>
                <w:sz w:val="22"/>
                <w:szCs w:val="22"/>
              </w:rPr>
              <w:t> </w:t>
            </w:r>
          </w:p>
        </w:tc>
        <w:tc>
          <w:tcPr>
            <w:tcW w:w="1520" w:type="dxa"/>
            <w:tcBorders>
              <w:top w:val="single" w:sz="6" w:space="0" w:color="000000"/>
              <w:bottom w:val="single" w:sz="12" w:space="0" w:color="000000"/>
            </w:tcBorders>
            <w:tcMar>
              <w:top w:w="0" w:type="dxa"/>
              <w:left w:w="108" w:type="dxa"/>
              <w:bottom w:w="0" w:type="dxa"/>
              <w:right w:w="108" w:type="dxa"/>
            </w:tcMar>
            <w:vAlign w:val="center"/>
          </w:tcPr>
          <w:p w:rsidR="00DA4F59" w:rsidRPr="00ED4EAF" w:rsidRDefault="00DA4F59" w:rsidP="00536FA1">
            <w:pPr>
              <w:jc w:val="center"/>
              <w:rPr>
                <w:rFonts w:ascii="Arial" w:hAnsi="Arial" w:cs="Arial"/>
                <w:sz w:val="22"/>
                <w:szCs w:val="22"/>
              </w:rPr>
            </w:pPr>
            <w:r w:rsidRPr="00ED4EAF">
              <w:rPr>
                <w:rFonts w:ascii="Arial" w:eastAsia="Arial" w:hAnsi="Arial" w:cs="Arial"/>
                <w:sz w:val="22"/>
                <w:szCs w:val="22"/>
              </w:rPr>
              <w:t>TLEV</w:t>
            </w:r>
          </w:p>
        </w:tc>
        <w:tc>
          <w:tcPr>
            <w:tcW w:w="1520" w:type="dxa"/>
            <w:tcBorders>
              <w:top w:val="single" w:sz="6" w:space="0" w:color="000000"/>
              <w:bottom w:val="single" w:sz="12" w:space="0" w:color="000000"/>
            </w:tcBorders>
            <w:tcMar>
              <w:top w:w="0" w:type="dxa"/>
              <w:left w:w="108" w:type="dxa"/>
              <w:bottom w:w="0" w:type="dxa"/>
              <w:right w:w="108" w:type="dxa"/>
            </w:tcMar>
            <w:vAlign w:val="center"/>
          </w:tcPr>
          <w:p w:rsidR="00DA4F59" w:rsidRPr="00ED4EAF" w:rsidRDefault="00DA4F59" w:rsidP="00536FA1">
            <w:pPr>
              <w:jc w:val="center"/>
              <w:rPr>
                <w:rFonts w:ascii="Arial" w:hAnsi="Arial" w:cs="Arial"/>
                <w:sz w:val="22"/>
                <w:szCs w:val="22"/>
              </w:rPr>
            </w:pPr>
            <w:r w:rsidRPr="00ED4EAF">
              <w:rPr>
                <w:rFonts w:ascii="Arial" w:eastAsia="Arial" w:hAnsi="Arial" w:cs="Arial"/>
                <w:sz w:val="22"/>
                <w:szCs w:val="22"/>
              </w:rPr>
              <w:t>LTLEV</w:t>
            </w:r>
          </w:p>
        </w:tc>
        <w:tc>
          <w:tcPr>
            <w:tcW w:w="1520" w:type="dxa"/>
            <w:tcBorders>
              <w:top w:val="single" w:sz="6" w:space="0" w:color="000000"/>
              <w:bottom w:val="single" w:sz="12" w:space="0" w:color="000000"/>
            </w:tcBorders>
            <w:tcMar>
              <w:top w:w="0" w:type="dxa"/>
              <w:left w:w="108" w:type="dxa"/>
              <w:bottom w:w="0" w:type="dxa"/>
              <w:right w:w="108" w:type="dxa"/>
            </w:tcMar>
            <w:vAlign w:val="center"/>
          </w:tcPr>
          <w:p w:rsidR="00DA4F59" w:rsidRPr="00ED4EAF" w:rsidRDefault="00DA4F59" w:rsidP="00536FA1">
            <w:pPr>
              <w:jc w:val="center"/>
              <w:rPr>
                <w:rFonts w:ascii="Arial" w:hAnsi="Arial" w:cs="Arial"/>
                <w:sz w:val="22"/>
                <w:szCs w:val="22"/>
              </w:rPr>
            </w:pPr>
            <w:r w:rsidRPr="00ED4EAF">
              <w:rPr>
                <w:rFonts w:ascii="Arial" w:eastAsia="Arial" w:hAnsi="Arial" w:cs="Arial"/>
                <w:noProof/>
                <w:sz w:val="22"/>
                <w:szCs w:val="22"/>
              </w:rPr>
              <w:t>STLEV</w:t>
            </w:r>
          </w:p>
        </w:tc>
      </w:tr>
      <w:tr w:rsidR="00DA4F59" w:rsidRPr="00ED4EAF" w:rsidTr="007F4160">
        <w:trPr>
          <w:trHeight w:val="210"/>
          <w:jc w:val="center"/>
        </w:trPr>
        <w:tc>
          <w:tcPr>
            <w:tcW w:w="2497" w:type="dxa"/>
            <w:tcBorders>
              <w:top w:val="single" w:sz="12" w:space="0" w:color="000000"/>
              <w:right w:val="single" w:sz="12" w:space="0" w:color="000000"/>
            </w:tcBorders>
            <w:tcMar>
              <w:top w:w="0" w:type="dxa"/>
              <w:left w:w="108" w:type="dxa"/>
              <w:bottom w:w="0" w:type="dxa"/>
              <w:right w:w="108" w:type="dxa"/>
            </w:tcMar>
            <w:vAlign w:val="center"/>
          </w:tcPr>
          <w:p w:rsidR="00DA4F59" w:rsidRPr="00ED4EAF" w:rsidRDefault="00DA4F59" w:rsidP="00536FA1">
            <w:pPr>
              <w:jc w:val="both"/>
              <w:rPr>
                <w:rFonts w:ascii="Arial" w:hAnsi="Arial" w:cs="Arial"/>
                <w:sz w:val="22"/>
                <w:szCs w:val="22"/>
              </w:rPr>
            </w:pPr>
            <w:r w:rsidRPr="00ED4EAF">
              <w:rPr>
                <w:rFonts w:ascii="Arial" w:eastAsia="Arial" w:hAnsi="Arial" w:cs="Arial"/>
                <w:sz w:val="22"/>
                <w:szCs w:val="22"/>
              </w:rPr>
              <w:t> </w:t>
            </w:r>
          </w:p>
        </w:tc>
        <w:tc>
          <w:tcPr>
            <w:tcW w:w="1627" w:type="dxa"/>
            <w:tcBorders>
              <w:top w:val="single" w:sz="12" w:space="0" w:color="000000"/>
              <w:left w:val="single" w:sz="12" w:space="0" w:color="000000"/>
            </w:tcBorders>
            <w:tcMar>
              <w:top w:w="0" w:type="dxa"/>
              <w:left w:w="108" w:type="dxa"/>
              <w:bottom w:w="0" w:type="dxa"/>
              <w:right w:w="108" w:type="dxa"/>
            </w:tcMar>
          </w:tcPr>
          <w:p w:rsidR="00DA4F59" w:rsidRPr="00ED4EAF" w:rsidRDefault="00DA4F59" w:rsidP="00536FA1">
            <w:pPr>
              <w:jc w:val="both"/>
              <w:rPr>
                <w:rFonts w:ascii="Arial" w:hAnsi="Arial" w:cs="Arial"/>
                <w:sz w:val="22"/>
                <w:szCs w:val="22"/>
              </w:rPr>
            </w:pPr>
            <w:r w:rsidRPr="00ED4EAF">
              <w:rPr>
                <w:rFonts w:ascii="Arial" w:eastAsia="Arial" w:hAnsi="Arial" w:cs="Arial"/>
                <w:sz w:val="22"/>
                <w:szCs w:val="22"/>
              </w:rPr>
              <w:t> </w:t>
            </w:r>
          </w:p>
        </w:tc>
        <w:tc>
          <w:tcPr>
            <w:tcW w:w="1520" w:type="dxa"/>
            <w:tcBorders>
              <w:top w:val="single" w:sz="12" w:space="0" w:color="000000"/>
            </w:tcBorders>
            <w:tcMar>
              <w:top w:w="0" w:type="dxa"/>
              <w:left w:w="108" w:type="dxa"/>
              <w:bottom w:w="0" w:type="dxa"/>
              <w:right w:w="108" w:type="dxa"/>
            </w:tcMar>
            <w:vAlign w:val="center"/>
          </w:tcPr>
          <w:p w:rsidR="00DA4F59" w:rsidRPr="00ED4EAF" w:rsidRDefault="00DA4F59" w:rsidP="00536FA1">
            <w:pPr>
              <w:jc w:val="both"/>
              <w:rPr>
                <w:rFonts w:ascii="Arial" w:hAnsi="Arial" w:cs="Arial"/>
                <w:sz w:val="22"/>
                <w:szCs w:val="22"/>
              </w:rPr>
            </w:pPr>
            <w:r w:rsidRPr="00ED4EAF">
              <w:rPr>
                <w:rFonts w:ascii="Arial" w:eastAsia="Arial" w:hAnsi="Arial" w:cs="Arial"/>
                <w:sz w:val="22"/>
                <w:szCs w:val="22"/>
              </w:rPr>
              <w:t> </w:t>
            </w:r>
          </w:p>
        </w:tc>
        <w:tc>
          <w:tcPr>
            <w:tcW w:w="1520" w:type="dxa"/>
            <w:tcBorders>
              <w:top w:val="single" w:sz="12" w:space="0" w:color="000000"/>
            </w:tcBorders>
            <w:tcMar>
              <w:top w:w="0" w:type="dxa"/>
              <w:left w:w="108" w:type="dxa"/>
              <w:bottom w:w="0" w:type="dxa"/>
              <w:right w:w="108" w:type="dxa"/>
            </w:tcMar>
            <w:vAlign w:val="center"/>
          </w:tcPr>
          <w:p w:rsidR="00DA4F59" w:rsidRPr="00ED4EAF" w:rsidRDefault="00DA4F59" w:rsidP="00536FA1">
            <w:pPr>
              <w:jc w:val="both"/>
              <w:rPr>
                <w:rFonts w:ascii="Arial" w:hAnsi="Arial" w:cs="Arial"/>
                <w:sz w:val="22"/>
                <w:szCs w:val="22"/>
              </w:rPr>
            </w:pPr>
            <w:r w:rsidRPr="00ED4EAF">
              <w:rPr>
                <w:rFonts w:ascii="Arial" w:eastAsia="Arial" w:hAnsi="Arial" w:cs="Arial"/>
                <w:sz w:val="22"/>
                <w:szCs w:val="22"/>
              </w:rPr>
              <w:t> </w:t>
            </w:r>
          </w:p>
        </w:tc>
        <w:tc>
          <w:tcPr>
            <w:tcW w:w="1520" w:type="dxa"/>
            <w:tcBorders>
              <w:top w:val="single" w:sz="12" w:space="0" w:color="000000"/>
            </w:tcBorders>
            <w:tcMar>
              <w:top w:w="0" w:type="dxa"/>
              <w:left w:w="108" w:type="dxa"/>
              <w:bottom w:w="0" w:type="dxa"/>
              <w:right w:w="108" w:type="dxa"/>
            </w:tcMar>
            <w:vAlign w:val="center"/>
          </w:tcPr>
          <w:p w:rsidR="00DA4F59" w:rsidRPr="00ED4EAF" w:rsidRDefault="00DA4F59" w:rsidP="00536FA1">
            <w:pPr>
              <w:jc w:val="both"/>
              <w:rPr>
                <w:rFonts w:ascii="Arial" w:hAnsi="Arial" w:cs="Arial"/>
                <w:sz w:val="22"/>
                <w:szCs w:val="22"/>
              </w:rPr>
            </w:pPr>
            <w:r w:rsidRPr="00ED4EAF">
              <w:rPr>
                <w:rFonts w:ascii="Arial" w:eastAsia="Arial" w:hAnsi="Arial" w:cs="Arial"/>
                <w:sz w:val="22"/>
                <w:szCs w:val="22"/>
              </w:rPr>
              <w:t> </w:t>
            </w:r>
          </w:p>
        </w:tc>
      </w:tr>
      <w:tr w:rsidR="00DA4F59" w:rsidRPr="00ED4EAF" w:rsidTr="007F4160">
        <w:trPr>
          <w:trHeight w:val="375"/>
          <w:jc w:val="center"/>
        </w:trPr>
        <w:tc>
          <w:tcPr>
            <w:tcW w:w="2497" w:type="dxa"/>
            <w:tcBorders>
              <w:right w:val="single" w:sz="12" w:space="0" w:color="000000"/>
            </w:tcBorders>
            <w:tcMar>
              <w:top w:w="0" w:type="dxa"/>
              <w:left w:w="108" w:type="dxa"/>
              <w:bottom w:w="0" w:type="dxa"/>
              <w:right w:w="108" w:type="dxa"/>
            </w:tcMar>
            <w:vAlign w:val="center"/>
          </w:tcPr>
          <w:p w:rsidR="00DA4F59" w:rsidRPr="00ED4EAF" w:rsidRDefault="00DA4F59" w:rsidP="00536FA1">
            <w:pPr>
              <w:jc w:val="both"/>
              <w:rPr>
                <w:rFonts w:ascii="Arial" w:hAnsi="Arial" w:cs="Arial"/>
                <w:sz w:val="22"/>
                <w:szCs w:val="22"/>
              </w:rPr>
            </w:pPr>
            <w:r w:rsidRPr="00ED4EAF">
              <w:rPr>
                <w:rFonts w:ascii="Arial" w:eastAsia="Arial" w:hAnsi="Arial" w:cs="Arial"/>
                <w:sz w:val="22"/>
                <w:szCs w:val="22"/>
              </w:rPr>
              <w:t>Modified Wald</w:t>
            </w:r>
          </w:p>
        </w:tc>
        <w:tc>
          <w:tcPr>
            <w:tcW w:w="1627" w:type="dxa"/>
            <w:tcBorders>
              <w:left w:val="single" w:sz="12" w:space="0" w:color="000000"/>
            </w:tcBorders>
            <w:tcMar>
              <w:top w:w="0" w:type="dxa"/>
              <w:left w:w="108" w:type="dxa"/>
              <w:bottom w:w="0" w:type="dxa"/>
              <w:right w:w="108" w:type="dxa"/>
            </w:tcMar>
            <w:vAlign w:val="center"/>
          </w:tcPr>
          <w:p w:rsidR="00DA4F59" w:rsidRPr="00ED4EAF" w:rsidRDefault="00DA4F59" w:rsidP="00536FA1">
            <w:pPr>
              <w:jc w:val="both"/>
              <w:rPr>
                <w:rFonts w:ascii="Arial" w:hAnsi="Arial" w:cs="Arial"/>
                <w:sz w:val="22"/>
                <w:szCs w:val="22"/>
              </w:rPr>
            </w:pPr>
            <w:proofErr w:type="spellStart"/>
            <w:r w:rsidRPr="00ED4EAF">
              <w:rPr>
                <w:rFonts w:ascii="Arial" w:eastAsia="Arial" w:hAnsi="Arial" w:cs="Arial"/>
                <w:sz w:val="22"/>
                <w:szCs w:val="22"/>
              </w:rPr>
              <w:t>Prob</w:t>
            </w:r>
            <w:proofErr w:type="spellEnd"/>
            <w:r w:rsidRPr="00ED4EAF">
              <w:rPr>
                <w:rFonts w:ascii="Arial" w:eastAsia="Arial" w:hAnsi="Arial" w:cs="Arial"/>
                <w:sz w:val="22"/>
                <w:szCs w:val="22"/>
              </w:rPr>
              <w:t>&gt; chi2 =</w:t>
            </w:r>
          </w:p>
        </w:tc>
        <w:tc>
          <w:tcPr>
            <w:tcW w:w="1520" w:type="dxa"/>
            <w:tcMar>
              <w:top w:w="0" w:type="dxa"/>
              <w:left w:w="108" w:type="dxa"/>
              <w:bottom w:w="0" w:type="dxa"/>
              <w:right w:w="108" w:type="dxa"/>
            </w:tcMar>
            <w:vAlign w:val="center"/>
          </w:tcPr>
          <w:p w:rsidR="00DA4F59" w:rsidRPr="00ED4EAF" w:rsidRDefault="00DA4F59" w:rsidP="00536FA1">
            <w:pPr>
              <w:jc w:val="center"/>
              <w:rPr>
                <w:rFonts w:ascii="Arial" w:hAnsi="Arial" w:cs="Arial"/>
                <w:sz w:val="22"/>
                <w:szCs w:val="22"/>
              </w:rPr>
            </w:pPr>
            <w:r w:rsidRPr="00ED4EAF">
              <w:rPr>
                <w:rFonts w:ascii="Arial" w:eastAsia="Arial" w:hAnsi="Arial" w:cs="Arial"/>
                <w:sz w:val="22"/>
                <w:szCs w:val="22"/>
              </w:rPr>
              <w:t>0.0000</w:t>
            </w:r>
          </w:p>
        </w:tc>
        <w:tc>
          <w:tcPr>
            <w:tcW w:w="1520" w:type="dxa"/>
            <w:tcMar>
              <w:top w:w="0" w:type="dxa"/>
              <w:left w:w="108" w:type="dxa"/>
              <w:bottom w:w="0" w:type="dxa"/>
              <w:right w:w="108" w:type="dxa"/>
            </w:tcMar>
            <w:vAlign w:val="center"/>
          </w:tcPr>
          <w:p w:rsidR="00DA4F59" w:rsidRPr="00ED4EAF" w:rsidRDefault="00DA4F59" w:rsidP="00536FA1">
            <w:pPr>
              <w:jc w:val="center"/>
              <w:rPr>
                <w:rFonts w:ascii="Arial" w:hAnsi="Arial" w:cs="Arial"/>
                <w:sz w:val="22"/>
                <w:szCs w:val="22"/>
              </w:rPr>
            </w:pPr>
            <w:r w:rsidRPr="00ED4EAF">
              <w:rPr>
                <w:rFonts w:ascii="Arial" w:eastAsia="Arial" w:hAnsi="Arial" w:cs="Arial"/>
                <w:sz w:val="22"/>
                <w:szCs w:val="22"/>
              </w:rPr>
              <w:t>0.0000</w:t>
            </w:r>
          </w:p>
        </w:tc>
        <w:tc>
          <w:tcPr>
            <w:tcW w:w="1520" w:type="dxa"/>
            <w:tcMar>
              <w:top w:w="0" w:type="dxa"/>
              <w:left w:w="108" w:type="dxa"/>
              <w:bottom w:w="0" w:type="dxa"/>
              <w:right w:w="108" w:type="dxa"/>
            </w:tcMar>
            <w:vAlign w:val="center"/>
          </w:tcPr>
          <w:p w:rsidR="00DA4F59" w:rsidRPr="00ED4EAF" w:rsidRDefault="00DA4F59" w:rsidP="00536FA1">
            <w:pPr>
              <w:jc w:val="center"/>
              <w:rPr>
                <w:rFonts w:ascii="Arial" w:hAnsi="Arial" w:cs="Arial"/>
                <w:sz w:val="22"/>
                <w:szCs w:val="22"/>
              </w:rPr>
            </w:pPr>
            <w:r w:rsidRPr="00ED4EAF">
              <w:rPr>
                <w:rFonts w:ascii="Arial" w:eastAsia="Arial" w:hAnsi="Arial" w:cs="Arial"/>
                <w:sz w:val="22"/>
                <w:szCs w:val="22"/>
              </w:rPr>
              <w:t>0.0000</w:t>
            </w:r>
          </w:p>
        </w:tc>
      </w:tr>
      <w:tr w:rsidR="00DA4F59" w:rsidRPr="00ED4EAF" w:rsidTr="007F4160">
        <w:trPr>
          <w:trHeight w:val="375"/>
          <w:jc w:val="center"/>
        </w:trPr>
        <w:tc>
          <w:tcPr>
            <w:tcW w:w="2497" w:type="dxa"/>
            <w:tcBorders>
              <w:right w:val="single" w:sz="12" w:space="0" w:color="000000"/>
            </w:tcBorders>
            <w:tcMar>
              <w:top w:w="0" w:type="dxa"/>
              <w:left w:w="108" w:type="dxa"/>
              <w:bottom w:w="0" w:type="dxa"/>
              <w:right w:w="108" w:type="dxa"/>
            </w:tcMar>
            <w:vAlign w:val="center"/>
          </w:tcPr>
          <w:p w:rsidR="00DA4F59" w:rsidRPr="00ED4EAF" w:rsidRDefault="00DA4F59" w:rsidP="00536FA1">
            <w:pPr>
              <w:jc w:val="both"/>
              <w:rPr>
                <w:rFonts w:ascii="Arial" w:hAnsi="Arial" w:cs="Arial"/>
                <w:sz w:val="22"/>
                <w:szCs w:val="22"/>
              </w:rPr>
            </w:pPr>
            <w:r w:rsidRPr="00ED4EAF">
              <w:rPr>
                <w:rFonts w:ascii="Arial" w:eastAsia="Arial" w:hAnsi="Arial" w:cs="Arial"/>
                <w:sz w:val="22"/>
                <w:szCs w:val="22"/>
              </w:rPr>
              <w:t>Wooldridge</w:t>
            </w:r>
          </w:p>
        </w:tc>
        <w:tc>
          <w:tcPr>
            <w:tcW w:w="1627" w:type="dxa"/>
            <w:tcBorders>
              <w:left w:val="single" w:sz="12" w:space="0" w:color="000000"/>
            </w:tcBorders>
            <w:tcMar>
              <w:top w:w="0" w:type="dxa"/>
              <w:left w:w="108" w:type="dxa"/>
              <w:bottom w:w="0" w:type="dxa"/>
              <w:right w:w="108" w:type="dxa"/>
            </w:tcMar>
            <w:vAlign w:val="center"/>
          </w:tcPr>
          <w:p w:rsidR="00DA4F59" w:rsidRPr="00ED4EAF" w:rsidRDefault="00DA4F59" w:rsidP="00536FA1">
            <w:pPr>
              <w:jc w:val="both"/>
              <w:rPr>
                <w:rFonts w:ascii="Arial" w:hAnsi="Arial" w:cs="Arial"/>
                <w:sz w:val="22"/>
                <w:szCs w:val="22"/>
              </w:rPr>
            </w:pPr>
            <w:proofErr w:type="spellStart"/>
            <w:r w:rsidRPr="00ED4EAF">
              <w:rPr>
                <w:rFonts w:ascii="Arial" w:eastAsia="Arial" w:hAnsi="Arial" w:cs="Arial"/>
                <w:sz w:val="22"/>
                <w:szCs w:val="22"/>
              </w:rPr>
              <w:t>Prob</w:t>
            </w:r>
            <w:proofErr w:type="spellEnd"/>
            <w:r w:rsidRPr="00ED4EAF">
              <w:rPr>
                <w:rFonts w:ascii="Arial" w:eastAsia="Arial" w:hAnsi="Arial" w:cs="Arial"/>
                <w:sz w:val="22"/>
                <w:szCs w:val="22"/>
              </w:rPr>
              <w:t>&gt; F =</w:t>
            </w:r>
          </w:p>
        </w:tc>
        <w:tc>
          <w:tcPr>
            <w:tcW w:w="1520" w:type="dxa"/>
            <w:tcMar>
              <w:top w:w="0" w:type="dxa"/>
              <w:left w:w="108" w:type="dxa"/>
              <w:bottom w:w="0" w:type="dxa"/>
              <w:right w:w="108" w:type="dxa"/>
            </w:tcMar>
            <w:vAlign w:val="center"/>
          </w:tcPr>
          <w:p w:rsidR="00DA4F59" w:rsidRPr="00ED4EAF" w:rsidRDefault="00DA4F59" w:rsidP="00536FA1">
            <w:pPr>
              <w:jc w:val="center"/>
              <w:rPr>
                <w:rFonts w:ascii="Arial" w:hAnsi="Arial" w:cs="Arial"/>
                <w:sz w:val="22"/>
                <w:szCs w:val="22"/>
              </w:rPr>
            </w:pPr>
            <w:r w:rsidRPr="00ED4EAF">
              <w:rPr>
                <w:rFonts w:ascii="Arial" w:eastAsia="Arial" w:hAnsi="Arial" w:cs="Arial"/>
                <w:sz w:val="22"/>
                <w:szCs w:val="22"/>
              </w:rPr>
              <w:t>0.0000</w:t>
            </w:r>
          </w:p>
        </w:tc>
        <w:tc>
          <w:tcPr>
            <w:tcW w:w="1520" w:type="dxa"/>
            <w:tcMar>
              <w:top w:w="0" w:type="dxa"/>
              <w:left w:w="108" w:type="dxa"/>
              <w:bottom w:w="0" w:type="dxa"/>
              <w:right w:w="108" w:type="dxa"/>
            </w:tcMar>
            <w:vAlign w:val="center"/>
          </w:tcPr>
          <w:p w:rsidR="00DA4F59" w:rsidRPr="00ED4EAF" w:rsidRDefault="00DA4F59" w:rsidP="00536FA1">
            <w:pPr>
              <w:jc w:val="center"/>
              <w:rPr>
                <w:rFonts w:ascii="Arial" w:hAnsi="Arial" w:cs="Arial"/>
                <w:sz w:val="22"/>
                <w:szCs w:val="22"/>
              </w:rPr>
            </w:pPr>
            <w:r w:rsidRPr="00ED4EAF">
              <w:rPr>
                <w:rFonts w:ascii="Arial" w:eastAsia="Arial" w:hAnsi="Arial" w:cs="Arial"/>
                <w:sz w:val="22"/>
                <w:szCs w:val="22"/>
              </w:rPr>
              <w:t>0.0000</w:t>
            </w:r>
          </w:p>
        </w:tc>
        <w:tc>
          <w:tcPr>
            <w:tcW w:w="1520" w:type="dxa"/>
            <w:tcMar>
              <w:top w:w="0" w:type="dxa"/>
              <w:left w:w="108" w:type="dxa"/>
              <w:bottom w:w="0" w:type="dxa"/>
              <w:right w:w="108" w:type="dxa"/>
            </w:tcMar>
            <w:vAlign w:val="center"/>
          </w:tcPr>
          <w:p w:rsidR="00DA4F59" w:rsidRPr="00ED4EAF" w:rsidRDefault="00DA4F59" w:rsidP="00536FA1">
            <w:pPr>
              <w:jc w:val="center"/>
              <w:rPr>
                <w:rFonts w:ascii="Arial" w:hAnsi="Arial" w:cs="Arial"/>
                <w:sz w:val="22"/>
                <w:szCs w:val="22"/>
              </w:rPr>
            </w:pPr>
            <w:r w:rsidRPr="00ED4EAF">
              <w:rPr>
                <w:rFonts w:ascii="Arial" w:eastAsia="Arial" w:hAnsi="Arial" w:cs="Arial"/>
                <w:sz w:val="22"/>
                <w:szCs w:val="22"/>
              </w:rPr>
              <w:t>0.0000</w:t>
            </w:r>
          </w:p>
        </w:tc>
      </w:tr>
      <w:tr w:rsidR="00DA4F59" w:rsidRPr="00ED4EAF" w:rsidTr="007F4160">
        <w:trPr>
          <w:trHeight w:val="113"/>
          <w:jc w:val="center"/>
        </w:trPr>
        <w:tc>
          <w:tcPr>
            <w:tcW w:w="2497" w:type="dxa"/>
            <w:tcBorders>
              <w:right w:val="single" w:sz="12" w:space="0" w:color="000000"/>
            </w:tcBorders>
            <w:tcMar>
              <w:top w:w="0" w:type="dxa"/>
              <w:left w:w="108" w:type="dxa"/>
              <w:bottom w:w="0" w:type="dxa"/>
              <w:right w:w="108" w:type="dxa"/>
            </w:tcMar>
            <w:vAlign w:val="center"/>
          </w:tcPr>
          <w:p w:rsidR="00DA4F59" w:rsidRPr="00ED4EAF" w:rsidRDefault="00DA4F59" w:rsidP="00536FA1">
            <w:pPr>
              <w:jc w:val="both"/>
              <w:rPr>
                <w:rFonts w:ascii="Arial" w:hAnsi="Arial" w:cs="Arial"/>
                <w:sz w:val="22"/>
                <w:szCs w:val="22"/>
              </w:rPr>
            </w:pPr>
            <w:r w:rsidRPr="00ED4EAF">
              <w:rPr>
                <w:rFonts w:ascii="Arial" w:eastAsia="Arial" w:hAnsi="Arial" w:cs="Arial"/>
                <w:sz w:val="22"/>
                <w:szCs w:val="22"/>
              </w:rPr>
              <w:t> </w:t>
            </w:r>
          </w:p>
        </w:tc>
        <w:tc>
          <w:tcPr>
            <w:tcW w:w="1627" w:type="dxa"/>
            <w:tcBorders>
              <w:left w:val="single" w:sz="12" w:space="0" w:color="000000"/>
            </w:tcBorders>
            <w:tcMar>
              <w:top w:w="0" w:type="dxa"/>
              <w:left w:w="108" w:type="dxa"/>
              <w:bottom w:w="0" w:type="dxa"/>
              <w:right w:w="108" w:type="dxa"/>
            </w:tcMar>
          </w:tcPr>
          <w:p w:rsidR="00DA4F59" w:rsidRPr="00ED4EAF" w:rsidRDefault="00DA4F59" w:rsidP="00536FA1">
            <w:pPr>
              <w:jc w:val="both"/>
              <w:rPr>
                <w:rFonts w:ascii="Arial" w:hAnsi="Arial" w:cs="Arial"/>
                <w:sz w:val="22"/>
                <w:szCs w:val="22"/>
              </w:rPr>
            </w:pPr>
            <w:r w:rsidRPr="00ED4EAF">
              <w:rPr>
                <w:rFonts w:ascii="Arial" w:eastAsia="Arial" w:hAnsi="Arial" w:cs="Arial"/>
                <w:sz w:val="22"/>
                <w:szCs w:val="22"/>
              </w:rPr>
              <w:t> </w:t>
            </w:r>
          </w:p>
        </w:tc>
        <w:tc>
          <w:tcPr>
            <w:tcW w:w="1520" w:type="dxa"/>
            <w:tcMar>
              <w:top w:w="0" w:type="dxa"/>
              <w:left w:w="108" w:type="dxa"/>
              <w:bottom w:w="0" w:type="dxa"/>
              <w:right w:w="108" w:type="dxa"/>
            </w:tcMar>
            <w:vAlign w:val="center"/>
          </w:tcPr>
          <w:p w:rsidR="00DA4F59" w:rsidRPr="00ED4EAF" w:rsidRDefault="00DA4F59" w:rsidP="00536FA1">
            <w:pPr>
              <w:jc w:val="both"/>
              <w:rPr>
                <w:rFonts w:ascii="Arial" w:hAnsi="Arial" w:cs="Arial"/>
                <w:sz w:val="22"/>
                <w:szCs w:val="22"/>
              </w:rPr>
            </w:pPr>
            <w:r w:rsidRPr="00ED4EAF">
              <w:rPr>
                <w:rFonts w:ascii="Arial" w:eastAsia="Arial" w:hAnsi="Arial" w:cs="Arial"/>
                <w:sz w:val="22"/>
                <w:szCs w:val="22"/>
              </w:rPr>
              <w:t> </w:t>
            </w:r>
          </w:p>
        </w:tc>
        <w:tc>
          <w:tcPr>
            <w:tcW w:w="1520" w:type="dxa"/>
            <w:tcMar>
              <w:top w:w="0" w:type="dxa"/>
              <w:left w:w="108" w:type="dxa"/>
              <w:bottom w:w="0" w:type="dxa"/>
              <w:right w:w="108" w:type="dxa"/>
            </w:tcMar>
            <w:vAlign w:val="center"/>
          </w:tcPr>
          <w:p w:rsidR="00DA4F59" w:rsidRPr="00ED4EAF" w:rsidRDefault="00DA4F59" w:rsidP="00536FA1">
            <w:pPr>
              <w:jc w:val="both"/>
              <w:rPr>
                <w:rFonts w:ascii="Arial" w:hAnsi="Arial" w:cs="Arial"/>
                <w:sz w:val="22"/>
                <w:szCs w:val="22"/>
              </w:rPr>
            </w:pPr>
            <w:r w:rsidRPr="00ED4EAF">
              <w:rPr>
                <w:rFonts w:ascii="Arial" w:eastAsia="Arial" w:hAnsi="Arial" w:cs="Arial"/>
                <w:sz w:val="22"/>
                <w:szCs w:val="22"/>
              </w:rPr>
              <w:t> </w:t>
            </w:r>
          </w:p>
        </w:tc>
        <w:tc>
          <w:tcPr>
            <w:tcW w:w="1520" w:type="dxa"/>
            <w:tcMar>
              <w:top w:w="0" w:type="dxa"/>
              <w:left w:w="108" w:type="dxa"/>
              <w:bottom w:w="0" w:type="dxa"/>
              <w:right w:w="108" w:type="dxa"/>
            </w:tcMar>
            <w:vAlign w:val="center"/>
          </w:tcPr>
          <w:p w:rsidR="00DA4F59" w:rsidRPr="00ED4EAF" w:rsidRDefault="00DA4F59" w:rsidP="00536FA1">
            <w:pPr>
              <w:jc w:val="both"/>
              <w:rPr>
                <w:rFonts w:ascii="Arial" w:hAnsi="Arial" w:cs="Arial"/>
                <w:sz w:val="22"/>
                <w:szCs w:val="22"/>
              </w:rPr>
            </w:pPr>
            <w:r w:rsidRPr="00ED4EAF">
              <w:rPr>
                <w:rFonts w:ascii="Arial" w:eastAsia="Arial" w:hAnsi="Arial" w:cs="Arial"/>
                <w:sz w:val="22"/>
                <w:szCs w:val="22"/>
              </w:rPr>
              <w:t> </w:t>
            </w:r>
          </w:p>
        </w:tc>
      </w:tr>
      <w:tr w:rsidR="00DA4F59" w:rsidRPr="00ED4EAF" w:rsidTr="007F4160">
        <w:trPr>
          <w:trHeight w:val="375"/>
          <w:jc w:val="center"/>
        </w:trPr>
        <w:tc>
          <w:tcPr>
            <w:tcW w:w="8684" w:type="dxa"/>
            <w:gridSpan w:val="5"/>
            <w:tcMar>
              <w:top w:w="0" w:type="dxa"/>
              <w:left w:w="108" w:type="dxa"/>
              <w:bottom w:w="0" w:type="dxa"/>
              <w:right w:w="108" w:type="dxa"/>
            </w:tcMar>
            <w:vAlign w:val="center"/>
          </w:tcPr>
          <w:p w:rsidR="00DA4F59" w:rsidRPr="00ED4EAF" w:rsidRDefault="00DA4F59" w:rsidP="00536FA1">
            <w:pPr>
              <w:jc w:val="both"/>
              <w:rPr>
                <w:rFonts w:ascii="Arial" w:hAnsi="Arial" w:cs="Arial"/>
                <w:sz w:val="22"/>
                <w:szCs w:val="22"/>
              </w:rPr>
            </w:pPr>
            <w:r w:rsidRPr="00ED4EAF">
              <w:rPr>
                <w:rFonts w:ascii="Arial" w:eastAsia="Arial" w:hAnsi="Arial" w:cs="Arial"/>
                <w:i/>
                <w:iCs/>
                <w:sz w:val="22"/>
                <w:szCs w:val="22"/>
              </w:rPr>
              <w:t>Note:</w:t>
            </w:r>
          </w:p>
          <w:p w:rsidR="00DA4F59" w:rsidRPr="00ED4EAF" w:rsidRDefault="00DA4F59" w:rsidP="00536FA1">
            <w:pPr>
              <w:jc w:val="both"/>
              <w:rPr>
                <w:rFonts w:ascii="Arial" w:hAnsi="Arial" w:cs="Arial"/>
                <w:sz w:val="22"/>
                <w:szCs w:val="22"/>
              </w:rPr>
            </w:pPr>
            <w:r w:rsidRPr="00ED4EAF">
              <w:rPr>
                <w:rFonts w:ascii="Arial" w:eastAsia="Arial" w:hAnsi="Arial" w:cs="Arial"/>
                <w:i/>
                <w:iCs/>
                <w:sz w:val="22"/>
                <w:szCs w:val="22"/>
              </w:rPr>
              <w:t xml:space="preserve">- Modified Wald test used to test </w:t>
            </w:r>
            <w:proofErr w:type="spellStart"/>
            <w:r w:rsidRPr="00ED4EAF">
              <w:rPr>
                <w:rFonts w:ascii="Arial" w:eastAsia="Arial" w:hAnsi="Arial" w:cs="Arial"/>
                <w:i/>
                <w:sz w:val="22"/>
                <w:szCs w:val="22"/>
              </w:rPr>
              <w:t>heteroscedasticity</w:t>
            </w:r>
            <w:proofErr w:type="spellEnd"/>
            <w:r w:rsidRPr="00ED4EAF">
              <w:rPr>
                <w:rFonts w:ascii="Arial" w:eastAsia="Arial" w:hAnsi="Arial" w:cs="Arial"/>
                <w:sz w:val="22"/>
                <w:szCs w:val="22"/>
              </w:rPr>
              <w:t xml:space="preserve"> </w:t>
            </w:r>
            <w:r w:rsidRPr="00ED4EAF">
              <w:rPr>
                <w:rFonts w:ascii="Arial" w:eastAsia="Arial" w:hAnsi="Arial" w:cs="Arial"/>
                <w:i/>
                <w:iCs/>
                <w:sz w:val="22"/>
                <w:szCs w:val="22"/>
              </w:rPr>
              <w:t>if (</w:t>
            </w:r>
            <w:proofErr w:type="spellStart"/>
            <w:r w:rsidRPr="00ED4EAF">
              <w:rPr>
                <w:rFonts w:ascii="Arial" w:eastAsia="Arial" w:hAnsi="Arial" w:cs="Arial"/>
                <w:i/>
                <w:iCs/>
                <w:sz w:val="22"/>
                <w:szCs w:val="22"/>
              </w:rPr>
              <w:t>Prob</w:t>
            </w:r>
            <w:proofErr w:type="spellEnd"/>
            <w:r w:rsidRPr="00ED4EAF">
              <w:rPr>
                <w:rFonts w:ascii="Arial" w:eastAsia="Arial" w:hAnsi="Arial" w:cs="Arial"/>
                <w:i/>
                <w:iCs/>
                <w:sz w:val="22"/>
                <w:szCs w:val="22"/>
              </w:rPr>
              <w:t>&gt; chi2)</w:t>
            </w:r>
            <w:r w:rsidRPr="00ED4EAF">
              <w:rPr>
                <w:rFonts w:ascii="Arial" w:eastAsia="Arial" w:hAnsi="Arial" w:cs="Arial"/>
                <w:i/>
                <w:iCs/>
                <w:sz w:val="22"/>
                <w:szCs w:val="22"/>
                <w:lang w:val="vi-VN"/>
              </w:rPr>
              <w:t xml:space="preserve"> </w:t>
            </w:r>
            <w:r w:rsidRPr="00ED4EAF">
              <w:rPr>
                <w:rFonts w:ascii="Arial" w:eastAsia="Arial" w:hAnsi="Arial" w:cs="Arial"/>
                <w:i/>
                <w:iCs/>
                <w:sz w:val="22"/>
                <w:szCs w:val="22"/>
              </w:rPr>
              <w:t>&lt;</w:t>
            </w:r>
            <w:r w:rsidRPr="00ED4EAF">
              <w:rPr>
                <w:rFonts w:ascii="Arial" w:eastAsia="Arial" w:hAnsi="Arial" w:cs="Arial"/>
                <w:i/>
                <w:iCs/>
                <w:sz w:val="22"/>
                <w:szCs w:val="22"/>
                <w:lang w:val="vi-VN"/>
              </w:rPr>
              <w:t xml:space="preserve"> </w:t>
            </w:r>
            <w:r w:rsidRPr="00ED4EAF">
              <w:rPr>
                <w:rFonts w:ascii="Arial" w:eastAsia="Arial" w:hAnsi="Arial" w:cs="Arial"/>
                <w:i/>
                <w:iCs/>
                <w:sz w:val="22"/>
                <w:szCs w:val="22"/>
              </w:rPr>
              <w:t>0.05</w:t>
            </w:r>
            <w:r w:rsidRPr="00ED4EAF">
              <w:rPr>
                <w:rFonts w:ascii="Arial" w:eastAsia="Arial" w:hAnsi="Arial" w:cs="Arial"/>
                <w:i/>
                <w:iCs/>
                <w:sz w:val="22"/>
                <w:szCs w:val="22"/>
                <w:lang w:val="vi-VN"/>
              </w:rPr>
              <w:t>, there</w:t>
            </w:r>
            <w:r w:rsidRPr="00ED4EAF">
              <w:rPr>
                <w:rFonts w:ascii="Arial" w:eastAsia="Arial" w:hAnsi="Arial" w:cs="Arial"/>
                <w:i/>
                <w:iCs/>
                <w:sz w:val="22"/>
                <w:szCs w:val="22"/>
              </w:rPr>
              <w:t xml:space="preserve"> </w:t>
            </w:r>
            <w:r w:rsidRPr="00ED4EAF">
              <w:rPr>
                <w:rFonts w:ascii="Arial" w:eastAsia="Arial" w:hAnsi="Arial" w:cs="Arial"/>
                <w:i/>
                <w:iCs/>
                <w:sz w:val="22"/>
                <w:szCs w:val="22"/>
                <w:lang w:val="vi-VN"/>
              </w:rPr>
              <w:t xml:space="preserve">is </w:t>
            </w:r>
            <w:proofErr w:type="spellStart"/>
            <w:r w:rsidRPr="00ED4EAF">
              <w:rPr>
                <w:rFonts w:ascii="Arial" w:eastAsia="Arial" w:hAnsi="Arial" w:cs="Arial"/>
                <w:i/>
                <w:sz w:val="22"/>
                <w:szCs w:val="22"/>
              </w:rPr>
              <w:t>heteroscedasticity</w:t>
            </w:r>
            <w:proofErr w:type="spellEnd"/>
            <w:r w:rsidRPr="00ED4EAF">
              <w:rPr>
                <w:rFonts w:ascii="Arial" w:eastAsia="Arial" w:hAnsi="Arial" w:cs="Arial"/>
                <w:i/>
                <w:iCs/>
                <w:sz w:val="22"/>
                <w:szCs w:val="22"/>
              </w:rPr>
              <w:t>;</w:t>
            </w:r>
          </w:p>
          <w:p w:rsidR="00DA4F59" w:rsidRPr="00ED4EAF" w:rsidRDefault="00DA4F59" w:rsidP="00536FA1">
            <w:pPr>
              <w:jc w:val="both"/>
              <w:rPr>
                <w:rFonts w:ascii="Arial" w:hAnsi="Arial" w:cs="Arial"/>
                <w:sz w:val="22"/>
                <w:szCs w:val="22"/>
              </w:rPr>
            </w:pPr>
            <w:r w:rsidRPr="00ED4EAF">
              <w:rPr>
                <w:rFonts w:ascii="Arial" w:eastAsia="Arial" w:hAnsi="Arial" w:cs="Arial"/>
                <w:i/>
                <w:iCs/>
                <w:sz w:val="22"/>
                <w:szCs w:val="22"/>
              </w:rPr>
              <w:t>- Verification of Wooldridge is used to test autocorrelation, if (</w:t>
            </w:r>
            <w:proofErr w:type="spellStart"/>
            <w:r w:rsidRPr="00ED4EAF">
              <w:rPr>
                <w:rFonts w:ascii="Arial" w:eastAsia="Arial" w:hAnsi="Arial" w:cs="Arial"/>
                <w:i/>
                <w:iCs/>
                <w:sz w:val="22"/>
                <w:szCs w:val="22"/>
              </w:rPr>
              <w:t>Prob</w:t>
            </w:r>
            <w:proofErr w:type="spellEnd"/>
            <w:r w:rsidRPr="00ED4EAF">
              <w:rPr>
                <w:rFonts w:ascii="Arial" w:eastAsia="Arial" w:hAnsi="Arial" w:cs="Arial"/>
                <w:i/>
                <w:iCs/>
                <w:sz w:val="22"/>
                <w:szCs w:val="22"/>
              </w:rPr>
              <w:t>&gt; F) &lt;</w:t>
            </w:r>
            <w:r w:rsidRPr="00ED4EAF">
              <w:rPr>
                <w:rFonts w:ascii="Arial" w:eastAsia="Arial" w:hAnsi="Arial" w:cs="Arial"/>
                <w:i/>
                <w:iCs/>
                <w:sz w:val="22"/>
                <w:szCs w:val="22"/>
                <w:lang w:val="vi-VN"/>
              </w:rPr>
              <w:t xml:space="preserve"> </w:t>
            </w:r>
            <w:r w:rsidRPr="00ED4EAF">
              <w:rPr>
                <w:rFonts w:ascii="Arial" w:eastAsia="Arial" w:hAnsi="Arial" w:cs="Arial"/>
                <w:i/>
                <w:iCs/>
                <w:sz w:val="22"/>
                <w:szCs w:val="22"/>
              </w:rPr>
              <w:t>0.05, there is autocorrelation.</w:t>
            </w:r>
          </w:p>
        </w:tc>
      </w:tr>
      <w:tr w:rsidR="00DA4F59" w:rsidRPr="00ED4EAF" w:rsidTr="007F4160">
        <w:trPr>
          <w:trHeight w:val="375"/>
          <w:jc w:val="center"/>
        </w:trPr>
        <w:tc>
          <w:tcPr>
            <w:tcW w:w="8684" w:type="dxa"/>
            <w:gridSpan w:val="5"/>
            <w:tcMar>
              <w:top w:w="0" w:type="dxa"/>
              <w:left w:w="108" w:type="dxa"/>
              <w:bottom w:w="0" w:type="dxa"/>
              <w:right w:w="108" w:type="dxa"/>
            </w:tcMar>
            <w:vAlign w:val="center"/>
          </w:tcPr>
          <w:p w:rsidR="00DA4F59" w:rsidRPr="00ED4EAF" w:rsidRDefault="00DA4F59" w:rsidP="00536FA1">
            <w:pPr>
              <w:jc w:val="right"/>
              <w:rPr>
                <w:rFonts w:ascii="Arial" w:hAnsi="Arial" w:cs="Arial"/>
                <w:sz w:val="22"/>
                <w:szCs w:val="22"/>
              </w:rPr>
            </w:pPr>
            <w:r w:rsidRPr="00ED4EAF">
              <w:rPr>
                <w:rFonts w:ascii="Arial" w:eastAsia="Arial" w:hAnsi="Arial" w:cs="Arial"/>
                <w:i/>
                <w:iCs/>
                <w:sz w:val="22"/>
                <w:szCs w:val="22"/>
              </w:rPr>
              <w:t>Source: Author’s calculation on STATA 14</w:t>
            </w:r>
          </w:p>
        </w:tc>
      </w:tr>
    </w:tbl>
    <w:p w:rsidR="00DA4F59" w:rsidRPr="00ED4EAF" w:rsidRDefault="00DA4F59" w:rsidP="00536FA1">
      <w:pPr>
        <w:rPr>
          <w:sz w:val="22"/>
          <w:szCs w:val="22"/>
        </w:rPr>
      </w:pPr>
    </w:p>
    <w:sectPr w:rsidR="00DA4F59" w:rsidRPr="00ED4EAF" w:rsidSect="00954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00"/>
    <w:rsid w:val="00040DF9"/>
    <w:rsid w:val="00197ACA"/>
    <w:rsid w:val="001F21B4"/>
    <w:rsid w:val="00253DE4"/>
    <w:rsid w:val="00411C6E"/>
    <w:rsid w:val="00464BA2"/>
    <w:rsid w:val="00491AC7"/>
    <w:rsid w:val="004921AD"/>
    <w:rsid w:val="004E3A20"/>
    <w:rsid w:val="005178A8"/>
    <w:rsid w:val="00536FA1"/>
    <w:rsid w:val="005624FF"/>
    <w:rsid w:val="0062587F"/>
    <w:rsid w:val="006E13F0"/>
    <w:rsid w:val="008D767E"/>
    <w:rsid w:val="009545DD"/>
    <w:rsid w:val="00A67E92"/>
    <w:rsid w:val="00A87A04"/>
    <w:rsid w:val="00A924E6"/>
    <w:rsid w:val="00AB5D19"/>
    <w:rsid w:val="00C30FD2"/>
    <w:rsid w:val="00C9143B"/>
    <w:rsid w:val="00DA4F59"/>
    <w:rsid w:val="00ED4EAF"/>
    <w:rsid w:val="00FA7D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8A4E7-CECE-4815-A042-5E8D2034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D00"/>
    <w:pPr>
      <w:spacing w:after="0" w:line="240" w:lineRule="auto"/>
    </w:pPr>
    <w:rPr>
      <w:rFonts w:ascii="Times New Roman" w:eastAsia="Times New Roman"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1426</Words>
  <Characters>8132</Characters>
  <Application>Microsoft Office Word</Application>
  <DocSecurity>0</DocSecurity>
  <Lines>67</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Viet</dc:creator>
  <cp:keywords/>
  <dc:description/>
  <cp:lastModifiedBy>Chau Ly</cp:lastModifiedBy>
  <cp:revision>16</cp:revision>
  <dcterms:created xsi:type="dcterms:W3CDTF">2019-08-01T02:07:00Z</dcterms:created>
  <dcterms:modified xsi:type="dcterms:W3CDTF">2019-10-15T03:13:00Z</dcterms:modified>
</cp:coreProperties>
</file>